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w="http://schemas.openxmlformats.org/wordprocessingml/2006/main">
  <w:body>
    <w:p>
      <w:pPr>
        <w:pStyle w:val="Title"/>
      </w:pPr>
      <w:r>
        <w:t xml:space="preserve">Revised Theory Appendix</w:t>
      </w:r>
    </w:p>
    <w:bookmarkStart w:id="15" w:name="simple-theoretical-framework"/>
    <w:p>
      <w:pPr>
        <w:pStyle w:val="Heading1"/>
      </w:pPr>
      <w:r>
        <w:t xml:space="preserve">1. Simple Theoretical Framework</w:t>
      </w:r>
    </w:p>
    <w:p>
      <w:pPr>
        <w:pStyle w:val="FirstParagraph"/>
      </w:pPr>
      <w:r>
        <w:t xml:space="preserve">Red text marks substantive edits or additions relative to the current appendix.</w:t>
      </w:r>
    </w:p>
    <w:p>
      <w:pPr>
        <w:pStyle w:val="BodyText"/>
      </w:pPr>
      <w:r>
        <w:rPr>
          <w:color w:val="FF0000"/>
        </w:rPr>
        <w:t xml:space="preserve">This section extends the model in the main text from a binary</w:t>
      </w:r>
      <w:r>
        <w:rPr>
          <w:color w:val="FF0000"/>
        </w:rPr>
        <w:t xml:space="preserve"> </w:t>
      </w:r>
      <w:r>
        <w:rPr>
          <w:color w:val="FF0000"/>
        </w:rPr>
        <w:t xml:space="preserve">“give versus give zero”</w:t>
      </w:r>
      <w:r>
        <w:rPr>
          <w:color w:val="FF0000"/>
        </w:rPr>
        <w:t xml:space="preserve"> </w:t>
      </w:r>
      <w:r>
        <w:rPr>
          <w:color w:val="FF0000"/>
        </w:rPr>
        <w:t xml:space="preserve">decision to a setting in which the amount of out-of-pocket giving can vary. The extension shows that the norm-signalling mechanism generates the same qualitative prediction for both the frequency of giving and the amount given: a match increases giving when the ask cannot be avoided, but has no effect on giving in the Avoid condition in the norm-signalling benchmark.</w:t>
      </w:r>
    </w:p>
    <w:p>
      <w:pPr>
        <w:pStyle w:val="BodyText"/>
      </w:pPr>
      <w:r>
        <w:t xml:space="preserve">Consider an individual endowed with wealth</w:t>
      </w:r>
      <w:r>
        <w:t xml:space="preserve"> </w:t>
      </w:r>
      <m:oMath>
        <m:r>
          <m:t>w</m:t>
        </m:r>
      </m:oMath>
      <w:r>
        <w:t xml:space="preserve">, which can be allocated between private consumption and an out-of-pocket donation</w:t>
      </w:r>
      <w:r>
        <w:t xml:space="preserve"> </w:t>
      </w:r>
      <m:oMath>
        <m:r>
          <m:t>g</m:t>
        </m:r>
        <m:r>
          <m:rPr>
            <m:sty m:val="p"/>
          </m:rPr>
          <m:t>∈</m:t>
        </m:r>
        <m:r>
          <m:rPr>
            <m:sty m:val="p"/>
          </m:rPr>
          <m:t>[</m:t>
        </m:r>
        <m:r>
          <m:t>0</m:t>
        </m:r>
        <m:r>
          <m:rPr>
            <m:sty m:val="p"/>
          </m:rPr>
          <m:t>,</m:t>
        </m:r>
        <m:r>
          <m:t>w</m:t>
        </m:r>
        <m:r>
          <m:rPr>
            <m:sty m:val="p"/>
          </m:rPr>
          <m:t>]</m:t>
        </m:r>
      </m:oMath>
      <w:r>
        <w:t xml:space="preserve">. The individual’s utility has two components. The first component is consumption and altruistic utility,</w:t>
      </w:r>
    </w:p>
    <w:p>
      <w:pPr>
        <w:pStyle w:val="BodyText"/>
      </w:pPr>
      <m:oMathPara>
        <m:oMathParaPr>
          <m:jc m:val="center"/>
        </m:oMathParaPr>
        <m:oMath>
          <m:r>
            <m:t>v</m:t>
          </m:r>
          <m:r>
            <m:rPr>
              <m:sty m:val="p"/>
            </m:rPr>
            <m:t>(</m:t>
          </m:r>
          <m:r>
            <m:t>g</m:t>
          </m:r>
          <m:r>
            <m:rPr>
              <m:sty m:val="p"/>
            </m:rPr>
            <m:t>;</m:t>
          </m:r>
          <m:sSub>
            <m:e>
              <m:r>
                <m:t>a</m:t>
              </m:r>
            </m:e>
            <m:sub>
              <m:r>
                <m:t>i</m:t>
              </m:r>
            </m:sub>
          </m:sSub>
          <m:r>
            <m:rPr>
              <m:sty m:val="p"/>
            </m:rPr>
            <m:t>)</m:t>
          </m:r>
          <m:r>
            <m:rPr>
              <m:sty m:val="p"/>
            </m:rPr>
            <m:t>=</m:t>
          </m:r>
          <m:r>
            <m:t>w</m:t>
          </m:r>
          <m:r>
            <m:rPr>
              <m:sty m:val="p"/>
            </m:rPr>
            <m:t>−</m:t>
          </m:r>
          <m:r>
            <m:t>g</m:t>
          </m:r>
          <m:r>
            <m:rPr>
              <m:sty m:val="p"/>
            </m:rPr>
            <m:t>+</m:t>
          </m:r>
          <m:sSub>
            <m:e>
              <m:r>
                <m:t>a</m:t>
              </m:r>
            </m:e>
            <m:sub>
              <m:r>
                <m:t>i</m:t>
              </m:r>
            </m:sub>
          </m:sSub>
          <m:r>
            <m:t>u</m:t>
          </m:r>
          <m:r>
            <m:rPr>
              <m:sty m:val="p"/>
            </m:rPr>
            <m:t>(</m:t>
          </m:r>
          <m:r>
            <m:t>g</m:t>
          </m:r>
          <m:r>
            <m:rPr>
              <m:sty m:val="p"/>
            </m:rPr>
            <m:t>)</m:t>
          </m:r>
          <m:r>
            <m:rPr>
              <m:sty m:val="p"/>
            </m:rPr>
            <m:t>,</m:t>
          </m:r>
        </m:oMath>
      </m:oMathPara>
    </w:p>
    <w:p>
      <w:pPr>
        <w:pStyle w:val="FirstParagraph"/>
      </w:pPr>
      <w:r>
        <w:rPr>
          <w:color w:val="FF0000"/>
        </w:rPr>
        <w:t xml:space="preserve">where</w:t>
      </w:r>
      <w:r>
        <w:rPr>
          <w:color w:val="FF0000"/>
        </w:rPr>
        <w:t xml:space="preserve"> </w:t>
      </w:r>
      <m:oMath>
        <m:sSub>
          <m:e>
            <m:r>
              <m:t>a</m:t>
            </m:r>
          </m:e>
          <m:sub>
            <m:r>
              <m:t>i</m:t>
            </m:r>
          </m:sub>
        </m:sSub>
        <m:r>
          <m:rPr>
            <m:sty m:val="p"/>
          </m:rPr>
          <m:t>≥</m:t>
        </m:r>
        <m:r>
          <m:t>0</m:t>
        </m:r>
      </m:oMath>
      <w:r>
        <w:rPr>
          <w:color w:val="FF0000"/>
        </w:rPr>
        <w:t xml:space="preserve"> </w:t>
      </w:r>
      <w:r>
        <w:rPr>
          <w:color w:val="FF0000"/>
        </w:rPr>
        <w:t xml:space="preserve">measures how much individual</w:t>
      </w:r>
      <w:r>
        <w:rPr>
          <w:color w:val="FF0000"/>
        </w:rPr>
        <w:t xml:space="preserve"> </w:t>
      </w:r>
      <m:oMath>
        <m:r>
          <m:t>i</m:t>
        </m:r>
      </m:oMath>
      <w:r>
        <w:rPr>
          <w:color w:val="FF0000"/>
        </w:rPr>
        <w:t xml:space="preserve"> </w:t>
      </w:r>
      <w:r>
        <w:rPr>
          <w:color w:val="FF0000"/>
        </w:rPr>
        <w:t xml:space="preserve">cares about the charity,</w:t>
      </w:r>
      <w:r>
        <w:rPr>
          <w:color w:val="FF0000"/>
        </w:rPr>
        <w:t xml:space="preserve"> </w:t>
      </w:r>
      <m:oMath>
        <m:r>
          <m:t>u</m:t>
        </m:r>
        <m:r>
          <m:rPr>
            <m:sty m:val="p"/>
          </m:rPr>
          <m:t>(</m:t>
        </m:r>
        <m:r>
          <m:t>0</m:t>
        </m:r>
        <m:r>
          <m:rPr>
            <m:sty m:val="p"/>
          </m:rPr>
          <m:t>)</m:t>
        </m:r>
        <m:r>
          <m:rPr>
            <m:sty m:val="p"/>
          </m:rPr>
          <m:t>=</m:t>
        </m:r>
        <m:r>
          <m:t>0</m:t>
        </m:r>
      </m:oMath>
      <w:r>
        <w:rPr>
          <w:color w:val="FF0000"/>
        </w:rPr>
        <w:t xml:space="preserve">,</w:t>
      </w:r>
      <w:r>
        <w:rPr>
          <w:color w:val="FF0000"/>
        </w:rPr>
        <w:t xml:space="preserve"> </w:t>
      </w:r>
      <m:oMath>
        <m:sSup>
          <m:e>
            <m:r>
              <m:t>u</m:t>
            </m:r>
          </m:e>
          <m:sup>
            <m:r>
              <m:rPr>
                <m:sty m:val="p"/>
              </m:rPr>
              <m:t>′</m:t>
            </m:r>
          </m:sup>
        </m:sSup>
        <m:r>
          <m:rPr>
            <m:sty m:val="p"/>
          </m:rPr>
          <m:t>(</m:t>
        </m:r>
        <m:r>
          <m:t>g</m:t>
        </m:r>
        <m:r>
          <m:rPr>
            <m:sty m:val="p"/>
          </m:rPr>
          <m:t>)</m:t>
        </m:r>
        <m:r>
          <m:rPr>
            <m:sty m:val="p"/>
          </m:rPr>
          <m:t>&gt;</m:t>
        </m:r>
        <m:r>
          <m:t>0</m:t>
        </m:r>
      </m:oMath>
      <w:r>
        <w:rPr>
          <w:color w:val="FF0000"/>
        </w:rPr>
        <w:t xml:space="preserve">, and</w:t>
      </w:r>
      <w:r>
        <w:rPr>
          <w:color w:val="FF0000"/>
        </w:rPr>
        <w:t xml:space="preserve"> </w:t>
      </w:r>
      <m:oMath>
        <m:sSup>
          <m:e>
            <m:r>
              <m:t>u</m:t>
            </m:r>
          </m:e>
          <m:sup>
            <m:r>
              <m:rPr>
                <m:sty m:val="p"/>
              </m:rPr>
              <m:t>″</m:t>
            </m:r>
          </m:sup>
        </m:sSup>
        <m:r>
          <m:rPr>
            <m:sty m:val="p"/>
          </m:rPr>
          <m:t>(</m:t>
        </m:r>
        <m:r>
          <m:t>g</m:t>
        </m:r>
        <m:r>
          <m:rPr>
            <m:sty m:val="p"/>
          </m:rPr>
          <m:t>)</m:t>
        </m:r>
        <m:r>
          <m:rPr>
            <m:sty m:val="p"/>
          </m:rPr>
          <m:t>&lt;</m:t>
        </m:r>
        <m:r>
          <m:t>0</m:t>
        </m:r>
      </m:oMath>
      <w:r>
        <w:rPr>
          <w:color w:val="FF0000"/>
        </w:rPr>
        <w:t xml:space="preserve">.</w:t>
      </w:r>
      <w:r>
        <w:rPr>
          <w:color w:val="FF0000"/>
        </w:rPr>
        <w:t xml:space="preserve"> </w:t>
      </w:r>
      <w:r>
        <w:rPr>
          <w:color w:val="FF0000"/>
        </w:rPr>
        <w:t xml:space="preserve">In this benchmark,</w:t>
      </w:r>
      <w:r>
        <w:rPr>
          <w:color w:val="FF0000"/>
        </w:rPr>
        <w:t xml:space="preserve"> </w:t>
      </w:r>
      <m:oMath>
        <m:r>
          <m:t>g</m:t>
        </m:r>
      </m:oMath>
      <w:r>
        <w:rPr>
          <w:color w:val="FF0000"/>
        </w:rPr>
        <w:t xml:space="preserve"> </w:t>
      </w:r>
      <w:r>
        <w:rPr>
          <w:color w:val="FF0000"/>
        </w:rPr>
        <w:t xml:space="preserve">is the donor’s out-of-pocket gift. The model deliberately shuts down the standard price channel so that the match can affect behavior only through the norm-signalling channel.</w:t>
      </w:r>
    </w:p>
    <w:p>
      <w:pPr>
        <w:pStyle w:val="BodyText"/>
      </w:pPr>
      <w:r>
        <w:t xml:space="preserve">The second component is the psychological cost of falling short of the norm of giving. Let</w:t>
      </w:r>
      <w:r>
        <w:t xml:space="preserve"> </w:t>
      </w:r>
      <m:oMath>
        <m:sSup>
          <m:e>
            <m:r>
              <m:t>g</m:t>
            </m:r>
          </m:e>
          <m:sup>
            <m:r>
              <m:t>ℓ</m:t>
            </m:r>
          </m:sup>
        </m:sSup>
        <m:r>
          <m:rPr>
            <m:sty m:val="p"/>
          </m:rPr>
          <m:t>∈</m:t>
        </m:r>
        <m:r>
          <m:rPr>
            <m:sty m:val="p"/>
          </m:rPr>
          <m:t>(</m:t>
        </m:r>
        <m:r>
          <m:t>0</m:t>
        </m:r>
        <m:r>
          <m:rPr>
            <m:sty m:val="p"/>
          </m:rPr>
          <m:t>,</m:t>
        </m:r>
        <m:r>
          <m:t>w</m:t>
        </m:r>
        <m:r>
          <m:rPr>
            <m:sty m:val="p"/>
          </m:rPr>
          <m:t>]</m:t>
        </m:r>
      </m:oMath>
      <w:r>
        <w:t xml:space="preserve"> </w:t>
      </w:r>
      <w:r>
        <w:t xml:space="preserve">denote the norm level: gifts at or above</w:t>
      </w:r>
      <w:r>
        <w:t xml:space="preserve"> </w:t>
      </w:r>
      <m:oMath>
        <m:sSup>
          <m:e>
            <m:r>
              <m:t>g</m:t>
            </m:r>
          </m:e>
          <m:sup>
            <m:r>
              <m:t>ℓ</m:t>
            </m:r>
          </m:sup>
        </m:sSup>
      </m:oMath>
      <w:r>
        <w:t xml:space="preserve"> </w:t>
      </w:r>
      <w:r>
        <w:t xml:space="preserve">fully satisfy the norm. When the individual faces the ask, the psychological cost is</w:t>
      </w:r>
    </w:p>
    <w:p>
      <w:pPr>
        <w:pStyle w:val="BodyText"/>
      </w:pPr>
      <m:oMathPara>
        <m:oMathParaPr>
          <m:jc m:val="center"/>
        </m:oMathParaPr>
        <m:oMath>
          <m:sSub>
            <m:e>
              <m:r>
                <m:t>h</m:t>
              </m:r>
            </m:e>
            <m:sub>
              <m:r>
                <m:t>m</m:t>
              </m:r>
            </m:sub>
          </m:sSub>
          <m:r>
            <m:rPr>
              <m:sty m:val="p"/>
            </m:rPr>
            <m:t>(</m:t>
          </m:r>
          <m:r>
            <m:t>g</m:t>
          </m:r>
          <m:r>
            <m:rPr>
              <m:sty m:val="p"/>
            </m:rPr>
            <m:t>;</m:t>
          </m:r>
          <m:sSub>
            <m:e>
              <m:r>
                <m:t>H</m:t>
              </m:r>
            </m:e>
            <m:sub>
              <m:r>
                <m:t>i</m:t>
              </m:r>
            </m:sub>
          </m:sSub>
          <m:r>
            <m:rPr>
              <m:sty m:val="p"/>
            </m:rPr>
            <m:t>)</m:t>
          </m:r>
          <m:r>
            <m:rPr>
              <m:sty m:val="p"/>
            </m:rPr>
            <m:t>=</m:t>
          </m:r>
          <m:sSub>
            <m:e>
              <m:r>
                <m:t>κ</m:t>
              </m:r>
            </m:e>
            <m:sub>
              <m:r>
                <m:t>m</m:t>
              </m:r>
            </m:sub>
          </m:sSub>
          <m:sSub>
            <m:e>
              <m:r>
                <m:t>H</m:t>
              </m:r>
            </m:e>
            <m:sub>
              <m:r>
                <m:t>i</m:t>
              </m:r>
            </m:sub>
          </m:sSub>
          <m:r>
            <m:rPr>
              <m:sty m:val="p"/>
            </m:rPr>
            <m:t>(</m:t>
          </m:r>
          <m:sSup>
            <m:e>
              <m:r>
                <m:t>g</m:t>
              </m:r>
            </m:e>
            <m:sup>
              <m:r>
                <m:t>ℓ</m:t>
              </m:r>
            </m:sup>
          </m:sSup>
          <m:r>
            <m:rPr>
              <m:sty m:val="p"/>
            </m:rPr>
            <m:t>−</m:t>
          </m:r>
          <m:r>
            <m:t>g</m:t>
          </m:r>
          <m:sSub>
            <m:e>
              <m:r>
                <m:rPr>
                  <m:sty m:val="p"/>
                </m:rPr>
                <m:t>)</m:t>
              </m:r>
            </m:e>
            <m:sub>
              <m:r>
                <m:rPr>
                  <m:sty m:val="p"/>
                </m:rPr>
                <m:t>+</m:t>
              </m:r>
            </m:sub>
          </m:sSub>
          <m:r>
            <m:rPr>
              <m:sty m:val="p"/>
            </m:rPr>
            <m:t>,</m:t>
          </m:r>
        </m:oMath>
      </m:oMathPara>
    </w:p>
    <w:p>
      <w:pPr>
        <w:pStyle w:val="FirstParagraph"/>
      </w:pPr>
      <w:r>
        <w:rPr>
          <w:color w:val="FF0000"/>
        </w:rPr>
        <w:t xml:space="preserve">where</w:t>
      </w:r>
      <w:r>
        <w:rPr>
          <w:color w:val="FF0000"/>
        </w:rPr>
        <w:t xml:space="preserve"> </w:t>
      </w:r>
      <m:oMath>
        <m:r>
          <m:rPr>
            <m:sty m:val="p"/>
          </m:rPr>
          <m:t>(</m:t>
        </m:r>
        <m:r>
          <m:t>z</m:t>
        </m:r>
        <m:sSub>
          <m:e>
            <m:r>
              <m:rPr>
                <m:sty m:val="p"/>
              </m:rPr>
              <m:t>)</m:t>
            </m:r>
          </m:e>
          <m:sub>
            <m:r>
              <m:rPr>
                <m:sty m:val="p"/>
              </m:rPr>
              <m:t>+</m:t>
            </m:r>
          </m:sub>
        </m:sSub>
        <m:r>
          <m:rPr>
            <m:sty m:val="p"/>
          </m:rPr>
          <m:t>=</m:t>
        </m:r>
        <m:r>
          <m:rPr>
            <m:sty m:val="p"/>
          </m:rPr>
          <m:t>max</m:t>
        </m:r>
        <m:r>
          <m:rPr>
            <m:sty m:val="p"/>
          </m:rPr>
          <m:t>{</m:t>
        </m:r>
        <m:r>
          <m:t>z</m:t>
        </m:r>
        <m:r>
          <m:rPr>
            <m:sty m:val="p"/>
          </m:rPr>
          <m:t>,</m:t>
        </m:r>
        <m:r>
          <m:t>0</m:t>
        </m:r>
        <m:r>
          <m:rPr>
            <m:sty m:val="p"/>
          </m:rPr>
          <m:t>}</m:t>
        </m:r>
      </m:oMath>
      <w:r>
        <w:rPr>
          <w:color w:val="FF0000"/>
        </w:rPr>
        <w:t xml:space="preserve">,</w:t>
      </w:r>
      <w:r>
        <w:rPr>
          <w:color w:val="FF0000"/>
        </w:rPr>
        <w:t xml:space="preserve"> </w:t>
      </w:r>
      <m:oMath>
        <m:sSub>
          <m:e>
            <m:r>
              <m:t>H</m:t>
            </m:r>
          </m:e>
          <m:sub>
            <m:r>
              <m:t>i</m:t>
            </m:r>
          </m:sub>
        </m:sSub>
        <m:r>
          <m:rPr>
            <m:sty m:val="p"/>
          </m:rPr>
          <m:t>≥</m:t>
        </m:r>
        <m:r>
          <m:t>0</m:t>
        </m:r>
      </m:oMath>
      <w:r>
        <w:rPr>
          <w:color w:val="FF0000"/>
        </w:rPr>
        <w:t xml:space="preserve"> </w:t>
      </w:r>
      <w:r>
        <w:rPr>
          <w:color w:val="FF0000"/>
        </w:rPr>
        <w:t xml:space="preserve">is the individual’s sensitivity to the norm,</w:t>
      </w:r>
      <w:r>
        <w:rPr>
          <w:color w:val="FF0000"/>
        </w:rPr>
        <w:t xml:space="preserve"> </w:t>
      </w:r>
      <m:oMath>
        <m:sSub>
          <m:e>
            <m:r>
              <m:t>κ</m:t>
            </m:r>
          </m:e>
          <m:sub>
            <m:r>
              <m:t>0</m:t>
            </m:r>
          </m:sub>
        </m:sSub>
        <m:r>
          <m:rPr>
            <m:sty m:val="p"/>
          </m:rPr>
          <m:t>=</m:t>
        </m:r>
        <m:r>
          <m:t>1</m:t>
        </m:r>
      </m:oMath>
      <w:r>
        <w:rPr>
          <w:color w:val="FF0000"/>
        </w:rPr>
        <w:t xml:space="preserve"> </w:t>
      </w:r>
      <w:r>
        <w:rPr>
          <w:color w:val="FF0000"/>
        </w:rPr>
        <w:t xml:space="preserve">in the No Match condition, and</w:t>
      </w:r>
      <w:r>
        <w:rPr>
          <w:color w:val="FF0000"/>
        </w:rPr>
        <w:t xml:space="preserve"> </w:t>
      </w:r>
      <m:oMath>
        <m:sSub>
          <m:e>
            <m:r>
              <m:t>κ</m:t>
            </m:r>
          </m:e>
          <m:sub>
            <m:r>
              <m:t>1</m:t>
            </m:r>
          </m:sub>
        </m:sSub>
        <m:r>
          <m:rPr>
            <m:sty m:val="p"/>
          </m:rPr>
          <m:t>=</m:t>
        </m:r>
        <m:r>
          <m:t>γ</m:t>
        </m:r>
        <m:r>
          <m:rPr>
            <m:sty m:val="p"/>
          </m:rPr>
          <m:t>&gt;</m:t>
        </m:r>
        <m:r>
          <m:t>1</m:t>
        </m:r>
      </m:oMath>
      <w:r>
        <w:rPr>
          <w:color w:val="FF0000"/>
        </w:rPr>
        <w:t xml:space="preserve"> </w:t>
      </w:r>
      <w:r>
        <w:rPr>
          <w:color w:val="FF0000"/>
        </w:rPr>
        <w:t xml:space="preserve">in the Match condition.</w:t>
      </w:r>
      <w:r>
        <w:rPr>
          <w:color w:val="FF0000"/>
        </w:rPr>
        <w:t xml:space="preserve"> </w:t>
      </w:r>
      <w:r>
        <w:rPr>
          <w:color w:val="FF0000"/>
        </w:rPr>
        <w:t xml:space="preserve">Thus, the match raises the psychological cost of giving less than the norm only when the ask is faced. This is the formal content of the norm-signalling mechanism.</w:t>
      </w:r>
    </w:p>
    <w:p>
      <w:pPr>
        <w:pStyle w:val="BodyText"/>
      </w:pPr>
      <w:r>
        <w:t xml:space="preserve">If the individual avoids the ask, no donation decision is presented and the individual receives</w:t>
      </w:r>
      <w:r>
        <w:t xml:space="preserve"> </w:t>
      </w:r>
      <m:oMath>
        <m:r>
          <m:t>v</m:t>
        </m:r>
        <m:r>
          <m:rPr>
            <m:sty m:val="p"/>
          </m:rPr>
          <m:t>(</m:t>
        </m:r>
        <m:r>
          <m:t>0</m:t>
        </m:r>
        <m:r>
          <m:rPr>
            <m:sty m:val="p"/>
          </m:rPr>
          <m:t>;</m:t>
        </m:r>
        <m:sSub>
          <m:e>
            <m:r>
              <m:t>a</m:t>
            </m:r>
          </m:e>
          <m:sub>
            <m:r>
              <m:t>i</m:t>
            </m:r>
          </m:sub>
        </m:sSub>
        <m:r>
          <m:rPr>
            <m:sty m:val="p"/>
          </m:rPr>
          <m:t>)</m:t>
        </m:r>
        <m:r>
          <m:rPr>
            <m:sty m:val="p"/>
          </m:rPr>
          <m:t>=</m:t>
        </m:r>
        <m:r>
          <m:t>w</m:t>
        </m:r>
      </m:oMath>
      <w:r>
        <w:t xml:space="preserve">. If the individual does not avoid the ask, utility from giving</w:t>
      </w:r>
      <w:r>
        <w:t xml:space="preserve"> </w:t>
      </w:r>
      <m:oMath>
        <m:r>
          <m:t>g</m:t>
        </m:r>
      </m:oMath>
      <w:r>
        <w:t xml:space="preserve"> </w:t>
      </w:r>
      <w:r>
        <w:t xml:space="preserve">in match condition</w:t>
      </w:r>
      <w:r>
        <w:t xml:space="preserve"> </w:t>
      </w:r>
      <m:oMath>
        <m:r>
          <m:t>m</m:t>
        </m:r>
        <m:r>
          <m:rPr>
            <m:sty m:val="p"/>
          </m:rPr>
          <m:t>∈</m:t>
        </m:r>
        <m:r>
          <m:rPr>
            <m:sty m:val="p"/>
          </m:rPr>
          <m:t>{</m:t>
        </m:r>
        <m:r>
          <m:t>0</m:t>
        </m:r>
        <m:r>
          <m:rPr>
            <m:sty m:val="p"/>
          </m:rPr>
          <m:t>,</m:t>
        </m:r>
        <m:r>
          <m:t>1</m:t>
        </m:r>
        <m:r>
          <m:rPr>
            <m:sty m:val="p"/>
          </m:rPr>
          <m:t>}</m:t>
        </m:r>
      </m:oMath>
      <w:r>
        <w:t xml:space="preserve"> </w:t>
      </w:r>
      <w:r>
        <w:t xml:space="preserve">is</w:t>
      </w:r>
    </w:p>
    <w:p>
      <w:pPr>
        <w:pStyle w:val="BodyText"/>
      </w:pPr>
      <m:oMathPara>
        <m:oMathParaPr>
          <m:jc m:val="center"/>
        </m:oMathParaPr>
        <m:oMath>
          <m:sSub>
            <m:e>
              <m:r>
                <m:t>U</m:t>
              </m:r>
            </m:e>
            <m:sub>
              <m:r>
                <m:t>m</m:t>
              </m:r>
            </m:sub>
          </m:sSub>
          <m:r>
            <m:rPr>
              <m:sty m:val="p"/>
            </m:rPr>
            <m:t>(</m:t>
          </m:r>
          <m:r>
            <m:t>g</m:t>
          </m:r>
          <m:r>
            <m:rPr>
              <m:sty m:val="p"/>
            </m:rPr>
            <m:t>;</m:t>
          </m:r>
          <m:sSub>
            <m:e>
              <m:r>
                <m:t>a</m:t>
              </m:r>
            </m:e>
            <m:sub>
              <m:r>
                <m:t>i</m:t>
              </m:r>
            </m:sub>
          </m:sSub>
          <m:r>
            <m:rPr>
              <m:sty m:val="p"/>
            </m:rPr>
            <m:t>,</m:t>
          </m:r>
          <m:sSub>
            <m:e>
              <m:r>
                <m:t>H</m:t>
              </m:r>
            </m:e>
            <m:sub>
              <m:r>
                <m:t>i</m:t>
              </m:r>
            </m:sub>
          </m:sSub>
          <m:r>
            <m:rPr>
              <m:sty m:val="p"/>
            </m:rPr>
            <m:t>)</m:t>
          </m:r>
          <m:r>
            <m:rPr>
              <m:sty m:val="p"/>
            </m:rPr>
            <m:t>=</m:t>
          </m:r>
          <m:r>
            <m:t>w</m:t>
          </m:r>
          <m:r>
            <m:rPr>
              <m:sty m:val="p"/>
            </m:rPr>
            <m:t>−</m:t>
          </m:r>
          <m:r>
            <m:t>g</m:t>
          </m:r>
          <m:r>
            <m:rPr>
              <m:sty m:val="p"/>
            </m:rPr>
            <m:t>+</m:t>
          </m:r>
          <m:sSub>
            <m:e>
              <m:r>
                <m:t>a</m:t>
              </m:r>
            </m:e>
            <m:sub>
              <m:r>
                <m:t>i</m:t>
              </m:r>
            </m:sub>
          </m:sSub>
          <m:r>
            <m:t>u</m:t>
          </m:r>
          <m:r>
            <m:rPr>
              <m:sty m:val="p"/>
            </m:rPr>
            <m:t>(</m:t>
          </m:r>
          <m:r>
            <m:t>g</m:t>
          </m:r>
          <m:r>
            <m:rPr>
              <m:sty m:val="p"/>
            </m:rPr>
            <m:t>)</m:t>
          </m:r>
          <m:r>
            <m:rPr>
              <m:sty m:val="p"/>
            </m:rPr>
            <m:t>−</m:t>
          </m:r>
          <m:sSub>
            <m:e>
              <m:r>
                <m:t>κ</m:t>
              </m:r>
            </m:e>
            <m:sub>
              <m:r>
                <m:t>m</m:t>
              </m:r>
            </m:sub>
          </m:sSub>
          <m:sSub>
            <m:e>
              <m:r>
                <m:t>H</m:t>
              </m:r>
            </m:e>
            <m:sub>
              <m:r>
                <m:t>i</m:t>
              </m:r>
            </m:sub>
          </m:sSub>
          <m:r>
            <m:rPr>
              <m:sty m:val="p"/>
            </m:rPr>
            <m:t>(</m:t>
          </m:r>
          <m:sSup>
            <m:e>
              <m:r>
                <m:t>g</m:t>
              </m:r>
            </m:e>
            <m:sup>
              <m:r>
                <m:t>ℓ</m:t>
              </m:r>
            </m:sup>
          </m:sSup>
          <m:r>
            <m:rPr>
              <m:sty m:val="p"/>
            </m:rPr>
            <m:t>−</m:t>
          </m:r>
          <m:r>
            <m:t>g</m:t>
          </m:r>
          <m:sSub>
            <m:e>
              <m:r>
                <m:rPr>
                  <m:sty m:val="p"/>
                </m:rPr>
                <m:t>)</m:t>
              </m:r>
            </m:e>
            <m:sub>
              <m:r>
                <m:rPr>
                  <m:sty m:val="p"/>
                </m:rPr>
                <m:t>+</m:t>
              </m:r>
            </m:sub>
          </m:sSub>
          <m:r>
            <m:rPr>
              <m:sty m:val="p"/>
            </m:rPr>
            <m:t>.</m:t>
          </m:r>
        </m:oMath>
      </m:oMathPara>
    </w:p>
    <w:p>
      <w:pPr>
        <w:pStyle w:val="FirstParagraph"/>
      </w:pPr>
      <w:r>
        <w:rPr>
          <w:color w:val="FF0000"/>
        </w:rPr>
        <w:t xml:space="preserve">The timing is therefore simple. In the No Avoid condition, the individual chooses</w:t>
      </w:r>
      <w:r>
        <w:rPr>
          <w:color w:val="FF0000"/>
        </w:rPr>
        <w:t xml:space="preserve"> </w:t>
      </w:r>
      <m:oMath>
        <m:r>
          <m:t>g</m:t>
        </m:r>
      </m:oMath>
      <w:r>
        <w:rPr>
          <w:color w:val="FF0000"/>
        </w:rPr>
        <w:t xml:space="preserve">. In the Avoid condition, the individual first chooses whether to avoid the ask; conditional on not avoiding, the individual chooses</w:t>
      </w:r>
      <w:r>
        <w:rPr>
          <w:color w:val="FF0000"/>
        </w:rPr>
        <w:t xml:space="preserve"> </w:t>
      </w:r>
      <m:oMath>
        <m:r>
          <m:t>g</m:t>
        </m:r>
      </m:oMath>
      <w:r>
        <w:rPr>
          <w:color w:val="FF0000"/>
        </w:rPr>
        <w:t xml:space="preserve">. We solve the problem by backward induction.</w:t>
      </w:r>
    </w:p>
    <w:p>
      <w:pPr>
        <w:pStyle w:val="BodyText"/>
      </w:pPr>
      <w:r>
        <w:rPr>
          <w:color w:val="FF0000"/>
        </w:rPr>
        <w:t xml:space="preserve">Two modelling choices keep the appendix parallel to the main text. First, the appendix is a norm-signalling benchmark:</w:t>
      </w:r>
      <w:r>
        <w:rPr>
          <w:color w:val="FF0000"/>
        </w:rPr>
        <w:t xml:space="preserve"> </w:t>
      </w:r>
      <m:oMath>
        <m:r>
          <m:t>m</m:t>
        </m:r>
      </m:oMath>
      <w:r>
        <w:rPr>
          <w:color w:val="FF0000"/>
        </w:rPr>
        <w:t xml:space="preserve"> </w:t>
      </w:r>
      <w:r>
        <w:rPr>
          <w:color w:val="FF0000"/>
        </w:rPr>
        <w:t xml:space="preserve">does not enter</w:t>
      </w:r>
      <w:r>
        <w:rPr>
          <w:color w:val="FF0000"/>
        </w:rPr>
        <w:t xml:space="preserve"> </w:t>
      </w:r>
      <m:oMath>
        <m:r>
          <m:t>v</m:t>
        </m:r>
        <m:r>
          <m:rPr>
            <m:sty m:val="p"/>
          </m:rPr>
          <m:t>(</m:t>
        </m:r>
        <m:r>
          <m:t>g</m:t>
        </m:r>
        <m:r>
          <m:rPr>
            <m:sty m:val="p"/>
          </m:rPr>
          <m:t>;</m:t>
        </m:r>
        <m:sSub>
          <m:e>
            <m:r>
              <m:t>a</m:t>
            </m:r>
          </m:e>
          <m:sub>
            <m:r>
              <m:t>i</m:t>
            </m:r>
          </m:sub>
        </m:sSub>
        <m:r>
          <m:rPr>
            <m:sty m:val="p"/>
          </m:rPr>
          <m:t>)</m:t>
        </m:r>
      </m:oMath>
      <w:r>
        <w:rPr>
          <w:color w:val="FF0000"/>
        </w:rPr>
        <w:t xml:space="preserve">. Second, to make the three-type classification exhaustive, assume that individuals who are not pure givers would give zero absent the psychological cost of violating the norm. Formally, for every individual either</w:t>
      </w:r>
      <w:r>
        <w:rPr>
          <w:color w:val="FF0000"/>
        </w:rPr>
        <w:t xml:space="preserve"> </w:t>
      </w:r>
      <m:oMath>
        <m:sSub>
          <m:e>
            <m:r>
              <m:t>a</m:t>
            </m:r>
          </m:e>
          <m:sub>
            <m:r>
              <m:t>i</m:t>
            </m:r>
          </m:sub>
        </m:sSub>
        <m:sSup>
          <m:e>
            <m:r>
              <m:t>u</m:t>
            </m:r>
          </m:e>
          <m:sup>
            <m:r>
              <m:rPr>
                <m:sty m:val="p"/>
              </m:rPr>
              <m:t>′</m:t>
            </m:r>
          </m:sup>
        </m:sSup>
        <m:r>
          <m:rPr>
            <m:sty m:val="p"/>
          </m:rPr>
          <m:t>(</m:t>
        </m:r>
        <m:sSup>
          <m:e>
            <m:r>
              <m:t>g</m:t>
            </m:r>
          </m:e>
          <m:sup>
            <m:r>
              <m:t>ℓ</m:t>
            </m:r>
          </m:sup>
        </m:sSup>
        <m:r>
          <m:rPr>
            <m:sty m:val="p"/>
          </m:rPr>
          <m:t>)</m:t>
        </m:r>
        <m:r>
          <m:rPr>
            <m:sty m:val="p"/>
          </m:rPr>
          <m:t>&gt;</m:t>
        </m:r>
        <m:r>
          <m:t>1</m:t>
        </m:r>
      </m:oMath>
      <w:r>
        <w:rPr>
          <w:color w:val="FF0000"/>
        </w:rPr>
        <w:t xml:space="preserve">, or</w:t>
      </w:r>
      <w:r>
        <w:rPr>
          <w:color w:val="FF0000"/>
        </w:rPr>
        <w:t xml:space="preserve"> </w:t>
      </w:r>
      <m:oMath>
        <m:sSub>
          <m:e>
            <m:r>
              <m:t>a</m:t>
            </m:r>
          </m:e>
          <m:sub>
            <m:r>
              <m:t>i</m:t>
            </m:r>
          </m:sub>
        </m:sSub>
        <m:sSup>
          <m:e>
            <m:r>
              <m:t>u</m:t>
            </m:r>
          </m:e>
          <m:sup>
            <m:r>
              <m:rPr>
                <m:sty m:val="p"/>
              </m:rPr>
              <m:t>′</m:t>
            </m:r>
          </m:sup>
        </m:sSup>
        <m:r>
          <m:rPr>
            <m:sty m:val="p"/>
          </m:rPr>
          <m:t>(</m:t>
        </m:r>
        <m:r>
          <m:t>0</m:t>
        </m:r>
        <m:r>
          <m:rPr>
            <m:sty m:val="p"/>
          </m:rPr>
          <m:t>)</m:t>
        </m:r>
        <m:r>
          <m:rPr>
            <m:sty m:val="p"/>
          </m:rPr>
          <m:t>≤</m:t>
        </m:r>
        <m:r>
          <m:t>1</m:t>
        </m:r>
      </m:oMath>
      <w:r>
        <w:rPr>
          <w:color w:val="FF0000"/>
        </w:rPr>
        <w:t xml:space="preserve">. This rules out intrinsic small donors who would give a positive amount below</w:t>
      </w:r>
      <w:r>
        <w:rPr>
          <w:color w:val="FF0000"/>
        </w:rPr>
        <w:t xml:space="preserve"> </w:t>
      </w:r>
      <m:oMath>
        <m:sSup>
          <m:e>
            <m:r>
              <m:t>g</m:t>
            </m:r>
          </m:e>
          <m:sup>
            <m:r>
              <m:t>ℓ</m:t>
            </m:r>
          </m:sup>
        </m:sSup>
      </m:oMath>
      <w:r>
        <w:rPr>
          <w:color w:val="FF0000"/>
        </w:rPr>
        <w:t xml:space="preserve"> </w:t>
      </w:r>
      <w:r>
        <w:rPr>
          <w:color w:val="FF0000"/>
        </w:rPr>
        <w:t xml:space="preserve">even with</w:t>
      </w:r>
      <w:r>
        <w:rPr>
          <w:color w:val="FF0000"/>
        </w:rPr>
        <w:t xml:space="preserve"> </w:t>
      </w:r>
      <m:oMath>
        <m:sSub>
          <m:e>
            <m:r>
              <m:t>H</m:t>
            </m:r>
          </m:e>
          <m:sub>
            <m:r>
              <m:t>i</m:t>
            </m:r>
          </m:sub>
        </m:sSub>
        <m:r>
          <m:rPr>
            <m:sty m:val="p"/>
          </m:rPr>
          <m:t>=</m:t>
        </m:r>
        <m:r>
          <m:t>0</m:t>
        </m:r>
      </m:oMath>
      <w:r>
        <w:rPr>
          <w:color w:val="FF0000"/>
        </w:rPr>
        <w:t xml:space="preserve">. Allowing such donors would not change the main Avoid versus No Avoid prediction for the frequency of giving; they can be grouped with always-givers for that purpose.</w:t>
      </w:r>
    </w:p>
    <w:bookmarkStart w:id="9" w:name="baseline-giving-and-type-classification"/>
    <w:p>
      <w:pPr>
        <w:pStyle w:val="Heading2"/>
      </w:pPr>
      <w:r>
        <w:t xml:space="preserve">Baseline Giving and Type Classification</w:t>
      </w:r>
    </w:p>
    <w:p>
      <w:pPr>
        <w:pStyle w:val="FirstParagraph"/>
      </w:pPr>
      <w:r>
        <w:t xml:space="preserve">We first solve the No Avoid - No Match treatment. If</w:t>
      </w:r>
      <w:r>
        <w:t xml:space="preserve"> </w:t>
      </w:r>
      <m:oMath>
        <m:r>
          <m:t>g</m:t>
        </m:r>
        <m:r>
          <m:rPr>
            <m:sty m:val="p"/>
          </m:rPr>
          <m:t>&lt;</m:t>
        </m:r>
        <m:sSup>
          <m:e>
            <m:r>
              <m:t>g</m:t>
            </m:r>
          </m:e>
          <m:sup>
            <m:r>
              <m:t>ℓ</m:t>
            </m:r>
          </m:sup>
        </m:sSup>
      </m:oMath>
      <w:r>
        <w:t xml:space="preserve">, the first-order condition is</w:t>
      </w:r>
    </w:p>
    <w:p>
      <w:pPr>
        <w:pStyle w:val="BodyText"/>
      </w:pPr>
      <m:oMathPara>
        <m:oMathParaPr>
          <m:jc m:val="center"/>
        </m:oMathParaPr>
        <m:oMath>
          <m:sSub>
            <m:e>
              <m:r>
                <m:t>a</m:t>
              </m:r>
            </m:e>
            <m:sub>
              <m:r>
                <m:t>i</m:t>
              </m:r>
            </m:sub>
          </m:sSub>
          <m:sSup>
            <m:e>
              <m:r>
                <m:t>u</m:t>
              </m:r>
            </m:e>
            <m:sup>
              <m:r>
                <m:rPr>
                  <m:sty m:val="p"/>
                </m:rPr>
                <m:t>′</m:t>
              </m:r>
            </m:sup>
          </m:sSup>
          <m:r>
            <m:rPr>
              <m:sty m:val="p"/>
            </m:rPr>
            <m:t>(</m:t>
          </m:r>
          <m:r>
            <m:t>g</m:t>
          </m:r>
          <m:r>
            <m:rPr>
              <m:sty m:val="p"/>
            </m:rPr>
            <m:t>)</m:t>
          </m:r>
          <m:r>
            <m:rPr>
              <m:sty m:val="p"/>
            </m:rPr>
            <m:t>+</m:t>
          </m:r>
          <m:sSub>
            <m:e>
              <m:r>
                <m:t>H</m:t>
              </m:r>
            </m:e>
            <m:sub>
              <m:r>
                <m:t>i</m:t>
              </m:r>
            </m:sub>
          </m:sSub>
          <m:r>
            <m:rPr>
              <m:sty m:val="p"/>
            </m:rPr>
            <m:t>=</m:t>
          </m:r>
          <m:r>
            <m:t>1</m:t>
          </m:r>
          <m:r>
            <m:rPr>
              <m:sty m:val="p"/>
            </m:rPr>
            <m:t>.</m:t>
          </m:r>
        </m:oMath>
      </m:oMathPara>
    </w:p>
    <w:p>
      <w:pPr>
        <w:pStyle w:val="FirstParagraph"/>
      </w:pPr>
      <w:r>
        <w:t xml:space="preserve">If</w:t>
      </w:r>
      <w:r>
        <w:t xml:space="preserve"> </w:t>
      </w:r>
      <m:oMath>
        <m:r>
          <m:t>g</m:t>
        </m:r>
        <m:r>
          <m:rPr>
            <m:sty m:val="p"/>
          </m:rPr>
          <m:t>≥</m:t>
        </m:r>
        <m:sSup>
          <m:e>
            <m:r>
              <m:t>g</m:t>
            </m:r>
          </m:e>
          <m:sup>
            <m:r>
              <m:t>ℓ</m:t>
            </m:r>
          </m:sup>
        </m:sSup>
      </m:oMath>
      <w:r>
        <w:t xml:space="preserve">, the psychological cost is zero and the marginal condition is</w:t>
      </w:r>
      <w:r>
        <w:t xml:space="preserve"> </w:t>
      </w:r>
      <m:oMath>
        <m:sSub>
          <m:e>
            <m:r>
              <m:t>a</m:t>
            </m:r>
          </m:e>
          <m:sub>
            <m:r>
              <m:t>i</m:t>
            </m:r>
          </m:sub>
        </m:sSub>
        <m:sSup>
          <m:e>
            <m:r>
              <m:t>u</m:t>
            </m:r>
          </m:e>
          <m:sup>
            <m:r>
              <m:rPr>
                <m:sty m:val="p"/>
              </m:rPr>
              <m:t>′</m:t>
            </m:r>
          </m:sup>
        </m:sSup>
        <m:r>
          <m:rPr>
            <m:sty m:val="p"/>
          </m:rPr>
          <m:t>(</m:t>
        </m:r>
        <m:r>
          <m:t>g</m:t>
        </m:r>
        <m:r>
          <m:rPr>
            <m:sty m:val="p"/>
          </m:rPr>
          <m:t>)</m:t>
        </m:r>
        <m:r>
          <m:rPr>
            <m:sty m:val="p"/>
          </m:rPr>
          <m:t>=</m:t>
        </m:r>
        <m:r>
          <m:t>1</m:t>
        </m:r>
      </m:oMath>
      <w:r>
        <w:t xml:space="preserve">. Hence an individual gives more than the norm level if</w:t>
      </w:r>
    </w:p>
    <w:p>
      <w:pPr>
        <w:pStyle w:val="BodyText"/>
      </w:pPr>
      <m:oMathPara>
        <m:oMathParaPr>
          <m:jc m:val="center"/>
        </m:oMathParaPr>
        <m:oMath>
          <m:sSub>
            <m:e>
              <m:r>
                <m:t>a</m:t>
              </m:r>
            </m:e>
            <m:sub>
              <m:r>
                <m:t>i</m:t>
              </m:r>
            </m:sub>
          </m:sSub>
          <m:sSup>
            <m:e>
              <m:r>
                <m:t>u</m:t>
              </m:r>
            </m:e>
            <m:sup>
              <m:r>
                <m:rPr>
                  <m:sty m:val="p"/>
                </m:rPr>
                <m:t>′</m:t>
              </m:r>
            </m:sup>
          </m:sSup>
          <m:r>
            <m:rPr>
              <m:sty m:val="p"/>
            </m:rPr>
            <m:t>(</m:t>
          </m:r>
          <m:sSup>
            <m:e>
              <m:r>
                <m:t>g</m:t>
              </m:r>
            </m:e>
            <m:sup>
              <m:r>
                <m:t>ℓ</m:t>
              </m:r>
            </m:sup>
          </m:sSup>
          <m:r>
            <m:rPr>
              <m:sty m:val="p"/>
            </m:rPr>
            <m:t>)</m:t>
          </m:r>
          <m:r>
            <m:rPr>
              <m:sty m:val="p"/>
            </m:rPr>
            <m:t>&gt;</m:t>
          </m:r>
          <m:r>
            <m:t>1</m:t>
          </m:r>
          <m:r>
            <m:rPr>
              <m:sty m:val="p"/>
            </m:rPr>
            <m:t>.</m:t>
          </m:r>
        </m:oMath>
      </m:oMathPara>
    </w:p>
    <w:p>
      <w:pPr>
        <w:pStyle w:val="FirstParagraph"/>
      </w:pPr>
      <w:r>
        <w:t xml:space="preserve">These individuals are pure givers: they care enough about the charity to give more than</w:t>
      </w:r>
      <w:r>
        <w:t xml:space="preserve"> </w:t>
      </w:r>
      <m:oMath>
        <m:sSup>
          <m:e>
            <m:r>
              <m:t>g</m:t>
            </m:r>
          </m:e>
          <m:sup>
            <m:r>
              <m:t>ℓ</m:t>
            </m:r>
          </m:sup>
        </m:sSup>
      </m:oMath>
      <w:r>
        <w:t xml:space="preserve"> </w:t>
      </w:r>
      <w:r>
        <w:t xml:space="preserve">even without psychological pressure.</w:t>
      </w:r>
    </w:p>
    <w:p>
      <w:pPr>
        <w:pStyle w:val="BodyText"/>
      </w:pPr>
      <w:r>
        <w:t xml:space="preserve">For all other individuals,</w:t>
      </w:r>
      <w:r>
        <w:t xml:space="preserve"> </w:t>
      </w:r>
      <m:oMath>
        <m:sSub>
          <m:e>
            <m:r>
              <m:t>a</m:t>
            </m:r>
          </m:e>
          <m:sub>
            <m:r>
              <m:t>i</m:t>
            </m:r>
          </m:sub>
        </m:sSub>
        <m:sSup>
          <m:e>
            <m:r>
              <m:t>u</m:t>
            </m:r>
          </m:e>
          <m:sup>
            <m:r>
              <m:rPr>
                <m:sty m:val="p"/>
              </m:rPr>
              <m:t>′</m:t>
            </m:r>
          </m:sup>
        </m:sSup>
        <m:r>
          <m:rPr>
            <m:sty m:val="p"/>
          </m:rPr>
          <m:t>(</m:t>
        </m:r>
        <m:r>
          <m:t>0</m:t>
        </m:r>
        <m:r>
          <m:rPr>
            <m:sty m:val="p"/>
          </m:rPr>
          <m:t>)</m:t>
        </m:r>
        <m:r>
          <m:rPr>
            <m:sty m:val="p"/>
          </m:rPr>
          <m:t>≤</m:t>
        </m:r>
        <m:r>
          <m:t>1</m:t>
        </m:r>
      </m:oMath>
      <w:r>
        <w:t xml:space="preserve">. Define two thresholds:</w:t>
      </w:r>
    </w:p>
    <w:p>
      <w:pPr>
        <w:pStyle w:val="BodyText"/>
      </w:pPr>
      <m:oMathPara>
        <m:oMathParaPr>
          <m:jc m:val="center"/>
        </m:oMathParaPr>
        <m:oMath>
          <m:sSubSup>
            <m:e>
              <m:r>
                <m:t>H</m:t>
              </m:r>
            </m:e>
            <m:sub>
              <m:r>
                <m:t>i</m:t>
              </m:r>
            </m:sub>
            <m:sup>
              <m:r>
                <m:t>L</m:t>
              </m:r>
            </m:sup>
          </m:sSubSup>
          <m:r>
            <m:rPr>
              <m:sty m:val="p"/>
            </m:rPr>
            <m:t>=</m:t>
          </m:r>
          <m:r>
            <m:t>1</m:t>
          </m:r>
          <m:r>
            <m:rPr>
              <m:sty m:val="p"/>
            </m:rPr>
            <m:t>−</m:t>
          </m:r>
          <m:sSub>
            <m:e>
              <m:r>
                <m:t>a</m:t>
              </m:r>
            </m:e>
            <m:sub>
              <m:r>
                <m:t>i</m:t>
              </m:r>
            </m:sub>
          </m:sSub>
          <m:sSup>
            <m:e>
              <m:r>
                <m:t>u</m:t>
              </m:r>
            </m:e>
            <m:sup>
              <m:r>
                <m:rPr>
                  <m:sty m:val="p"/>
                </m:rPr>
                <m:t>′</m:t>
              </m:r>
            </m:sup>
          </m:sSup>
          <m:r>
            <m:rPr>
              <m:sty m:val="p"/>
            </m:rPr>
            <m:t>(</m:t>
          </m:r>
          <m:r>
            <m:t>0</m:t>
          </m:r>
          <m:r>
            <m:rPr>
              <m:sty m:val="p"/>
            </m:rPr>
            <m:t>)</m:t>
          </m:r>
          <m:r>
            <m:rPr>
              <m:sty m:val="p"/>
            </m:rPr>
            <m:t>,</m:t>
          </m:r>
          <m:r>
            <m:t>  </m:t>
          </m:r>
          <m:sSubSup>
            <m:e>
              <m:r>
                <m:t>H</m:t>
              </m:r>
            </m:e>
            <m:sub>
              <m:r>
                <m:t>i</m:t>
              </m:r>
            </m:sub>
            <m:sup>
              <m:r>
                <m:t>U</m:t>
              </m:r>
            </m:sup>
          </m:sSubSup>
          <m:r>
            <m:rPr>
              <m:sty m:val="p"/>
            </m:rPr>
            <m:t>=</m:t>
          </m:r>
          <m:r>
            <m:t>1</m:t>
          </m:r>
          <m:r>
            <m:rPr>
              <m:sty m:val="p"/>
            </m:rPr>
            <m:t>−</m:t>
          </m:r>
          <m:sSub>
            <m:e>
              <m:r>
                <m:t>a</m:t>
              </m:r>
            </m:e>
            <m:sub>
              <m:r>
                <m:t>i</m:t>
              </m:r>
            </m:sub>
          </m:sSub>
          <m:sSup>
            <m:e>
              <m:r>
                <m:t>u</m:t>
              </m:r>
            </m:e>
            <m:sup>
              <m:r>
                <m:rPr>
                  <m:sty m:val="p"/>
                </m:rPr>
                <m:t>′</m:t>
              </m:r>
            </m:sup>
          </m:sSup>
          <m:r>
            <m:rPr>
              <m:sty m:val="p"/>
            </m:rPr>
            <m:t>(</m:t>
          </m:r>
          <m:sSup>
            <m:e>
              <m:r>
                <m:t>g</m:t>
              </m:r>
            </m:e>
            <m:sup>
              <m:r>
                <m:t>ℓ</m:t>
              </m:r>
            </m:sup>
          </m:sSup>
          <m:r>
            <m:rPr>
              <m:sty m:val="p"/>
            </m:rPr>
            <m:t>)</m:t>
          </m:r>
          <m:r>
            <m:rPr>
              <m:sty m:val="p"/>
            </m:rPr>
            <m:t>.</m:t>
          </m:r>
        </m:oMath>
      </m:oMathPara>
    </w:p>
    <w:p>
      <w:pPr>
        <w:pStyle w:val="FirstParagraph"/>
      </w:pPr>
      <w:r>
        <w:rPr>
          <w:color w:val="FF0000"/>
        </w:rPr>
        <w:t xml:space="preserve">Since</w:t>
      </w:r>
      <w:r>
        <w:rPr>
          <w:color w:val="FF0000"/>
        </w:rPr>
        <w:t xml:space="preserve"> </w:t>
      </w:r>
      <m:oMath>
        <m:sSup>
          <m:e>
            <m:r>
              <m:t>u</m:t>
            </m:r>
          </m:e>
          <m:sup>
            <m:r>
              <m:rPr>
                <m:sty m:val="p"/>
              </m:rPr>
              <m:t>′</m:t>
            </m:r>
          </m:sup>
        </m:sSup>
      </m:oMath>
      <w:r>
        <w:rPr>
          <w:color w:val="FF0000"/>
        </w:rPr>
        <w:t xml:space="preserve"> </w:t>
      </w:r>
      <w:r>
        <w:rPr>
          <w:color w:val="FF0000"/>
        </w:rPr>
        <w:t xml:space="preserve">is decreasing,</w:t>
      </w:r>
      <w:r>
        <w:rPr>
          <w:color w:val="FF0000"/>
        </w:rPr>
        <w:t xml:space="preserve"> </w:t>
      </w:r>
      <m:oMath>
        <m:r>
          <m:t>0</m:t>
        </m:r>
        <m:r>
          <m:rPr>
            <m:sty m:val="p"/>
          </m:rPr>
          <m:t>≤</m:t>
        </m:r>
        <m:sSubSup>
          <m:e>
            <m:r>
              <m:t>H</m:t>
            </m:r>
          </m:e>
          <m:sub>
            <m:r>
              <m:t>i</m:t>
            </m:r>
          </m:sub>
          <m:sup>
            <m:r>
              <m:t>L</m:t>
            </m:r>
          </m:sup>
        </m:sSubSup>
        <m:r>
          <m:rPr>
            <m:sty m:val="p"/>
          </m:rPr>
          <m:t>&lt;</m:t>
        </m:r>
        <m:sSubSup>
          <m:e>
            <m:r>
              <m:t>H</m:t>
            </m:r>
          </m:e>
          <m:sub>
            <m:r>
              <m:t>i</m:t>
            </m:r>
          </m:sub>
          <m:sup>
            <m:r>
              <m:t>U</m:t>
            </m:r>
          </m:sup>
        </m:sSubSup>
      </m:oMath>
      <w:r>
        <w:rPr>
          <w:color w:val="FF0000"/>
        </w:rPr>
        <w:t xml:space="preserve">.</w:t>
      </w:r>
      <w:r>
        <w:rPr>
          <w:color w:val="FF0000"/>
        </w:rPr>
        <w:t xml:space="preserve"> </w:t>
      </w:r>
      <w:r>
        <w:rPr>
          <w:color w:val="FF0000"/>
        </w:rPr>
        <w:t xml:space="preserve">We ignore knife-edge indifference cases, or equivalently assume that ties are resolved toward the lower gift and toward avoiding the ask.</w:t>
      </w:r>
    </w:p>
    <w:p>
      <w:pPr>
        <w:pStyle w:val="BodyText"/>
      </w:pPr>
      <w:r>
        <w:t xml:space="preserve">The remaining individuals fall into two groups.</w:t>
      </w:r>
    </w:p>
    <w:p>
      <w:pPr>
        <w:pStyle w:val="Compact"/>
        <w:numPr>
          <w:ilvl w:val="0"/>
          <w:numId w:val="1001"/>
        </w:numPr>
      </w:pPr>
      <w:r>
        <w:t xml:space="preserve">Pure givers satisfy</w:t>
      </w:r>
      <w:r>
        <w:t xml:space="preserve"> </w:t>
      </w:r>
      <m:oMath>
        <m:sSub>
          <m:e>
            <m:r>
              <m:t>a</m:t>
            </m:r>
          </m:e>
          <m:sub>
            <m:r>
              <m:t>i</m:t>
            </m:r>
          </m:sub>
        </m:sSub>
        <m:sSup>
          <m:e>
            <m:r>
              <m:t>u</m:t>
            </m:r>
          </m:e>
          <m:sup>
            <m:r>
              <m:rPr>
                <m:sty m:val="p"/>
              </m:rPr>
              <m:t>′</m:t>
            </m:r>
          </m:sup>
        </m:sSup>
        <m:r>
          <m:rPr>
            <m:sty m:val="p"/>
          </m:rPr>
          <m:t>(</m:t>
        </m:r>
        <m:sSup>
          <m:e>
            <m:r>
              <m:t>g</m:t>
            </m:r>
          </m:e>
          <m:sup>
            <m:r>
              <m:t>ℓ</m:t>
            </m:r>
          </m:sup>
        </m:sSup>
        <m:r>
          <m:rPr>
            <m:sty m:val="p"/>
          </m:rPr>
          <m:t>)</m:t>
        </m:r>
        <m:r>
          <m:rPr>
            <m:sty m:val="p"/>
          </m:rPr>
          <m:t>&gt;</m:t>
        </m:r>
        <m:r>
          <m:t>1</m:t>
        </m:r>
      </m:oMath>
      <w:r>
        <w:t xml:space="preserve">. They give</w:t>
      </w:r>
      <w:r>
        <w:t xml:space="preserve"> </w:t>
      </w:r>
      <m:oMath>
        <m:sSubSup>
          <m:e>
            <m:r>
              <m:t>g</m:t>
            </m:r>
          </m:e>
          <m:sub>
            <m:r>
              <m:t>i</m:t>
            </m:r>
          </m:sub>
          <m:sup>
            <m:r>
              <m:rPr>
                <m:sty m:val="p"/>
              </m:rPr>
              <m:t>*</m:t>
            </m:r>
          </m:sup>
        </m:sSubSup>
        <m:r>
          <m:rPr>
            <m:sty m:val="p"/>
          </m:rPr>
          <m:t>&gt;</m:t>
        </m:r>
        <m:sSup>
          <m:e>
            <m:r>
              <m:t>g</m:t>
            </m:r>
          </m:e>
          <m:sup>
            <m:r>
              <m:t>ℓ</m:t>
            </m:r>
          </m:sup>
        </m:sSup>
      </m:oMath>
      <w:r>
        <w:t xml:space="preserve"> </w:t>
      </w:r>
      <w:r>
        <w:t xml:space="preserve">in the No Avoid - No Match treatment.</w:t>
      </w:r>
    </w:p>
    <w:p>
      <w:pPr>
        <w:pStyle w:val="Compact"/>
        <w:numPr>
          <w:ilvl w:val="0"/>
          <w:numId w:val="1001"/>
        </w:numPr>
      </w:pPr>
      <w:r>
        <w:t xml:space="preserve">Reluctant givers satisfy</w:t>
      </w:r>
      <w:r>
        <w:t xml:space="preserve"> </w:t>
      </w:r>
      <m:oMath>
        <m:sSubSup>
          <m:e>
            <m:r>
              <m:t>H</m:t>
            </m:r>
          </m:e>
          <m:sub>
            <m:r>
              <m:t>i</m:t>
            </m:r>
          </m:sub>
          <m:sup>
            <m:r>
              <m:t>L</m:t>
            </m:r>
          </m:sup>
        </m:sSubSup>
        <m:r>
          <m:rPr>
            <m:sty m:val="p"/>
          </m:rPr>
          <m:t>&lt;</m:t>
        </m:r>
        <m:sSub>
          <m:e>
            <m:r>
              <m:t>H</m:t>
            </m:r>
          </m:e>
          <m:sub>
            <m:r>
              <m:t>i</m:t>
            </m:r>
          </m:sub>
        </m:sSub>
        <m:r>
          <m:rPr>
            <m:sty m:val="p"/>
          </m:rPr>
          <m:t>≤</m:t>
        </m:r>
        <m:sSubSup>
          <m:e>
            <m:r>
              <m:t>H</m:t>
            </m:r>
          </m:e>
          <m:sub>
            <m:r>
              <m:t>i</m:t>
            </m:r>
          </m:sub>
          <m:sup>
            <m:r>
              <m:t>U</m:t>
            </m:r>
          </m:sup>
        </m:sSubSup>
      </m:oMath>
      <w:r>
        <w:t xml:space="preserve">. They do not care enough about the charity to give absent the norm, but the psychological cost of giving less than the norm induces them to give a positive amount</w:t>
      </w:r>
      <w:r>
        <w:t xml:space="preserve"> </w:t>
      </w:r>
      <m:oMath>
        <m:r>
          <m:t>0</m:t>
        </m:r>
        <m:r>
          <m:rPr>
            <m:sty m:val="p"/>
          </m:rPr>
          <m:t>&lt;</m:t>
        </m:r>
        <m:sSubSup>
          <m:e>
            <m:r>
              <m:t>g</m:t>
            </m:r>
          </m:e>
          <m:sub>
            <m:r>
              <m:t>i</m:t>
            </m:r>
          </m:sub>
          <m:sup>
            <m:r>
              <m:rPr>
                <m:sty m:val="p"/>
              </m:rPr>
              <m:t>*</m:t>
            </m:r>
          </m:sup>
        </m:sSubSup>
        <m:r>
          <m:rPr>
            <m:sty m:val="p"/>
          </m:rPr>
          <m:t>≤</m:t>
        </m:r>
        <m:sSup>
          <m:e>
            <m:r>
              <m:t>g</m:t>
            </m:r>
          </m:e>
          <m:sup>
            <m:r>
              <m:t>ℓ</m:t>
            </m:r>
          </m:sup>
        </m:sSup>
      </m:oMath>
      <w:r>
        <w:t xml:space="preserve">.</w:t>
      </w:r>
    </w:p>
    <w:p>
      <w:pPr>
        <w:pStyle w:val="Compact"/>
        <w:numPr>
          <w:ilvl w:val="0"/>
          <w:numId w:val="1001"/>
        </w:numPr>
      </w:pPr>
      <w:r>
        <w:t xml:space="preserve">Non-givers satisfy</w:t>
      </w:r>
      <w:r>
        <w:t xml:space="preserve"> </w:t>
      </w:r>
      <m:oMath>
        <m:sSub>
          <m:e>
            <m:r>
              <m:t>H</m:t>
            </m:r>
          </m:e>
          <m:sub>
            <m:r>
              <m:t>i</m:t>
            </m:r>
          </m:sub>
        </m:sSub>
        <m:r>
          <m:rPr>
            <m:sty m:val="p"/>
          </m:rPr>
          <m:t>≤</m:t>
        </m:r>
        <m:sSubSup>
          <m:e>
            <m:r>
              <m:t>H</m:t>
            </m:r>
          </m:e>
          <m:sub>
            <m:r>
              <m:t>i</m:t>
            </m:r>
          </m:sub>
          <m:sup>
            <m:r>
              <m:t>L</m:t>
            </m:r>
          </m:sup>
        </m:sSubSup>
      </m:oMath>
      <w:r>
        <w:t xml:space="preserve">. Their norm cost is too small to induce giving, so they give zero in the No Avoid - No Match treatment.</w:t>
      </w:r>
    </w:p>
    <w:p>
      <w:pPr>
        <w:pStyle w:val="FirstParagraph"/>
      </w:pPr>
      <w:r>
        <w:rPr>
          <w:color w:val="FF0000"/>
        </w:rPr>
        <w:t xml:space="preserve">This classification preserves the intuition in the main text while making the threshold argument explicit. Pure givers give because of altruistic utility. Reluctant givers give because the norm cost makes giving zero unattractive. Non-givers give zero because both altruism and norm pressure are too weak.</w:t>
      </w:r>
    </w:p>
    <w:bookmarkEnd w:id="9"/>
    <w:bookmarkStart w:id="10" w:name="matching-when-the-ask-cannot-be-avoided"/>
    <w:p>
      <w:pPr>
        <w:pStyle w:val="Heading2"/>
      </w:pPr>
      <w:r>
        <w:t xml:space="preserve">Matching When the Ask Cannot Be Avoided</w:t>
      </w:r>
    </w:p>
    <w:p>
      <w:pPr>
        <w:pStyle w:val="FirstParagraph"/>
      </w:pPr>
      <w:r>
        <w:t xml:space="preserve">In the No Avoid - Match treatment, the match raises the psychological cost of giving less than</w:t>
      </w:r>
      <w:r>
        <w:t xml:space="preserve"> </w:t>
      </w:r>
      <m:oMath>
        <m:sSup>
          <m:e>
            <m:r>
              <m:t>g</m:t>
            </m:r>
          </m:e>
          <m:sup>
            <m:r>
              <m:t>ℓ</m:t>
            </m:r>
          </m:sup>
        </m:sSup>
      </m:oMath>
      <w:r>
        <w:t xml:space="preserve"> </w:t>
      </w:r>
      <w:r>
        <w:t xml:space="preserve">from</w:t>
      </w:r>
      <w:r>
        <w:t xml:space="preserve"> </w:t>
      </w:r>
      <m:oMath>
        <m:sSub>
          <m:e>
            <m:r>
              <m:t>H</m:t>
            </m:r>
          </m:e>
          <m:sub>
            <m:r>
              <m:t>i</m:t>
            </m:r>
          </m:sub>
        </m:sSub>
        <m:r>
          <m:rPr>
            <m:sty m:val="p"/>
          </m:rPr>
          <m:t>(</m:t>
        </m:r>
        <m:sSup>
          <m:e>
            <m:r>
              <m:t>g</m:t>
            </m:r>
          </m:e>
          <m:sup>
            <m:r>
              <m:t>ℓ</m:t>
            </m:r>
          </m:sup>
        </m:sSup>
        <m:r>
          <m:rPr>
            <m:sty m:val="p"/>
          </m:rPr>
          <m:t>−</m:t>
        </m:r>
        <m:r>
          <m:t>g</m:t>
        </m:r>
        <m:sSub>
          <m:e>
            <m:r>
              <m:rPr>
                <m:sty m:val="p"/>
              </m:rPr>
              <m:t>)</m:t>
            </m:r>
          </m:e>
          <m:sub>
            <m:r>
              <m:rPr>
                <m:sty m:val="p"/>
              </m:rPr>
              <m:t>+</m:t>
            </m:r>
          </m:sub>
        </m:sSub>
      </m:oMath>
      <w:r>
        <w:t xml:space="preserve"> </w:t>
      </w:r>
      <w:r>
        <w:t xml:space="preserve">to</w:t>
      </w:r>
      <w:r>
        <w:t xml:space="preserve"> </w:t>
      </w:r>
      <m:oMath>
        <m:r>
          <m:t>γ</m:t>
        </m:r>
        <m:sSub>
          <m:e>
            <m:r>
              <m:t>H</m:t>
            </m:r>
          </m:e>
          <m:sub>
            <m:r>
              <m:t>i</m:t>
            </m:r>
          </m:sub>
        </m:sSub>
        <m:r>
          <m:rPr>
            <m:sty m:val="p"/>
          </m:rPr>
          <m:t>(</m:t>
        </m:r>
        <m:sSup>
          <m:e>
            <m:r>
              <m:t>g</m:t>
            </m:r>
          </m:e>
          <m:sup>
            <m:r>
              <m:t>ℓ</m:t>
            </m:r>
          </m:sup>
        </m:sSup>
        <m:r>
          <m:rPr>
            <m:sty m:val="p"/>
          </m:rPr>
          <m:t>−</m:t>
        </m:r>
        <m:r>
          <m:t>g</m:t>
        </m:r>
        <m:sSub>
          <m:e>
            <m:r>
              <m:rPr>
                <m:sty m:val="p"/>
              </m:rPr>
              <m:t>)</m:t>
            </m:r>
          </m:e>
          <m:sub>
            <m:r>
              <m:rPr>
                <m:sty m:val="p"/>
              </m:rPr>
              <m:t>+</m:t>
            </m:r>
          </m:sub>
        </m:sSub>
      </m:oMath>
      <w:r>
        <w:t xml:space="preserve">. For gifts below the norm, the first-order condition becomes</w:t>
      </w:r>
    </w:p>
    <w:p>
      <w:pPr>
        <w:pStyle w:val="BodyText"/>
      </w:pPr>
      <m:oMathPara>
        <m:oMathParaPr>
          <m:jc m:val="center"/>
        </m:oMathParaPr>
        <m:oMath>
          <m:sSub>
            <m:e>
              <m:r>
                <m:t>a</m:t>
              </m:r>
            </m:e>
            <m:sub>
              <m:r>
                <m:t>i</m:t>
              </m:r>
            </m:sub>
          </m:sSub>
          <m:sSup>
            <m:e>
              <m:r>
                <m:t>u</m:t>
              </m:r>
            </m:e>
            <m:sup>
              <m:r>
                <m:rPr>
                  <m:sty m:val="p"/>
                </m:rPr>
                <m:t>′</m:t>
              </m:r>
            </m:sup>
          </m:sSup>
          <m:r>
            <m:rPr>
              <m:sty m:val="p"/>
            </m:rPr>
            <m:t>(</m:t>
          </m:r>
          <m:r>
            <m:t>g</m:t>
          </m:r>
          <m:r>
            <m:rPr>
              <m:sty m:val="p"/>
            </m:rPr>
            <m:t>)</m:t>
          </m:r>
          <m:r>
            <m:rPr>
              <m:sty m:val="p"/>
            </m:rPr>
            <m:t>+</m:t>
          </m:r>
          <m:r>
            <m:t>γ</m:t>
          </m:r>
          <m:sSub>
            <m:e>
              <m:r>
                <m:t>H</m:t>
              </m:r>
            </m:e>
            <m:sub>
              <m:r>
                <m:t>i</m:t>
              </m:r>
            </m:sub>
          </m:sSub>
          <m:r>
            <m:rPr>
              <m:sty m:val="p"/>
            </m:rPr>
            <m:t>=</m:t>
          </m:r>
          <m:r>
            <m:t>1</m:t>
          </m:r>
          <m:r>
            <m:rPr>
              <m:sty m:val="p"/>
            </m:rPr>
            <m:t>.</m:t>
          </m:r>
        </m:oMath>
      </m:oMathPara>
    </w:p>
    <w:p>
      <w:pPr>
        <w:pStyle w:val="FirstParagraph"/>
      </w:pPr>
      <w:r>
        <w:t xml:space="preserve">The relevant thresholds under the match are</w:t>
      </w:r>
    </w:p>
    <w:p>
      <w:pPr>
        <w:pStyle w:val="BodyText"/>
      </w:pPr>
      <m:oMathPara>
        <m:oMathParaPr>
          <m:jc m:val="center"/>
        </m:oMathParaPr>
        <m:oMath>
          <m:sSubSup>
            <m:e>
              <m:r>
                <m:t>H</m:t>
              </m:r>
            </m:e>
            <m:sub>
              <m:r>
                <m:t>i</m:t>
              </m:r>
            </m:sub>
            <m:sup>
              <m:r>
                <m:t>L</m:t>
              </m:r>
              <m:r>
                <m:t>M</m:t>
              </m:r>
            </m:sup>
          </m:sSubSup>
          <m:r>
            <m:rPr>
              <m:sty m:val="p"/>
            </m:rPr>
            <m:t>=</m:t>
          </m:r>
          <m:f>
            <m:fPr>
              <m:type m:val="bar"/>
            </m:fPr>
            <m:num>
              <m:r>
                <m:t>1</m:t>
              </m:r>
              <m:r>
                <m:rPr>
                  <m:sty m:val="p"/>
                </m:rPr>
                <m:t>−</m:t>
              </m:r>
              <m:sSub>
                <m:e>
                  <m:r>
                    <m:t>a</m:t>
                  </m:r>
                </m:e>
                <m:sub>
                  <m:r>
                    <m:t>i</m:t>
                  </m:r>
                </m:sub>
              </m:sSub>
              <m:sSup>
                <m:e>
                  <m:r>
                    <m:t>u</m:t>
                  </m:r>
                </m:e>
                <m:sup>
                  <m:r>
                    <m:rPr>
                      <m:sty m:val="p"/>
                    </m:rPr>
                    <m:t>′</m:t>
                  </m:r>
                </m:sup>
              </m:sSup>
              <m:r>
                <m:rPr>
                  <m:sty m:val="p"/>
                </m:rPr>
                <m:t>(</m:t>
              </m:r>
              <m:r>
                <m:t>0</m:t>
              </m:r>
              <m:r>
                <m:rPr>
                  <m:sty m:val="p"/>
                </m:rPr>
                <m:t>)</m:t>
              </m:r>
            </m:num>
            <m:den>
              <m:r>
                <m:t>γ</m:t>
              </m:r>
            </m:den>
          </m:f>
          <m:r>
            <m:rPr>
              <m:sty m:val="p"/>
            </m:rPr>
            <m:t>=</m:t>
          </m:r>
          <m:f>
            <m:fPr>
              <m:type m:val="bar"/>
            </m:fPr>
            <m:num>
              <m:sSubSup>
                <m:e>
                  <m:r>
                    <m:t>H</m:t>
                  </m:r>
                </m:e>
                <m:sub>
                  <m:r>
                    <m:t>i</m:t>
                  </m:r>
                </m:sub>
                <m:sup>
                  <m:r>
                    <m:t>L</m:t>
                  </m:r>
                </m:sup>
              </m:sSubSup>
            </m:num>
            <m:den>
              <m:r>
                <m:t>γ</m:t>
              </m:r>
            </m:den>
          </m:f>
          <m:r>
            <m:rPr>
              <m:sty m:val="p"/>
            </m:rPr>
            <m:t>,</m:t>
          </m:r>
          <m:r>
            <m:t>  </m:t>
          </m:r>
          <m:sSubSup>
            <m:e>
              <m:r>
                <m:t>H</m:t>
              </m:r>
            </m:e>
            <m:sub>
              <m:r>
                <m:t>i</m:t>
              </m:r>
            </m:sub>
            <m:sup>
              <m:r>
                <m:t>U</m:t>
              </m:r>
              <m:r>
                <m:t>M</m:t>
              </m:r>
            </m:sup>
          </m:sSubSup>
          <m:r>
            <m:rPr>
              <m:sty m:val="p"/>
            </m:rPr>
            <m:t>=</m:t>
          </m:r>
          <m:f>
            <m:fPr>
              <m:type m:val="bar"/>
            </m:fPr>
            <m:num>
              <m:r>
                <m:t>1</m:t>
              </m:r>
              <m:r>
                <m:rPr>
                  <m:sty m:val="p"/>
                </m:rPr>
                <m:t>−</m:t>
              </m:r>
              <m:sSub>
                <m:e>
                  <m:r>
                    <m:t>a</m:t>
                  </m:r>
                </m:e>
                <m:sub>
                  <m:r>
                    <m:t>i</m:t>
                  </m:r>
                </m:sub>
              </m:sSub>
              <m:sSup>
                <m:e>
                  <m:r>
                    <m:t>u</m:t>
                  </m:r>
                </m:e>
                <m:sup>
                  <m:r>
                    <m:rPr>
                      <m:sty m:val="p"/>
                    </m:rPr>
                    <m:t>′</m:t>
                  </m:r>
                </m:sup>
              </m:sSup>
              <m:r>
                <m:rPr>
                  <m:sty m:val="p"/>
                </m:rPr>
                <m:t>(</m:t>
              </m:r>
              <m:sSup>
                <m:e>
                  <m:r>
                    <m:t>g</m:t>
                  </m:r>
                </m:e>
                <m:sup>
                  <m:r>
                    <m:t>ℓ</m:t>
                  </m:r>
                </m:sup>
              </m:sSup>
              <m:r>
                <m:rPr>
                  <m:sty m:val="p"/>
                </m:rPr>
                <m:t>)</m:t>
              </m:r>
            </m:num>
            <m:den>
              <m:r>
                <m:t>γ</m:t>
              </m:r>
            </m:den>
          </m:f>
          <m:r>
            <m:rPr>
              <m:sty m:val="p"/>
            </m:rPr>
            <m:t>=</m:t>
          </m:r>
          <m:f>
            <m:fPr>
              <m:type m:val="bar"/>
            </m:fPr>
            <m:num>
              <m:sSubSup>
                <m:e>
                  <m:r>
                    <m:t>H</m:t>
                  </m:r>
                </m:e>
                <m:sub>
                  <m:r>
                    <m:t>i</m:t>
                  </m:r>
                </m:sub>
                <m:sup>
                  <m:r>
                    <m:t>U</m:t>
                  </m:r>
                </m:sup>
              </m:sSubSup>
            </m:num>
            <m:den>
              <m:r>
                <m:t>γ</m:t>
              </m:r>
            </m:den>
          </m:f>
          <m:r>
            <m:rPr>
              <m:sty m:val="p"/>
            </m:rPr>
            <m:t>.</m:t>
          </m:r>
        </m:oMath>
      </m:oMathPara>
    </w:p>
    <w:p>
      <w:pPr>
        <w:pStyle w:val="FirstParagraph"/>
      </w:pPr>
      <w:r>
        <w:t xml:space="preserve">Because</w:t>
      </w:r>
      <w:r>
        <w:t xml:space="preserve"> </w:t>
      </w:r>
      <m:oMath>
        <m:r>
          <m:t>γ</m:t>
        </m:r>
        <m:r>
          <m:rPr>
            <m:sty m:val="p"/>
          </m:rPr>
          <m:t>&gt;</m:t>
        </m:r>
        <m:r>
          <m:t>1</m:t>
        </m:r>
      </m:oMath>
      <w:r>
        <w:t xml:space="preserve">, both thresholds are lower under the match.</w:t>
      </w:r>
    </w:p>
    <w:p>
      <w:pPr>
        <w:pStyle w:val="BodyText"/>
      </w:pPr>
      <w:r>
        <w:t xml:space="preserve">For reluctant givers, matching weakly increases the amount given. If</w:t>
      </w:r>
      <w:r>
        <w:t xml:space="preserve"> </w:t>
      </w:r>
      <m:oMath>
        <m:sSub>
          <m:e>
            <m:r>
              <m:t>H</m:t>
            </m:r>
          </m:e>
          <m:sub>
            <m:r>
              <m:t>i</m:t>
            </m:r>
          </m:sub>
        </m:sSub>
        <m:r>
          <m:rPr>
            <m:sty m:val="p"/>
          </m:rPr>
          <m:t>&gt;</m:t>
        </m:r>
        <m:sSubSup>
          <m:e>
            <m:r>
              <m:t>H</m:t>
            </m:r>
          </m:e>
          <m:sub>
            <m:r>
              <m:t>i</m:t>
            </m:r>
          </m:sub>
          <m:sup>
            <m:r>
              <m:t>U</m:t>
            </m:r>
            <m:r>
              <m:t>M</m:t>
            </m:r>
          </m:sup>
        </m:sSubSup>
      </m:oMath>
      <w:r>
        <w:t xml:space="preserve">, the reluctant giver is pushed to the norm and gives</w:t>
      </w:r>
      <w:r>
        <w:t xml:space="preserve"> </w:t>
      </w:r>
      <m:oMath>
        <m:sSup>
          <m:e>
            <m:r>
              <m:t>g</m:t>
            </m:r>
          </m:e>
          <m:sup>
            <m:r>
              <m:t>ℓ</m:t>
            </m:r>
          </m:sup>
        </m:sSup>
      </m:oMath>
      <w:r>
        <w:t xml:space="preserve">. If</w:t>
      </w:r>
      <w:r>
        <w:t xml:space="preserve"> </w:t>
      </w:r>
      <m:oMath>
        <m:sSubSup>
          <m:e>
            <m:r>
              <m:t>H</m:t>
            </m:r>
          </m:e>
          <m:sub>
            <m:r>
              <m:t>i</m:t>
            </m:r>
          </m:sub>
          <m:sup>
            <m:r>
              <m:t>L</m:t>
            </m:r>
          </m:sup>
        </m:sSubSup>
        <m:r>
          <m:rPr>
            <m:sty m:val="p"/>
          </m:rPr>
          <m:t>&lt;</m:t>
        </m:r>
        <m:sSub>
          <m:e>
            <m:r>
              <m:t>H</m:t>
            </m:r>
          </m:e>
          <m:sub>
            <m:r>
              <m:t>i</m:t>
            </m:r>
          </m:sub>
        </m:sSub>
        <m:r>
          <m:rPr>
            <m:sty m:val="p"/>
          </m:rPr>
          <m:t>≤</m:t>
        </m:r>
        <m:sSubSup>
          <m:e>
            <m:r>
              <m:t>H</m:t>
            </m:r>
          </m:e>
          <m:sub>
            <m:r>
              <m:t>i</m:t>
            </m:r>
          </m:sub>
          <m:sup>
            <m:r>
              <m:t>U</m:t>
            </m:r>
            <m:r>
              <m:t>M</m:t>
            </m:r>
          </m:sup>
        </m:sSubSup>
      </m:oMath>
      <w:r>
        <w:t xml:space="preserve">, the giver remains below the norm but gives more than in the No Match condition.</w:t>
      </w:r>
    </w:p>
    <w:p>
      <w:pPr>
        <w:pStyle w:val="BodyText"/>
      </w:pPr>
      <w:r>
        <w:rPr>
          <w:color w:val="FF0000"/>
        </w:rPr>
        <w:t xml:space="preserve">For non-givers, matching can increase the frequency of giving. Non-givers with</w:t>
      </w:r>
      <w:r>
        <w:rPr>
          <w:color w:val="FF0000"/>
        </w:rPr>
        <w:t xml:space="preserve"> </w:t>
      </w:r>
      <m:oMath>
        <m:sSubSup>
          <m:e>
            <m:r>
              <m:t>H</m:t>
            </m:r>
          </m:e>
          <m:sub>
            <m:r>
              <m:t>i</m:t>
            </m:r>
          </m:sub>
          <m:sup>
            <m:r>
              <m:t>L</m:t>
            </m:r>
            <m:r>
              <m:t>M</m:t>
            </m:r>
          </m:sup>
        </m:sSubSup>
        <m:r>
          <m:rPr>
            <m:sty m:val="p"/>
          </m:rPr>
          <m:t>&lt;</m:t>
        </m:r>
        <m:sSub>
          <m:e>
            <m:r>
              <m:t>H</m:t>
            </m:r>
          </m:e>
          <m:sub>
            <m:r>
              <m:t>i</m:t>
            </m:r>
          </m:sub>
        </m:sSub>
        <m:r>
          <m:rPr>
            <m:sty m:val="p"/>
          </m:rPr>
          <m:t>≤</m:t>
        </m:r>
        <m:sSubSup>
          <m:e>
            <m:r>
              <m:t>H</m:t>
            </m:r>
          </m:e>
          <m:sub>
            <m:r>
              <m:t>i</m:t>
            </m:r>
          </m:sub>
          <m:sup>
            <m:r>
              <m:t>L</m:t>
            </m:r>
          </m:sup>
        </m:sSubSup>
      </m:oMath>
      <w:r>
        <w:rPr>
          <w:color w:val="FF0000"/>
        </w:rPr>
        <w:t xml:space="preserve"> </w:t>
      </w:r>
      <w:r>
        <w:rPr>
          <w:color w:val="FF0000"/>
        </w:rPr>
        <w:t xml:space="preserve">switch from giving zero to giving a positive amount. Non-givers with</w:t>
      </w:r>
      <w:r>
        <w:rPr>
          <w:color w:val="FF0000"/>
        </w:rPr>
        <w:t xml:space="preserve"> </w:t>
      </w:r>
      <m:oMath>
        <m:sSub>
          <m:e>
            <m:r>
              <m:t>H</m:t>
            </m:r>
          </m:e>
          <m:sub>
            <m:r>
              <m:t>i</m:t>
            </m:r>
          </m:sub>
        </m:sSub>
        <m:r>
          <m:rPr>
            <m:sty m:val="p"/>
          </m:rPr>
          <m:t>≤</m:t>
        </m:r>
        <m:sSubSup>
          <m:e>
            <m:r>
              <m:t>H</m:t>
            </m:r>
          </m:e>
          <m:sub>
            <m:r>
              <m:t>i</m:t>
            </m:r>
          </m:sub>
          <m:sup>
            <m:r>
              <m:t>L</m:t>
            </m:r>
            <m:r>
              <m:t>M</m:t>
            </m:r>
          </m:sup>
        </m:sSubSup>
      </m:oMath>
      <w:r>
        <w:rPr>
          <w:color w:val="FF0000"/>
        </w:rPr>
        <w:t xml:space="preserve"> </w:t>
      </w:r>
      <w:r>
        <w:rPr>
          <w:color w:val="FF0000"/>
        </w:rPr>
        <w:t xml:space="preserve">continue to give zero.</w:t>
      </w:r>
      <w:r>
        <w:rPr>
          <w:color w:val="FF0000"/>
        </w:rPr>
        <w:t xml:space="preserve"> </w:t>
      </w:r>
      <w:r>
        <w:rPr>
          <w:color w:val="FF0000"/>
        </w:rPr>
        <w:t xml:space="preserve">Thus, the match raises the frequency of giving only if there is positive mass of non-givers close enough to the giving margin. It raises out-of-pocket giving through two margins: reluctant givers give more, and marginal non-givers begin to give.</w:t>
      </w:r>
    </w:p>
    <w:bookmarkEnd w:id="10"/>
    <w:bookmarkStart w:id="11" w:name="matching-when-the-ask-can-be-avoided"/>
    <w:p>
      <w:pPr>
        <w:pStyle w:val="Heading2"/>
      </w:pPr>
      <w:r>
        <w:t xml:space="preserve">Matching When the Ask Can Be Avoided</w:t>
      </w:r>
    </w:p>
    <w:p>
      <w:pPr>
        <w:pStyle w:val="FirstParagraph"/>
      </w:pPr>
      <w:r>
        <w:t xml:space="preserve">In the Avoid condition, the individual can avoid the ask and receive</w:t>
      </w:r>
      <w:r>
        <w:t xml:space="preserve"> </w:t>
      </w:r>
      <m:oMath>
        <m:r>
          <m:t>w</m:t>
        </m:r>
      </m:oMath>
      <w:r>
        <w:t xml:space="preserve">. Pure givers still choose to give because</w:t>
      </w:r>
      <w:r>
        <w:t xml:space="preserve"> </w:t>
      </w:r>
      <m:oMath>
        <m:sSub>
          <m:e>
            <m:r>
              <m:t>a</m:t>
            </m:r>
          </m:e>
          <m:sub>
            <m:r>
              <m:t>i</m:t>
            </m:r>
          </m:sub>
        </m:sSub>
        <m:sSup>
          <m:e>
            <m:r>
              <m:t>u</m:t>
            </m:r>
          </m:e>
          <m:sup>
            <m:r>
              <m:rPr>
                <m:sty m:val="p"/>
              </m:rPr>
              <m:t>′</m:t>
            </m:r>
          </m:sup>
        </m:sSup>
        <m:r>
          <m:rPr>
            <m:sty m:val="p"/>
          </m:rPr>
          <m:t>(</m:t>
        </m:r>
        <m:sSup>
          <m:e>
            <m:r>
              <m:t>g</m:t>
            </m:r>
          </m:e>
          <m:sup>
            <m:r>
              <m:t>ℓ</m:t>
            </m:r>
          </m:sup>
        </m:sSup>
        <m:r>
          <m:rPr>
            <m:sty m:val="p"/>
          </m:rPr>
          <m:t>)</m:t>
        </m:r>
        <m:r>
          <m:rPr>
            <m:sty m:val="p"/>
          </m:rPr>
          <m:t>&gt;</m:t>
        </m:r>
        <m:r>
          <m:t>1</m:t>
        </m:r>
      </m:oMath>
      <w:r>
        <w:t xml:space="preserve"> </w:t>
      </w:r>
      <w:r>
        <w:t xml:space="preserve">implies that their preferred gift gives utility above</w:t>
      </w:r>
      <w:r>
        <w:t xml:space="preserve"> </w:t>
      </w:r>
      <m:oMath>
        <m:r>
          <m:t>w</m:t>
        </m:r>
      </m:oMath>
      <w:r>
        <w:t xml:space="preserve">. Reluctant givers and non-givers, however, weakly prefer avoiding the ask to facing it.</w:t>
      </w:r>
    </w:p>
    <w:p>
      <w:pPr>
        <w:pStyle w:val="BodyText"/>
      </w:pPr>
      <w:r>
        <w:rPr>
          <w:color w:val="FF0000"/>
        </w:rPr>
        <w:t xml:space="preserve">For these individuals,</w:t>
      </w:r>
      <w:r>
        <w:rPr>
          <w:color w:val="FF0000"/>
        </w:rPr>
        <w:t xml:space="preserve"> </w:t>
      </w:r>
      <m:oMath>
        <m:sSub>
          <m:e>
            <m:r>
              <m:t>a</m:t>
            </m:r>
          </m:e>
          <m:sub>
            <m:r>
              <m:t>i</m:t>
            </m:r>
          </m:sub>
        </m:sSub>
        <m:sSup>
          <m:e>
            <m:r>
              <m:t>u</m:t>
            </m:r>
          </m:e>
          <m:sup>
            <m:r>
              <m:rPr>
                <m:sty m:val="p"/>
              </m:rPr>
              <m:t>′</m:t>
            </m:r>
          </m:sup>
        </m:sSup>
        <m:r>
          <m:rPr>
            <m:sty m:val="p"/>
          </m:rPr>
          <m:t>(</m:t>
        </m:r>
        <m:r>
          <m:t>0</m:t>
        </m:r>
        <m:r>
          <m:rPr>
            <m:sty m:val="p"/>
          </m:rPr>
          <m:t>)</m:t>
        </m:r>
        <m:r>
          <m:rPr>
            <m:sty m:val="p"/>
          </m:rPr>
          <m:t>≤</m:t>
        </m:r>
        <m:r>
          <m:t>1</m:t>
        </m:r>
      </m:oMath>
      <w:r>
        <w:rPr>
          <w:color w:val="FF0000"/>
        </w:rPr>
        <w:t xml:space="preserve">, so absent the psychological cost they do not have an intrinsic reason to give. If they avoid the ask, they receive</w:t>
      </w:r>
      <w:r>
        <w:rPr>
          <w:color w:val="FF0000"/>
        </w:rPr>
        <w:t xml:space="preserve"> </w:t>
      </w:r>
      <m:oMath>
        <m:r>
          <m:t>w</m:t>
        </m:r>
      </m:oMath>
      <w:r>
        <w:rPr>
          <w:color w:val="FF0000"/>
        </w:rPr>
        <w:t xml:space="preserve"> </w:t>
      </w:r>
      <w:r>
        <w:rPr>
          <w:color w:val="FF0000"/>
        </w:rPr>
        <w:t xml:space="preserve">and incur no psychological cost. If they do not avoid, the best they can do is no better than</w:t>
      </w:r>
      <w:r>
        <w:rPr>
          <w:color w:val="FF0000"/>
        </w:rPr>
        <w:t xml:space="preserve"> </w:t>
      </w:r>
      <m:oMath>
        <m:r>
          <m:t>w</m:t>
        </m:r>
      </m:oMath>
      <w:r>
        <w:rPr>
          <w:color w:val="FF0000"/>
        </w:rPr>
        <w:t xml:space="preserve">, and usually strictly worse because they either give a costly positive amount or explicitly give zero while facing the psychological cost.</w:t>
      </w:r>
      <w:r>
        <w:rPr>
          <w:color w:val="FF0000"/>
        </w:rPr>
        <w:t xml:space="preserve"> </w:t>
      </w:r>
      <w:r>
        <w:rPr>
          <w:color w:val="FF0000"/>
        </w:rPr>
        <w:t xml:space="preserve">The statement is weak rather than strict because non-givers with</w:t>
      </w:r>
      <w:r>
        <w:rPr>
          <w:color w:val="FF0000"/>
        </w:rPr>
        <w:t xml:space="preserve"> </w:t>
      </w:r>
      <m:oMath>
        <m:sSub>
          <m:e>
            <m:r>
              <m:t>H</m:t>
            </m:r>
          </m:e>
          <m:sub>
            <m:r>
              <m:t>i</m:t>
            </m:r>
          </m:sub>
        </m:sSub>
        <m:r>
          <m:rPr>
            <m:sty m:val="p"/>
          </m:rPr>
          <m:t>=</m:t>
        </m:r>
        <m:r>
          <m:t>0</m:t>
        </m:r>
      </m:oMath>
      <w:r>
        <w:rPr>
          <w:color w:val="FF0000"/>
        </w:rPr>
        <w:t xml:space="preserve"> </w:t>
      </w:r>
      <w:r>
        <w:rPr>
          <w:color w:val="FF0000"/>
        </w:rPr>
        <w:t xml:space="preserve">may be indifferent between avoiding and explicitly giving zero. This tie does not affect effective giving, but it matters for claims about the frequency of skipping.</w:t>
      </w:r>
    </w:p>
    <w:p>
      <w:pPr>
        <w:pStyle w:val="BodyText"/>
      </w:pPr>
      <w:r>
        <w:t xml:space="preserve">Therefore, reluctant givers and non-givers give zero in the Avoid condition, regardless of whether a match is present. The match has no effect on their effective giving because avoiding the ask removes the psychological cost to which the match would otherwise add force.</w:t>
      </w:r>
    </w:p>
    <w:p>
      <w:pPr>
        <w:pStyle w:val="BodyText"/>
      </w:pPr>
      <w:r>
        <w:rPr>
          <w:color w:val="FF0000"/>
        </w:rPr>
        <w:t xml:space="preserve">The following proposition summarizes the mechanism.</w:t>
      </w:r>
    </w:p>
    <w:p>
      <w:pPr>
        <w:pStyle w:val="BodyText"/>
      </w:pPr>
      <w:r>
        <w:rPr>
          <w:b/>
          <w:bCs/>
          <w:color w:val="FF0000"/>
        </w:rPr>
        <w:t xml:space="preserve">Proposition S1.</w:t>
      </w:r>
      <w:r>
        <w:rPr>
          <w:color w:val="FF0000"/>
        </w:rPr>
        <w:t xml:space="preserve"> </w:t>
      </w:r>
      <w:r>
        <w:rPr>
          <w:color w:val="FF0000"/>
        </w:rPr>
        <w:t xml:space="preserve">In the norm-signalling benchmark, matching weakly increases both the frequency of giving and average out-of-pocket giving in the No Avoid condition. The increase is strict if there is positive mass of non-givers with</w:t>
      </w:r>
      <w:r>
        <w:rPr>
          <w:color w:val="FF0000"/>
        </w:rPr>
        <w:t xml:space="preserve"> </w:t>
      </w:r>
      <m:oMath>
        <m:sSubSup>
          <m:e>
            <m:r>
              <m:t>H</m:t>
            </m:r>
          </m:e>
          <m:sub>
            <m:r>
              <m:t>i</m:t>
            </m:r>
          </m:sub>
          <m:sup>
            <m:r>
              <m:t>L</m:t>
            </m:r>
            <m:r>
              <m:t>M</m:t>
            </m:r>
          </m:sup>
        </m:sSubSup>
        <m:r>
          <m:rPr>
            <m:sty m:val="p"/>
          </m:rPr>
          <m:t>&lt;</m:t>
        </m:r>
        <m:sSub>
          <m:e>
            <m:r>
              <m:t>H</m:t>
            </m:r>
          </m:e>
          <m:sub>
            <m:r>
              <m:t>i</m:t>
            </m:r>
          </m:sub>
        </m:sSub>
        <m:r>
          <m:rPr>
            <m:sty m:val="p"/>
          </m:rPr>
          <m:t>≤</m:t>
        </m:r>
        <m:sSubSup>
          <m:e>
            <m:r>
              <m:t>H</m:t>
            </m:r>
          </m:e>
          <m:sub>
            <m:r>
              <m:t>i</m:t>
            </m:r>
          </m:sub>
          <m:sup>
            <m:r>
              <m:t>L</m:t>
            </m:r>
          </m:sup>
        </m:sSubSup>
      </m:oMath>
      <w:r>
        <w:rPr>
          <w:color w:val="FF0000"/>
        </w:rPr>
        <w:t xml:space="preserve"> </w:t>
      </w:r>
      <w:r>
        <w:rPr>
          <w:color w:val="FF0000"/>
        </w:rPr>
        <w:t xml:space="preserve">or reluctant givers whose giving rises under the match. In the Avoid condition, matching has no effect on effective giving by reluctant givers or non-givers, because they can avoid the ask and eliminate the psychological cost of not giving.</w:t>
      </w:r>
    </w:p>
    <w:p>
      <w:pPr>
        <w:pStyle w:val="BodyText"/>
      </w:pPr>
      <w:r>
        <w:rPr>
          <w:color w:val="FF0000"/>
        </w:rPr>
        <w:t xml:space="preserve">The proposition also implies the frequency ranking used in the main text:</w:t>
      </w:r>
    </w:p>
    <w:p>
      <w:pPr>
        <w:pStyle w:val="BodyText"/>
      </w:pPr>
      <m:oMathPara>
        <m:oMathParaPr>
          <m:jc m:val="center"/>
        </m:oMathParaPr>
        <m:oMath>
          <m:r>
            <m:rPr>
              <m:nor/>
              <m:sty m:val="p"/>
            </m:rPr>
            <m:t>No Avoid - Match</m:t>
          </m:r>
          <m:r>
            <m:rPr>
              <m:sty m:val="p"/>
            </m:rPr>
            <m:t>≥</m:t>
          </m:r>
          <m:r>
            <m:rPr>
              <m:nor/>
              <m:sty m:val="p"/>
            </m:rPr>
            <m:t>No Avoid - No Match</m:t>
          </m:r>
          <m:r>
            <m:rPr>
              <m:sty m:val="p"/>
            </m:rPr>
            <m:t>≥</m:t>
          </m:r>
          <m:r>
            <m:rPr>
              <m:nor/>
              <m:sty m:val="p"/>
            </m:rPr>
            <m:t>Avoid - Match</m:t>
          </m:r>
          <m:r>
            <m:rPr>
              <m:sty m:val="p"/>
            </m:rPr>
            <m:t>=</m:t>
          </m:r>
          <m:r>
            <m:rPr>
              <m:nor/>
              <m:sty m:val="p"/>
            </m:rPr>
            <m:t>Avoid - No Match</m:t>
          </m:r>
          <m:r>
            <m:rPr>
              <m:sty m:val="p"/>
            </m:rPr>
            <m:t>.</m:t>
          </m:r>
        </m:oMath>
      </m:oMathPara>
    </w:p>
    <w:bookmarkEnd w:id="11"/>
    <w:bookmarkStart w:id="12" w:name="relation-to-the-standard-price-channel"/>
    <w:p>
      <w:pPr>
        <w:pStyle w:val="Heading2"/>
      </w:pPr>
      <w:r>
        <w:t xml:space="preserve">Relation to the Standard Price Channel</w:t>
      </w:r>
    </w:p>
    <w:p>
      <w:pPr>
        <w:pStyle w:val="FirstParagraph"/>
      </w:pPr>
      <w:r>
        <w:rPr>
          <w:color w:val="FF0000"/>
        </w:rPr>
        <w:t xml:space="preserve">The benchmark above abstracts from the effective price mechanism. If one wants to include that channel, the altruistic part of utility should depend on the total amount received by the charity rather than only on the donor’s out-of-pocket gift. For example, with a one-for-one match, the first utility component could be written as</w:t>
      </w:r>
    </w:p>
    <w:p>
      <w:pPr>
        <w:pStyle w:val="BodyText"/>
      </w:pPr>
      <m:oMathPara>
        <m:oMathParaPr>
          <m:jc m:val="center"/>
        </m:oMathParaPr>
        <m:oMath>
          <m:sSub>
            <m:e>
              <m:r>
                <m:t>v</m:t>
              </m:r>
            </m:e>
            <m:sub>
              <m:r>
                <m:t>m</m:t>
              </m:r>
            </m:sub>
          </m:sSub>
          <m:r>
            <m:rPr>
              <m:sty m:val="p"/>
            </m:rPr>
            <m:t>(</m:t>
          </m:r>
          <m:r>
            <m:t>g</m:t>
          </m:r>
          <m:r>
            <m:rPr>
              <m:sty m:val="p"/>
            </m:rPr>
            <m:t>;</m:t>
          </m:r>
          <m:sSub>
            <m:e>
              <m:r>
                <m:t>a</m:t>
              </m:r>
            </m:e>
            <m:sub>
              <m:r>
                <m:t>i</m:t>
              </m:r>
            </m:sub>
          </m:sSub>
          <m:r>
            <m:rPr>
              <m:sty m:val="p"/>
            </m:rPr>
            <m:t>)</m:t>
          </m:r>
          <m:r>
            <m:rPr>
              <m:sty m:val="p"/>
            </m:rPr>
            <m:t>=</m:t>
          </m:r>
          <m:r>
            <m:t>w</m:t>
          </m:r>
          <m:r>
            <m:rPr>
              <m:sty m:val="p"/>
            </m:rPr>
            <m:t>−</m:t>
          </m:r>
          <m:r>
            <m:t>g</m:t>
          </m:r>
          <m:r>
            <m:rPr>
              <m:sty m:val="p"/>
            </m:rPr>
            <m:t>+</m:t>
          </m:r>
          <m:sSub>
            <m:e>
              <m:r>
                <m:t>a</m:t>
              </m:r>
            </m:e>
            <m:sub>
              <m:r>
                <m:t>i</m:t>
              </m:r>
            </m:sub>
          </m:sSub>
          <m:r>
            <m:t>u</m:t>
          </m:r>
          <m:r>
            <m:rPr>
              <m:sty m:val="p"/>
            </m:rPr>
            <m:t>(</m:t>
          </m:r>
          <m:r>
            <m:rPr>
              <m:sty m:val="p"/>
            </m:rPr>
            <m:t>(</m:t>
          </m:r>
          <m:r>
            <m:t>1</m:t>
          </m:r>
          <m:r>
            <m:rPr>
              <m:sty m:val="p"/>
            </m:rPr>
            <m:t>+</m:t>
          </m:r>
          <m:r>
            <m:t>m</m:t>
          </m:r>
          <m:r>
            <m:rPr>
              <m:sty m:val="p"/>
            </m:rPr>
            <m:t>)</m:t>
          </m:r>
          <m:r>
            <m:t>g</m:t>
          </m:r>
          <m:r>
            <m:rPr>
              <m:sty m:val="p"/>
            </m:rPr>
            <m:t>)</m:t>
          </m:r>
          <m:r>
            <m:rPr>
              <m:sty m:val="p"/>
            </m:rPr>
            <m:t>.</m:t>
          </m:r>
        </m:oMath>
      </m:oMathPara>
    </w:p>
    <w:p>
      <w:pPr>
        <w:pStyle w:val="FirstParagraph"/>
      </w:pPr>
      <w:r>
        <w:rPr>
          <w:color w:val="FF0000"/>
        </w:rPr>
        <w:t xml:space="preserve">In that hybrid model, the match can increase giving even in the Avoid condition because a dollar of out-of-pocket giving produces more charitable output. The norm-signalling prediction would then be less extreme: the match should have a larger effect when the ask cannot be avoided than when it can be avoided, rather than exactly zero effect in the Avoid condition. The experimental results suggest that the norm-signalling channel dominates the standard price channel in this setting.</w:t>
      </w:r>
    </w:p>
    <w:bookmarkEnd w:id="12"/>
    <w:bookmarkStart w:id="13" w:name="fig.-s1-decision-tree"/>
    <w:p>
      <w:pPr>
        <w:pStyle w:val="Heading2"/>
      </w:pPr>
      <w:r>
        <w:t xml:space="preserve">Fig. S1: Decision Tree</w:t>
      </w:r>
    </w:p>
    <w:p>
      <w:pPr>
        <w:pStyle w:val="FirstParagraph"/>
      </w:pPr>
      <w:r>
        <w:rPr>
          <w:color w:val="FF0000"/>
        </w:rPr>
        <w:t xml:space="preserve">The existing decision tree can be retained, but the note should be revised to match the notation above. Suggested note: An individual’s utility from giving</w:t>
      </w:r>
      <w:r>
        <w:rPr>
          <w:color w:val="FF0000"/>
        </w:rPr>
        <w:t xml:space="preserve"> </w:t>
      </w:r>
      <m:oMath>
        <m:r>
          <m:t>g</m:t>
        </m:r>
      </m:oMath>
      <w:r>
        <w:rPr>
          <w:color w:val="FF0000"/>
        </w:rPr>
        <w:t xml:space="preserve">, conditional on facing the ask, is</w:t>
      </w:r>
      <w:r>
        <w:rPr>
          <w:color w:val="FF0000"/>
        </w:rPr>
        <w:t xml:space="preserve"> </w:t>
      </w:r>
      <m:oMath>
        <m:sSub>
          <m:e>
            <m:r>
              <m:t>U</m:t>
            </m:r>
          </m:e>
          <m:sub>
            <m:r>
              <m:t>m</m:t>
            </m:r>
          </m:sub>
        </m:sSub>
        <m:r>
          <m:rPr>
            <m:sty m:val="p"/>
          </m:rPr>
          <m:t>(</m:t>
        </m:r>
        <m:r>
          <m:t>g</m:t>
        </m:r>
        <m:r>
          <m:rPr>
            <m:sty m:val="p"/>
          </m:rPr>
          <m:t>;</m:t>
        </m:r>
        <m:sSub>
          <m:e>
            <m:r>
              <m:t>a</m:t>
            </m:r>
          </m:e>
          <m:sub>
            <m:r>
              <m:t>i</m:t>
            </m:r>
          </m:sub>
        </m:sSub>
        <m:r>
          <m:rPr>
            <m:sty m:val="p"/>
          </m:rPr>
          <m:t>,</m:t>
        </m:r>
        <m:sSub>
          <m:e>
            <m:r>
              <m:t>H</m:t>
            </m:r>
          </m:e>
          <m:sub>
            <m:r>
              <m:t>i</m:t>
            </m:r>
          </m:sub>
        </m:sSub>
        <m:r>
          <m:rPr>
            <m:sty m:val="p"/>
          </m:rPr>
          <m:t>)</m:t>
        </m:r>
        <m:r>
          <m:rPr>
            <m:sty m:val="p"/>
          </m:rPr>
          <m:t>=</m:t>
        </m:r>
        <m:r>
          <m:t>w</m:t>
        </m:r>
        <m:r>
          <m:rPr>
            <m:sty m:val="p"/>
          </m:rPr>
          <m:t>−</m:t>
        </m:r>
        <m:r>
          <m:t>g</m:t>
        </m:r>
        <m:r>
          <m:rPr>
            <m:sty m:val="p"/>
          </m:rPr>
          <m:t>+</m:t>
        </m:r>
        <m:sSub>
          <m:e>
            <m:r>
              <m:t>a</m:t>
            </m:r>
          </m:e>
          <m:sub>
            <m:r>
              <m:t>i</m:t>
            </m:r>
          </m:sub>
        </m:sSub>
        <m:r>
          <m:t>u</m:t>
        </m:r>
        <m:r>
          <m:rPr>
            <m:sty m:val="p"/>
          </m:rPr>
          <m:t>(</m:t>
        </m:r>
        <m:r>
          <m:t>g</m:t>
        </m:r>
        <m:r>
          <m:rPr>
            <m:sty m:val="p"/>
          </m:rPr>
          <m:t>)</m:t>
        </m:r>
        <m:r>
          <m:rPr>
            <m:sty m:val="p"/>
          </m:rPr>
          <m:t>−</m:t>
        </m:r>
        <m:sSub>
          <m:e>
            <m:r>
              <m:t>κ</m:t>
            </m:r>
          </m:e>
          <m:sub>
            <m:r>
              <m:t>m</m:t>
            </m:r>
          </m:sub>
        </m:sSub>
        <m:sSub>
          <m:e>
            <m:r>
              <m:t>H</m:t>
            </m:r>
          </m:e>
          <m:sub>
            <m:r>
              <m:t>i</m:t>
            </m:r>
          </m:sub>
        </m:sSub>
        <m:r>
          <m:rPr>
            <m:sty m:val="p"/>
          </m:rPr>
          <m:t>(</m:t>
        </m:r>
        <m:sSup>
          <m:e>
            <m:r>
              <m:t>g</m:t>
            </m:r>
          </m:e>
          <m:sup>
            <m:r>
              <m:t>ℓ</m:t>
            </m:r>
          </m:sup>
        </m:sSup>
        <m:r>
          <m:rPr>
            <m:sty m:val="p"/>
          </m:rPr>
          <m:t>−</m:t>
        </m:r>
        <m:r>
          <m:t>g</m:t>
        </m:r>
        <m:sSub>
          <m:e>
            <m:r>
              <m:rPr>
                <m:sty m:val="p"/>
              </m:rPr>
              <m:t>)</m:t>
            </m:r>
          </m:e>
          <m:sub>
            <m:r>
              <m:rPr>
                <m:sty m:val="p"/>
              </m:rPr>
              <m:t>+</m:t>
            </m:r>
          </m:sub>
        </m:sSub>
      </m:oMath>
      <w:r>
        <w:rPr>
          <w:color w:val="FF0000"/>
        </w:rPr>
        <w:t xml:space="preserve">, where</w:t>
      </w:r>
      <w:r>
        <w:rPr>
          <w:color w:val="FF0000"/>
        </w:rPr>
        <w:t xml:space="preserve"> </w:t>
      </w:r>
      <m:oMath>
        <m:sSub>
          <m:e>
            <m:r>
              <m:t>κ</m:t>
            </m:r>
          </m:e>
          <m:sub>
            <m:r>
              <m:t>0</m:t>
            </m:r>
          </m:sub>
        </m:sSub>
        <m:r>
          <m:rPr>
            <m:sty m:val="p"/>
          </m:rPr>
          <m:t>=</m:t>
        </m:r>
        <m:r>
          <m:t>1</m:t>
        </m:r>
      </m:oMath>
      <w:r>
        <w:rPr>
          <w:color w:val="FF0000"/>
        </w:rPr>
        <w:t xml:space="preserve"> </w:t>
      </w:r>
      <w:r>
        <w:rPr>
          <w:color w:val="FF0000"/>
        </w:rPr>
        <w:t xml:space="preserve">and</w:t>
      </w:r>
      <w:r>
        <w:rPr>
          <w:color w:val="FF0000"/>
        </w:rPr>
        <w:t xml:space="preserve"> </w:t>
      </w:r>
      <m:oMath>
        <m:sSub>
          <m:e>
            <m:r>
              <m:t>κ</m:t>
            </m:r>
          </m:e>
          <m:sub>
            <m:r>
              <m:t>1</m:t>
            </m:r>
          </m:sub>
        </m:sSub>
        <m:r>
          <m:rPr>
            <m:sty m:val="p"/>
          </m:rPr>
          <m:t>=</m:t>
        </m:r>
        <m:r>
          <m:t>γ</m:t>
        </m:r>
        <m:r>
          <m:rPr>
            <m:sty m:val="p"/>
          </m:rPr>
          <m:t>&gt;</m:t>
        </m:r>
        <m:r>
          <m:t>1</m:t>
        </m:r>
      </m:oMath>
      <w:r>
        <w:rPr>
          <w:color w:val="FF0000"/>
        </w:rPr>
        <w:t xml:space="preserve">. If the individual avoids the ask, the payoff is</w:t>
      </w:r>
      <w:r>
        <w:rPr>
          <w:color w:val="FF0000"/>
        </w:rPr>
        <w:t xml:space="preserve"> </w:t>
      </w:r>
      <m:oMath>
        <m:r>
          <m:t>w</m:t>
        </m:r>
      </m:oMath>
      <w:r>
        <w:rPr>
          <w:color w:val="FF0000"/>
        </w:rPr>
        <w:t xml:space="preserve">. The psychological cost applies only when the ask is faced and the gift falls below the norm level</w:t>
      </w:r>
      <w:r>
        <w:rPr>
          <w:color w:val="FF0000"/>
        </w:rPr>
        <w:t xml:space="preserve"> </w:t>
      </w:r>
      <m:oMath>
        <m:sSup>
          <m:e>
            <m:r>
              <m:t>g</m:t>
            </m:r>
          </m:e>
          <m:sup>
            <m:r>
              <m:t>ℓ</m:t>
            </m:r>
          </m:sup>
        </m:sSup>
      </m:oMath>
      <w:r>
        <w:rPr>
          <w:color w:val="FF0000"/>
        </w:rPr>
        <w:t xml:space="preserve">.</w:t>
      </w:r>
    </w:p>
    <w:bookmarkEnd w:id="13"/>
    <w:bookmarkStart w:id="14" w:name="X3a6eb553aaa9cbaf0f2f7ad360fe21efcf61678"/>
    <w:p>
      <w:pPr>
        <w:pStyle w:val="Heading2"/>
      </w:pPr>
      <w:r>
        <w:rPr>
          <w:color w:val="FF0000"/>
        </w:rPr>
        <w:t xml:space="preserve">Table S1: Predicted Giving Behavior Under the Norm-Signalling Benchmark</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rPr>
                <w:color w:val="FF0000"/>
              </w:rPr>
              <w:t xml:space="preserve">Type</w:t>
            </w:r>
          </w:p>
        </w:tc>
        <w:tc>
          <w:tcPr/>
          <w:p>
            <w:pPr>
              <w:pStyle w:val="Compact"/>
            </w:pPr>
            <w:r>
              <w:rPr>
                <w:color w:val="FF0000"/>
              </w:rPr>
              <w:t xml:space="preserve">Condition</w:t>
            </w:r>
          </w:p>
        </w:tc>
        <w:tc>
          <w:tcPr/>
          <w:p>
            <w:pPr>
              <w:pStyle w:val="Compact"/>
              <w:jc w:val="right"/>
            </w:pPr>
            <w:r>
              <w:rPr>
                <w:color w:val="FF0000"/>
              </w:rPr>
              <w:t xml:space="preserve">No Avoid - No Match</w:t>
            </w:r>
          </w:p>
        </w:tc>
        <w:tc>
          <w:tcPr/>
          <w:p>
            <w:pPr>
              <w:pStyle w:val="Compact"/>
              <w:jc w:val="right"/>
            </w:pPr>
            <w:r>
              <w:rPr>
                <w:color w:val="FF0000"/>
              </w:rPr>
              <w:t xml:space="preserve">No Avoid - Match</w:t>
            </w:r>
          </w:p>
        </w:tc>
        <w:tc>
          <w:tcPr/>
          <w:p>
            <w:pPr>
              <w:pStyle w:val="Compact"/>
              <w:jc w:val="right"/>
            </w:pPr>
            <w:r>
              <w:rPr>
                <w:color w:val="FF0000"/>
              </w:rPr>
              <w:t xml:space="preserve">Avoid - No Match</w:t>
            </w:r>
          </w:p>
        </w:tc>
        <w:tc>
          <w:tcPr/>
          <w:p>
            <w:pPr>
              <w:pStyle w:val="Compact"/>
              <w:jc w:val="right"/>
            </w:pPr>
            <w:r>
              <w:rPr>
                <w:color w:val="FF0000"/>
              </w:rPr>
              <w:t xml:space="preserve">Avoid - Match</w:t>
            </w:r>
          </w:p>
        </w:tc>
      </w:tr>
      <w:tr>
        <w:tc>
          <w:tcPr/>
          <w:p>
            <w:pPr>
              <w:pStyle w:val="Compact"/>
            </w:pPr>
            <w:r>
              <w:rPr>
                <w:color w:val="FF0000"/>
              </w:rPr>
              <w:t xml:space="preserve">Pure givers</w:t>
            </w:r>
          </w:p>
        </w:tc>
        <w:tc>
          <w:tcPr/>
          <w:p>
            <w:pPr>
              <w:pStyle w:val="Compact"/>
            </w:pPr>
            <m:oMath>
              <m:sSub>
                <m:e>
                  <m:r>
                    <m:t>a</m:t>
                  </m:r>
                </m:e>
                <m:sub>
                  <m:r>
                    <m:t>i</m:t>
                  </m:r>
                </m:sub>
              </m:sSub>
              <m:sSup>
                <m:e>
                  <m:r>
                    <m:t>u</m:t>
                  </m:r>
                </m:e>
                <m:sup>
                  <m:r>
                    <m:rPr>
                      <m:sty m:val="p"/>
                    </m:rPr>
                    <m:t>′</m:t>
                  </m:r>
                </m:sup>
              </m:sSup>
              <m:r>
                <m:rPr>
                  <m:sty m:val="p"/>
                </m:rPr>
                <m:t>(</m:t>
              </m:r>
              <m:sSup>
                <m:e>
                  <m:r>
                    <m:t>g</m:t>
                  </m:r>
                </m:e>
                <m:sup>
                  <m:r>
                    <m:t>ℓ</m:t>
                  </m:r>
                </m:sup>
              </m:sSup>
              <m:r>
                <m:rPr>
                  <m:sty m:val="p"/>
                </m:rPr>
                <m:t>)</m:t>
              </m:r>
              <m:r>
                <m:rPr>
                  <m:sty m:val="p"/>
                </m:rPr>
                <m:t>&gt;</m:t>
              </m:r>
              <m:r>
                <m:t>1</m:t>
              </m:r>
            </m:oMath>
          </w:p>
        </w:tc>
        <w:tc>
          <w:tcPr/>
          <w:p>
            <w:pPr>
              <w:pStyle w:val="Compact"/>
              <w:jc w:val="right"/>
            </w:pPr>
            <m:oMath>
              <m:sSubSup>
                <m:e>
                  <m:r>
                    <m:t>g</m:t>
                  </m:r>
                </m:e>
                <m:sub>
                  <m:r>
                    <m:t>i</m:t>
                  </m:r>
                </m:sub>
                <m:sup>
                  <m:r>
                    <m:rPr>
                      <m:sty m:val="p"/>
                    </m:rPr>
                    <m:t>*</m:t>
                  </m:r>
                </m:sup>
              </m:sSubSup>
              <m:r>
                <m:rPr>
                  <m:sty m:val="p"/>
                </m:rPr>
                <m:t>&gt;</m:t>
              </m:r>
              <m:sSup>
                <m:e>
                  <m:r>
                    <m:t>g</m:t>
                  </m:r>
                </m:e>
                <m:sup>
                  <m:r>
                    <m:t>ℓ</m:t>
                  </m:r>
                </m:sup>
              </m:sSup>
            </m:oMath>
          </w:p>
        </w:tc>
        <w:tc>
          <w:tcPr/>
          <w:p>
            <w:pPr>
              <w:pStyle w:val="Compact"/>
              <w:jc w:val="right"/>
            </w:pPr>
            <m:oMath>
              <m:sSubSup>
                <m:e>
                  <m:r>
                    <m:t>g</m:t>
                  </m:r>
                </m:e>
                <m:sub>
                  <m:r>
                    <m:t>i</m:t>
                  </m:r>
                </m:sub>
                <m:sup>
                  <m:r>
                    <m:rPr>
                      <m:sty m:val="p"/>
                    </m:rPr>
                    <m:t>*</m:t>
                  </m:r>
                </m:sup>
              </m:sSubSup>
              <m:r>
                <m:rPr>
                  <m:sty m:val="p"/>
                </m:rPr>
                <m:t>&gt;</m:t>
              </m:r>
              <m:sSup>
                <m:e>
                  <m:r>
                    <m:t>g</m:t>
                  </m:r>
                </m:e>
                <m:sup>
                  <m:r>
                    <m:t>ℓ</m:t>
                  </m:r>
                </m:sup>
              </m:sSup>
            </m:oMath>
          </w:p>
        </w:tc>
        <w:tc>
          <w:tcPr/>
          <w:p>
            <w:pPr>
              <w:pStyle w:val="Compact"/>
              <w:jc w:val="right"/>
            </w:pPr>
            <m:oMath>
              <m:sSubSup>
                <m:e>
                  <m:r>
                    <m:t>g</m:t>
                  </m:r>
                </m:e>
                <m:sub>
                  <m:r>
                    <m:t>i</m:t>
                  </m:r>
                </m:sub>
                <m:sup>
                  <m:r>
                    <m:rPr>
                      <m:sty m:val="p"/>
                    </m:rPr>
                    <m:t>*</m:t>
                  </m:r>
                </m:sup>
              </m:sSubSup>
              <m:r>
                <m:rPr>
                  <m:sty m:val="p"/>
                </m:rPr>
                <m:t>&gt;</m:t>
              </m:r>
              <m:sSup>
                <m:e>
                  <m:r>
                    <m:t>g</m:t>
                  </m:r>
                </m:e>
                <m:sup>
                  <m:r>
                    <m:t>ℓ</m:t>
                  </m:r>
                </m:sup>
              </m:sSup>
            </m:oMath>
          </w:p>
        </w:tc>
        <w:tc>
          <w:tcPr/>
          <w:p>
            <w:pPr>
              <w:pStyle w:val="Compact"/>
              <w:jc w:val="right"/>
            </w:pPr>
            <m:oMath>
              <m:sSubSup>
                <m:e>
                  <m:r>
                    <m:t>g</m:t>
                  </m:r>
                </m:e>
                <m:sub>
                  <m:r>
                    <m:t>i</m:t>
                  </m:r>
                </m:sub>
                <m:sup>
                  <m:r>
                    <m:rPr>
                      <m:sty m:val="p"/>
                    </m:rPr>
                    <m:t>*</m:t>
                  </m:r>
                </m:sup>
              </m:sSubSup>
              <m:r>
                <m:rPr>
                  <m:sty m:val="p"/>
                </m:rPr>
                <m:t>&gt;</m:t>
              </m:r>
              <m:sSup>
                <m:e>
                  <m:r>
                    <m:t>g</m:t>
                  </m:r>
                </m:e>
                <m:sup>
                  <m:r>
                    <m:t>ℓ</m:t>
                  </m:r>
                </m:sup>
              </m:sSup>
            </m:oMath>
          </w:p>
        </w:tc>
      </w:tr>
      <w:tr>
        <w:tc>
          <w:tcPr/>
          <w:p>
            <w:pPr>
              <w:pStyle w:val="Compact"/>
            </w:pPr>
            <w:r>
              <w:rPr>
                <w:color w:val="FF0000"/>
              </w:rPr>
              <w:t xml:space="preserve">Reluctant givers</w:t>
            </w:r>
          </w:p>
        </w:tc>
        <w:tc>
          <w:tcPr/>
          <w:p>
            <w:pPr>
              <w:pStyle w:val="Compact"/>
            </w:pPr>
            <m:oMath>
              <m:sSubSup>
                <m:e>
                  <m:r>
                    <m:t>H</m:t>
                  </m:r>
                </m:e>
                <m:sub>
                  <m:r>
                    <m:t>i</m:t>
                  </m:r>
                </m:sub>
                <m:sup>
                  <m:r>
                    <m:t>L</m:t>
                  </m:r>
                </m:sup>
              </m:sSubSup>
              <m:r>
                <m:rPr>
                  <m:sty m:val="p"/>
                </m:rPr>
                <m:t>&lt;</m:t>
              </m:r>
              <m:sSub>
                <m:e>
                  <m:r>
                    <m:t>H</m:t>
                  </m:r>
                </m:e>
                <m:sub>
                  <m:r>
                    <m:t>i</m:t>
                  </m:r>
                </m:sub>
              </m:sSub>
              <m:r>
                <m:rPr>
                  <m:sty m:val="p"/>
                </m:rPr>
                <m:t>≤</m:t>
              </m:r>
              <m:sSubSup>
                <m:e>
                  <m:r>
                    <m:t>H</m:t>
                  </m:r>
                </m:e>
                <m:sub>
                  <m:r>
                    <m:t>i</m:t>
                  </m:r>
                </m:sub>
                <m:sup>
                  <m:r>
                    <m:t>U</m:t>
                  </m:r>
                </m:sup>
              </m:sSubSup>
            </m:oMath>
          </w:p>
        </w:tc>
        <w:tc>
          <w:tcPr/>
          <w:p>
            <w:pPr>
              <w:pStyle w:val="Compact"/>
              <w:jc w:val="right"/>
            </w:pPr>
            <m:oMath>
              <m:r>
                <m:t>0</m:t>
              </m:r>
              <m:r>
                <m:rPr>
                  <m:sty m:val="p"/>
                </m:rPr>
                <m:t>&lt;</m:t>
              </m:r>
              <m:sSubSup>
                <m:e>
                  <m:r>
                    <m:t>g</m:t>
                  </m:r>
                </m:e>
                <m:sub>
                  <m:r>
                    <m:t>i</m:t>
                  </m:r>
                </m:sub>
                <m:sup>
                  <m:r>
                    <m:rPr>
                      <m:sty m:val="p"/>
                    </m:rPr>
                    <m:t>*</m:t>
                  </m:r>
                </m:sup>
              </m:sSubSup>
              <m:r>
                <m:rPr>
                  <m:sty m:val="p"/>
                </m:rPr>
                <m:t>≤</m:t>
              </m:r>
              <m:sSup>
                <m:e>
                  <m:r>
                    <m:t>g</m:t>
                  </m:r>
                </m:e>
                <m:sup>
                  <m:r>
                    <m:t>ℓ</m:t>
                  </m:r>
                </m:sup>
              </m:sSup>
            </m:oMath>
          </w:p>
        </w:tc>
        <w:tc>
          <w:tcPr/>
          <w:p>
            <w:pPr>
              <w:pStyle w:val="Compact"/>
              <w:jc w:val="right"/>
            </w:pPr>
            <m:oMath>
              <m:sSubSup>
                <m:e>
                  <m:r>
                    <m:t>g</m:t>
                  </m:r>
                </m:e>
                <m:sub>
                  <m:r>
                    <m:t>i</m:t>
                  </m:r>
                </m:sub>
                <m:sup>
                  <m:r>
                    <m:t>M</m:t>
                  </m:r>
                </m:sup>
              </m:sSubSup>
              <m:r>
                <m:rPr>
                  <m:sty m:val="p"/>
                </m:rPr>
                <m:t>=</m:t>
              </m:r>
              <m:sSup>
                <m:e>
                  <m:r>
                    <m:t>g</m:t>
                  </m:r>
                </m:e>
                <m:sup>
                  <m:r>
                    <m:t>ℓ</m:t>
                  </m:r>
                </m:sup>
              </m:sSup>
            </m:oMath>
            <w:r>
              <w:rPr>
                <w:color w:val="FF0000"/>
              </w:rPr>
              <w:t xml:space="preserve"> </w:t>
            </w:r>
            <w:r>
              <w:rPr>
                <w:color w:val="FF0000"/>
              </w:rPr>
              <w:t xml:space="preserve">if</w:t>
            </w:r>
            <w:r>
              <w:rPr>
                <w:color w:val="FF0000"/>
              </w:rPr>
              <w:t xml:space="preserve"> </w:t>
            </w:r>
            <m:oMath>
              <m:sSub>
                <m:e>
                  <m:r>
                    <m:t>H</m:t>
                  </m:r>
                </m:e>
                <m:sub>
                  <m:r>
                    <m:t>i</m:t>
                  </m:r>
                </m:sub>
              </m:sSub>
              <m:r>
                <m:rPr>
                  <m:sty m:val="p"/>
                </m:rPr>
                <m:t>&gt;</m:t>
              </m:r>
              <m:sSubSup>
                <m:e>
                  <m:r>
                    <m:t>H</m:t>
                  </m:r>
                </m:e>
                <m:sub>
                  <m:r>
                    <m:t>i</m:t>
                  </m:r>
                </m:sub>
                <m:sup>
                  <m:r>
                    <m:t>U</m:t>
                  </m:r>
                  <m:r>
                    <m:t>M</m:t>
                  </m:r>
                </m:sup>
              </m:sSubSup>
            </m:oMath>
            <w:r>
              <w:rPr>
                <w:color w:val="FF0000"/>
              </w:rPr>
              <w:t xml:space="preserve">; otherwise</w:t>
            </w:r>
            <w:r>
              <w:rPr>
                <w:color w:val="FF0000"/>
              </w:rPr>
              <w:t xml:space="preserve"> </w:t>
            </w:r>
            <m:oMath>
              <m:r>
                <m:t>0</m:t>
              </m:r>
              <m:r>
                <m:rPr>
                  <m:sty m:val="p"/>
                </m:rPr>
                <m:t>&lt;</m:t>
              </m:r>
              <m:sSubSup>
                <m:e>
                  <m:r>
                    <m:t>g</m:t>
                  </m:r>
                </m:e>
                <m:sub>
                  <m:r>
                    <m:t>i</m:t>
                  </m:r>
                </m:sub>
                <m:sup>
                  <m:r>
                    <m:t>M</m:t>
                  </m:r>
                </m:sup>
              </m:sSubSup>
              <m:r>
                <m:rPr>
                  <m:sty m:val="p"/>
                </m:rPr>
                <m:t>&lt;</m:t>
              </m:r>
              <m:sSup>
                <m:e>
                  <m:r>
                    <m:t>g</m:t>
                  </m:r>
                </m:e>
                <m:sup>
                  <m:r>
                    <m:t>ℓ</m:t>
                  </m:r>
                </m:sup>
              </m:sSup>
            </m:oMath>
            <w:r>
              <w:rPr>
                <w:color w:val="FF0000"/>
              </w:rPr>
              <w:t xml:space="preserve"> </w:t>
            </w:r>
            <w:r>
              <w:rPr>
                <w:color w:val="FF0000"/>
              </w:rPr>
              <w:t xml:space="preserve">and</w:t>
            </w:r>
            <w:r>
              <w:rPr>
                <w:color w:val="FF0000"/>
              </w:rPr>
              <w:t xml:space="preserve"> </w:t>
            </w:r>
            <m:oMath>
              <m:sSubSup>
                <m:e>
                  <m:r>
                    <m:t>g</m:t>
                  </m:r>
                </m:e>
                <m:sub>
                  <m:r>
                    <m:t>i</m:t>
                  </m:r>
                </m:sub>
                <m:sup>
                  <m:r>
                    <m:t>M</m:t>
                  </m:r>
                </m:sup>
              </m:sSubSup>
              <m:r>
                <m:rPr>
                  <m:sty m:val="p"/>
                </m:rPr>
                <m:t>&gt;</m:t>
              </m:r>
              <m:sSubSup>
                <m:e>
                  <m:r>
                    <m:t>g</m:t>
                  </m:r>
                </m:e>
                <m:sub>
                  <m:r>
                    <m:t>i</m:t>
                  </m:r>
                </m:sub>
                <m:sup>
                  <m:r>
                    <m:rPr>
                      <m:sty m:val="p"/>
                    </m:rPr>
                    <m:t>*</m:t>
                  </m:r>
                </m:sup>
              </m:sSubSup>
            </m:oMath>
          </w:p>
        </w:tc>
        <w:tc>
          <w:tcPr/>
          <w:p>
            <w:pPr>
              <w:pStyle w:val="Compact"/>
              <w:jc w:val="right"/>
            </w:pPr>
            <m:oMath>
              <m:r>
                <m:t>0</m:t>
              </m:r>
            </m:oMath>
            <w:r>
              <w:rPr>
                <w:color w:val="FF0000"/>
              </w:rPr>
              <w:t xml:space="preserve"> </w:t>
            </w:r>
            <w:r>
              <w:rPr>
                <w:color w:val="FF0000"/>
              </w:rPr>
              <w:t xml:space="preserve">by avoiding</w:t>
            </w:r>
          </w:p>
        </w:tc>
        <w:tc>
          <w:tcPr/>
          <w:p>
            <w:pPr>
              <w:pStyle w:val="Compact"/>
              <w:jc w:val="right"/>
            </w:pPr>
            <m:oMath>
              <m:r>
                <m:t>0</m:t>
              </m:r>
            </m:oMath>
            <w:r>
              <w:rPr>
                <w:color w:val="FF0000"/>
              </w:rPr>
              <w:t xml:space="preserve"> </w:t>
            </w:r>
            <w:r>
              <w:rPr>
                <w:color w:val="FF0000"/>
              </w:rPr>
              <w:t xml:space="preserve">by avoiding</w:t>
            </w:r>
          </w:p>
        </w:tc>
      </w:tr>
      <w:tr>
        <w:tc>
          <w:tcPr/>
          <w:p>
            <w:pPr>
              <w:pStyle w:val="Compact"/>
            </w:pPr>
            <w:r>
              <w:rPr>
                <w:color w:val="FF0000"/>
              </w:rPr>
              <w:t xml:space="preserve">Non-givers</w:t>
            </w:r>
          </w:p>
        </w:tc>
        <w:tc>
          <w:tcPr/>
          <w:p>
            <w:pPr>
              <w:pStyle w:val="Compact"/>
            </w:pPr>
            <m:oMath>
              <m:sSub>
                <m:e>
                  <m:r>
                    <m:t>H</m:t>
                  </m:r>
                </m:e>
                <m:sub>
                  <m:r>
                    <m:t>i</m:t>
                  </m:r>
                </m:sub>
              </m:sSub>
              <m:r>
                <m:rPr>
                  <m:sty m:val="p"/>
                </m:rPr>
                <m:t>≤</m:t>
              </m:r>
              <m:sSubSup>
                <m:e>
                  <m:r>
                    <m:t>H</m:t>
                  </m:r>
                </m:e>
                <m:sub>
                  <m:r>
                    <m:t>i</m:t>
                  </m:r>
                </m:sub>
                <m:sup>
                  <m:r>
                    <m:t>L</m:t>
                  </m:r>
                </m:sup>
              </m:sSubSup>
            </m:oMath>
          </w:p>
        </w:tc>
        <w:tc>
          <w:tcPr/>
          <w:p>
            <w:pPr>
              <w:pStyle w:val="Compact"/>
              <w:jc w:val="right"/>
            </w:pPr>
            <m:oMath>
              <m:r>
                <m:t>0</m:t>
              </m:r>
            </m:oMath>
          </w:p>
        </w:tc>
        <w:tc>
          <w:tcPr/>
          <w:p>
            <w:pPr>
              <w:pStyle w:val="Compact"/>
              <w:jc w:val="right"/>
            </w:pPr>
            <m:oMath>
              <m:r>
                <m:t>0</m:t>
              </m:r>
              <m:r>
                <m:rPr>
                  <m:sty m:val="p"/>
                </m:rPr>
                <m:t>&lt;</m:t>
              </m:r>
              <m:sSubSup>
                <m:e>
                  <m:r>
                    <m:t>g</m:t>
                  </m:r>
                </m:e>
                <m:sub>
                  <m:r>
                    <m:t>i</m:t>
                  </m:r>
                </m:sub>
                <m:sup>
                  <m:r>
                    <m:t>M</m:t>
                  </m:r>
                </m:sup>
              </m:sSubSup>
              <m:r>
                <m:rPr>
                  <m:sty m:val="p"/>
                </m:rPr>
                <m:t>&lt;</m:t>
              </m:r>
              <m:sSup>
                <m:e>
                  <m:r>
                    <m:t>g</m:t>
                  </m:r>
                </m:e>
                <m:sup>
                  <m:r>
                    <m:t>ℓ</m:t>
                  </m:r>
                </m:sup>
              </m:sSup>
            </m:oMath>
            <w:r>
              <w:rPr>
                <w:color w:val="FF0000"/>
              </w:rPr>
              <w:t xml:space="preserve"> </w:t>
            </w:r>
            <w:r>
              <w:rPr>
                <w:color w:val="FF0000"/>
              </w:rPr>
              <w:t xml:space="preserve">if</w:t>
            </w:r>
            <w:r>
              <w:rPr>
                <w:color w:val="FF0000"/>
              </w:rPr>
              <w:t xml:space="preserve"> </w:t>
            </w:r>
            <m:oMath>
              <m:sSubSup>
                <m:e>
                  <m:r>
                    <m:t>H</m:t>
                  </m:r>
                </m:e>
                <m:sub>
                  <m:r>
                    <m:t>i</m:t>
                  </m:r>
                </m:sub>
                <m:sup>
                  <m:r>
                    <m:t>L</m:t>
                  </m:r>
                  <m:r>
                    <m:t>M</m:t>
                  </m:r>
                </m:sup>
              </m:sSubSup>
              <m:r>
                <m:rPr>
                  <m:sty m:val="p"/>
                </m:rPr>
                <m:t>&lt;</m:t>
              </m:r>
              <m:sSub>
                <m:e>
                  <m:r>
                    <m:t>H</m:t>
                  </m:r>
                </m:e>
                <m:sub>
                  <m:r>
                    <m:t>i</m:t>
                  </m:r>
                </m:sub>
              </m:sSub>
              <m:r>
                <m:rPr>
                  <m:sty m:val="p"/>
                </m:rPr>
                <m:t>≤</m:t>
              </m:r>
              <m:sSubSup>
                <m:e>
                  <m:r>
                    <m:t>H</m:t>
                  </m:r>
                </m:e>
                <m:sub>
                  <m:r>
                    <m:t>i</m:t>
                  </m:r>
                </m:sub>
                <m:sup>
                  <m:r>
                    <m:t>L</m:t>
                  </m:r>
                </m:sup>
              </m:sSubSup>
            </m:oMath>
            <w:r>
              <w:rPr>
                <w:color w:val="FF0000"/>
              </w:rPr>
              <w:t xml:space="preserve">; otherwise</w:t>
            </w:r>
            <w:r>
              <w:rPr>
                <w:color w:val="FF0000"/>
              </w:rPr>
              <w:t xml:space="preserve"> </w:t>
            </w:r>
            <m:oMath>
              <m:r>
                <m:t>0</m:t>
              </m:r>
            </m:oMath>
          </w:p>
        </w:tc>
        <w:tc>
          <w:tcPr/>
          <w:p>
            <w:pPr>
              <w:pStyle w:val="Compact"/>
              <w:jc w:val="right"/>
            </w:pPr>
            <m:oMath>
              <m:r>
                <m:t>0</m:t>
              </m:r>
            </m:oMath>
            <w:r>
              <w:rPr>
                <w:color w:val="FF0000"/>
              </w:rPr>
              <w:t xml:space="preserve"> </w:t>
            </w:r>
            <w:r>
              <w:rPr>
                <w:color w:val="FF0000"/>
              </w:rPr>
              <w:t xml:space="preserve">by avoiding or explicit zero</w:t>
            </w:r>
          </w:p>
        </w:tc>
        <w:tc>
          <w:tcPr/>
          <w:p>
            <w:pPr>
              <w:pStyle w:val="Compact"/>
              <w:jc w:val="right"/>
            </w:pPr>
            <m:oMath>
              <m:r>
                <m:t>0</m:t>
              </m:r>
            </m:oMath>
            <w:r>
              <w:rPr>
                <w:color w:val="FF0000"/>
              </w:rPr>
              <w:t xml:space="preserve"> </w:t>
            </w:r>
            <w:r>
              <w:rPr>
                <w:color w:val="FF0000"/>
              </w:rPr>
              <w:t xml:space="preserve">by avoiding or explicit zero</w:t>
            </w:r>
          </w:p>
        </w:tc>
      </w:tr>
    </w:tbl>
    <w:p>
      <w:pPr>
        <w:pStyle w:val="BodyText"/>
      </w:pPr>
      <w:r>
        <w:rPr>
          <w:color w:val="FF0000"/>
        </w:rPr>
        <w:t xml:space="preserve">Notes:</w:t>
      </w:r>
      <w:r>
        <w:rPr>
          <w:color w:val="FF0000"/>
        </w:rPr>
        <w:t xml:space="preserve"> </w:t>
      </w:r>
      <m:oMath>
        <m:sSubSup>
          <m:e>
            <m:r>
              <m:t>H</m:t>
            </m:r>
          </m:e>
          <m:sub>
            <m:r>
              <m:t>i</m:t>
            </m:r>
          </m:sub>
          <m:sup>
            <m:r>
              <m:t>L</m:t>
            </m:r>
          </m:sup>
        </m:sSubSup>
        <m:r>
          <m:rPr>
            <m:sty m:val="p"/>
          </m:rPr>
          <m:t>=</m:t>
        </m:r>
        <m:r>
          <m:t>1</m:t>
        </m:r>
        <m:r>
          <m:rPr>
            <m:sty m:val="p"/>
          </m:rPr>
          <m:t>−</m:t>
        </m:r>
        <m:sSub>
          <m:e>
            <m:r>
              <m:t>a</m:t>
            </m:r>
          </m:e>
          <m:sub>
            <m:r>
              <m:t>i</m:t>
            </m:r>
          </m:sub>
        </m:sSub>
        <m:sSup>
          <m:e>
            <m:r>
              <m:t>u</m:t>
            </m:r>
          </m:e>
          <m:sup>
            <m:r>
              <m:rPr>
                <m:sty m:val="p"/>
              </m:rPr>
              <m:t>′</m:t>
            </m:r>
          </m:sup>
        </m:sSup>
        <m:r>
          <m:rPr>
            <m:sty m:val="p"/>
          </m:rPr>
          <m:t>(</m:t>
        </m:r>
        <m:r>
          <m:t>0</m:t>
        </m:r>
        <m:r>
          <m:rPr>
            <m:sty m:val="p"/>
          </m:rPr>
          <m:t>)</m:t>
        </m:r>
      </m:oMath>
      <w:r>
        <w:rPr>
          <w:color w:val="FF0000"/>
        </w:rPr>
        <w:t xml:space="preserve">,</w:t>
      </w:r>
      <w:r>
        <w:rPr>
          <w:color w:val="FF0000"/>
        </w:rPr>
        <w:t xml:space="preserve"> </w:t>
      </w:r>
      <m:oMath>
        <m:sSubSup>
          <m:e>
            <m:r>
              <m:t>H</m:t>
            </m:r>
          </m:e>
          <m:sub>
            <m:r>
              <m:t>i</m:t>
            </m:r>
          </m:sub>
          <m:sup>
            <m:r>
              <m:t>U</m:t>
            </m:r>
          </m:sup>
        </m:sSubSup>
        <m:r>
          <m:rPr>
            <m:sty m:val="p"/>
          </m:rPr>
          <m:t>=</m:t>
        </m:r>
        <m:r>
          <m:t>1</m:t>
        </m:r>
        <m:r>
          <m:rPr>
            <m:sty m:val="p"/>
          </m:rPr>
          <m:t>−</m:t>
        </m:r>
        <m:sSub>
          <m:e>
            <m:r>
              <m:t>a</m:t>
            </m:r>
          </m:e>
          <m:sub>
            <m:r>
              <m:t>i</m:t>
            </m:r>
          </m:sub>
        </m:sSub>
        <m:sSup>
          <m:e>
            <m:r>
              <m:t>u</m:t>
            </m:r>
          </m:e>
          <m:sup>
            <m:r>
              <m:rPr>
                <m:sty m:val="p"/>
              </m:rPr>
              <m:t>′</m:t>
            </m:r>
          </m:sup>
        </m:sSup>
        <m:r>
          <m:rPr>
            <m:sty m:val="p"/>
          </m:rPr>
          <m:t>(</m:t>
        </m:r>
        <m:sSup>
          <m:e>
            <m:r>
              <m:t>g</m:t>
            </m:r>
          </m:e>
          <m:sup>
            <m:r>
              <m:t>ℓ</m:t>
            </m:r>
          </m:sup>
        </m:sSup>
        <m:r>
          <m:rPr>
            <m:sty m:val="p"/>
          </m:rPr>
          <m:t>)</m:t>
        </m:r>
      </m:oMath>
      <w:r>
        <w:rPr>
          <w:color w:val="FF0000"/>
        </w:rPr>
        <w:t xml:space="preserve">,</w:t>
      </w:r>
      <w:r>
        <w:rPr>
          <w:color w:val="FF0000"/>
        </w:rPr>
        <w:t xml:space="preserve"> </w:t>
      </w:r>
      <m:oMath>
        <m:sSubSup>
          <m:e>
            <m:r>
              <m:t>H</m:t>
            </m:r>
          </m:e>
          <m:sub>
            <m:r>
              <m:t>i</m:t>
            </m:r>
          </m:sub>
          <m:sup>
            <m:r>
              <m:t>L</m:t>
            </m:r>
            <m:r>
              <m:t>M</m:t>
            </m:r>
          </m:sup>
        </m:sSubSup>
        <m:r>
          <m:rPr>
            <m:sty m:val="p"/>
          </m:rPr>
          <m:t>=</m:t>
        </m:r>
        <m:sSubSup>
          <m:e>
            <m:r>
              <m:t>H</m:t>
            </m:r>
          </m:e>
          <m:sub>
            <m:r>
              <m:t>i</m:t>
            </m:r>
          </m:sub>
          <m:sup>
            <m:r>
              <m:t>L</m:t>
            </m:r>
          </m:sup>
        </m:sSubSup>
        <m:r>
          <m:rPr>
            <m:sty m:val="p"/>
          </m:rPr>
          <m:t>/</m:t>
        </m:r>
        <m:r>
          <m:t>γ</m:t>
        </m:r>
      </m:oMath>
      <w:r>
        <w:rPr>
          <w:color w:val="FF0000"/>
        </w:rPr>
        <w:t xml:space="preserve">, and</w:t>
      </w:r>
      <w:r>
        <w:rPr>
          <w:color w:val="FF0000"/>
        </w:rPr>
        <w:t xml:space="preserve"> </w:t>
      </w:r>
      <m:oMath>
        <m:sSubSup>
          <m:e>
            <m:r>
              <m:t>H</m:t>
            </m:r>
          </m:e>
          <m:sub>
            <m:r>
              <m:t>i</m:t>
            </m:r>
          </m:sub>
          <m:sup>
            <m:r>
              <m:t>U</m:t>
            </m:r>
            <m:r>
              <m:t>M</m:t>
            </m:r>
          </m:sup>
        </m:sSubSup>
        <m:r>
          <m:rPr>
            <m:sty m:val="p"/>
          </m:rPr>
          <m:t>=</m:t>
        </m:r>
        <m:sSubSup>
          <m:e>
            <m:r>
              <m:t>H</m:t>
            </m:r>
          </m:e>
          <m:sub>
            <m:r>
              <m:t>i</m:t>
            </m:r>
          </m:sub>
          <m:sup>
            <m:r>
              <m:t>U</m:t>
            </m:r>
          </m:sup>
        </m:sSubSup>
        <m:r>
          <m:rPr>
            <m:sty m:val="p"/>
          </m:rPr>
          <m:t>/</m:t>
        </m:r>
        <m:r>
          <m:t>γ</m:t>
        </m:r>
      </m:oMath>
      <w:r>
        <w:rPr>
          <w:color w:val="FF0000"/>
        </w:rPr>
        <w:t xml:space="preserve">. The table uses the norm-signalling benchmark in which the match affects the psychological cost of giving below the norm but does not enter the consumption-altruism utility</w:t>
      </w:r>
      <w:r>
        <w:rPr>
          <w:color w:val="FF0000"/>
        </w:rPr>
        <w:t xml:space="preserve"> </w:t>
      </w:r>
      <m:oMath>
        <m:r>
          <m:t>v</m:t>
        </m:r>
        <m:r>
          <m:rPr>
            <m:sty m:val="p"/>
          </m:rPr>
          <m:t>(</m:t>
        </m:r>
        <m:r>
          <m:t>g</m:t>
        </m:r>
        <m:r>
          <m:rPr>
            <m:sty m:val="p"/>
          </m:rPr>
          <m:t>;</m:t>
        </m:r>
        <m:sSub>
          <m:e>
            <m:r>
              <m:t>a</m:t>
            </m:r>
          </m:e>
          <m:sub>
            <m:r>
              <m:t>i</m:t>
            </m:r>
          </m:sub>
        </m:sSub>
        <m:r>
          <m:rPr>
            <m:sty m:val="p"/>
          </m:rPr>
          <m:t>)</m:t>
        </m:r>
      </m:oMath>
      <w:r>
        <w:rPr>
          <w:color w:val="FF0000"/>
        </w:rPr>
        <w:t xml:space="preserve">.</w:t>
      </w:r>
      <w:r>
        <w:rPr>
          <w:color w:val="FF0000"/>
        </w:rPr>
        <w:t xml:space="preserve"> </w:t>
      </w:r>
      <w:r>
        <w:rPr>
          <w:color w:val="FF0000"/>
        </w:rPr>
        <w:t xml:space="preserve">The entries</w:t>
      </w:r>
      <w:r>
        <w:rPr>
          <w:color w:val="FF0000"/>
        </w:rPr>
        <w:t xml:space="preserve"> </w:t>
      </w:r>
      <w:r>
        <w:rPr>
          <w:color w:val="FF0000"/>
        </w:rPr>
        <w:t xml:space="preserve">“by avoiding or explicit zero”</w:t>
      </w:r>
      <w:r>
        <w:rPr>
          <w:color w:val="FF0000"/>
        </w:rPr>
        <w:t xml:space="preserve"> </w:t>
      </w:r>
      <w:r>
        <w:rPr>
          <w:color w:val="FF0000"/>
        </w:rPr>
        <w:t xml:space="preserve">reflect the tie case for non-givers with no psychological cost. The prediction for effective giving remains zero.</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Theory Appendix</dc:title>
  <dc:creator/>
  <cp:keywords/>
  <dcterms:created xsi:type="dcterms:W3CDTF">2026-06-20T22:20:58Z</dcterms:created>
  <dcterms:modified xsi:type="dcterms:W3CDTF">2026-06-20T22:20:58Z</dcterms:modified>
</cp:coreProperties>
</file>

<file path=docProps/custom.xml><?xml version="1.0" encoding="utf-8"?>
<Properties xmlns="http://schemas.openxmlformats.org/officeDocument/2006/custom-properties" xmlns:vt="http://schemas.openxmlformats.org/officeDocument/2006/docPropsVTypes"/>
</file>