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1102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1101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u/YouCooper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Fair point, and the insurer is likely to keep arguing that. But even setting H pylori aside, the ER visit itself was for an adverse reaction to the antibiotic she started taking to treat the infection. Discharge diagnosis was literally “adverse effect of systemic antibiotic”. That drug was not in her body before coverage began, so the reaction to it cannot be pre-existing. Would that be a stronger angle to focus the appeal on rather than trying to prove the H pylori itself was not there?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