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u/ComeSeptember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she has an allergy or intolerance to a particular antibiotic, then that would also be a pre-existing condition because she would've been born with it. Just because she didn't take the antibiotic until after the policy began doesn't mean she wasn't allergic/intolerant until that moment.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And these games are exactly why the ACA's elimination of pre-existing condition carveouts was touted as such a massive accomplishment. Insurance companies used to deny pretty much everything as pre-existing and make people with chronic conditions effectively uninsurable. The plans (like travel insurance) that aren't subject to the law can still get away with it.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