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u/YouCooper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Thanks for the reply. You may be right that H pylori could have been brewing before, that is the insurer’s exact argument too. But the ER visit itself was not for H pylori. It was for an adverse reaction to the antibiotic she started taking to treat the H pylori. The ER discharge diagnosis was literally “adverse effect of systemic antibiotic”. She started that drug after her coverage began, so the reaction to it could not have existed before coverage. Would that argument hold weight or does the insurer still get to call the reaction pre-existing because the underlying infection was?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