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u/YouCooper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Thank you, this is really practical advice. I will call each provider’s billing office this week and ask about both charity care and a social worker. Good point about the insurer possibly arguing that the drug reaction traces back to a pre-existing condition. That is the exact chain the insurer will probably try to make. Hopefully the fact that the ER’s own discharge diagnosis was for the drug reaction and not H pylori helps break that chain, but you are right that they will fight it.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