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problem is that H pylori is a slow burn. You don't just wake up one morning with it. It takes time to build up and for symptoms to actually appear. Your friend had the H pylori long before she signed up for this policy.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As far as the Acute Onset clause of the policy, you will have to research exactly what coverage this benefit would offer, because most of these require treatment to be obtained within 24 hours of onset. An ER trip nine days after the start of antibiotics wouldn't fit that scenario, and is likely the reason that it wasn't mentioned to your friend to begin with. The ER treatment likely doesn't fit the requirements to receive that benefit.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As far as attorneys are concerned, unless you are filing a lawsuit against the insurance company, this isn't something an attorney would be involved in. These are regulatory policy issues, not criminal or civil litigation issues (again, unless you file suit). Even if you take this to arbitration, you're not likely to find an attorney that would take this case on, especially pro bono. Travel insurance policies, and those set up like them, are tricky, and unless there is concrete proof that your friend was not infected with H pylori until four days after policy commencement, these claims have unfortunately probably denied correctly, per the terms of the policy.</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