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1129</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1128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u/YouCooper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Thanks for jumping in and confirming that. That matches what we have been figuring out too. So basically her main leverage is the appeal on the pre-existing denial plus the Acute Onset benefit argument, and then negotiation and charity care on the provider side. No help expected from NSA or state balance billing laws because of the non-ACA policy type. Is there anything specific you would suggest for a second level appeal on a medically underwritten F1 OPT policy like this one? Genuinely asking because the first appeal already got denied and we want to do the second one right.</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