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1130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1129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u/Foreign_Afternoon_49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Small clarification: the fact that it's a non-ACA policy is why it is allowed to exclude pre-existing conditions.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NSA is separate. That's to protect anyone from OON charges when going to an ER. But from what we gather, that doesn't matter here. The insurance generates an official Explanation of Benefits (EOB) statement showing how the claim was processed and the reason for the denial. If the reason is "pre-existing condition", then that's the appeal you need the hospital to file (I'm the person who explained that process in a separate comment).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But if the claim gets approved, but for a lower amount, and the rest of the $58k balance is billed to you because the ER is OON, that's when you can invoke the No Surprises Act.</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