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u/vctrlarae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could be wrong, but I think in these situations, if there is a medical reason why your provider has you on a specific brand, they have to justify that in their appeal documentation as to why you medically wouldn’t benefit from switching to a different medication.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