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1817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u/vivekpadia70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You have an unusually strong paper trail here. They authorized CPT 15832 with this specific surgeon in an office setting, in writing, then denied the claim for exactly that setting, citing a policy that only appears on the provider-facing site. Regulators and external reviewers respond to precisely that inconsistency.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What I'd do next: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Request the complete claim file plus the specific policy they relied on. For most employer plans, federal law (ERISA) requires them to give you everything the denial was based on, free, on request.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If you have an appeal level left, aim it at the setting question, not medical necessity. Attach the authorization letter, point at the office-setting line, and say it plainly: approving a procedure in a specific setting and then excluding reimbursement in that same setting makes the authorization meaningless, and the exclusion was never in member-facing documents.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You already beat them once through a state complaint and external review. This denial is a different question from the medical-necessity fight, so that route is worth using again.</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One thing changes the playbook: whether the plan is self-funded or fully insured. Ask HR. That answer decides whether your state regulator or the federal Department of Labor is the real pressure point.</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