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u/vivekpadia70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Fully insured answers the big question: your pressure point is the state, not the federal DOL. And honestly, being told this was your final internal appeal may work in your favor, because it accelerates you to external review, which is the level you already won once.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On the two-levels puzzle: appeal structures often differ by claim type, so a post-service reimbursement claim can carry fewer internal levels than a pre-service denial. But the mismatch between your plan documents and the denial letter is worth pinning down. Ask them in writing to cite exactly where your plan provides only one internal appeal for this claim type. If they can't, that discrepancy itself belongs in your complaint.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Then file the external review following the instructions and deadline printed on the denial letter, and open a complaint with Florida's insurance consumer services as well. Your core exhibit stays the same: the authorization letter listing this code, this surgeon, this setting, against a policy that only lived on the provider site.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One more thing for when the claim file arrives: check the effective date on the office-setting policy. If it postdates your authorization, say so loudly in the external review.</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