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Thread_2</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200</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0</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u/MrTheRiddle</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Dental Claim Denial x3. What can I do?</w:t>
      </w:r>
    </w:p>
    <w:p>
      <w:pPr>
        <w:spacing w:before="0" w:line="240" w:lineRule="auto" w:after="0"/>
        <w:ind w:left="0"/>
        <w:jc w:val="left"/>
      </w:pPr>
      <w:r>
        <w:rPr>
          <w:rFonts w:ascii="Arial" w:cs="Arial" w:hAnsi="Arial" w:eastAsia="Arial"/>
          <w:sz w:val="22"/>
          <w:szCs w:val="22"/>
          <w:color w:val="#000000"/>
          <w:lang w:bidi="ar-SA" w:eastAsia="en-US" w:val="en-US"/>
        </w:rPr>
        <w:t xml:space="preserve">I got dental work done. It was a deep cleaning or something like that, for gingivitis/to prevent bone loss (or something lol)</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My insurance (Guardian) denied it, based on that there wasn't enough evidence that it was needed for the health of my gums. I called the provider and they appealed it (twice apparently) and it was denied both times for the same reason. The provider billing rep (a new one since they got bought out) basically said "welp, I guess you gotta pay it," as if $400+ more is just a drop in the bucket.</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Is there anything I can do here? Is this why people ignore medical debt? lol</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