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504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502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u/Proper-Media2908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Also, it would have been approved for a July 1 date anyway. Presumably all the information justifying the surgery in a way that ultimately got it approved were in the external review packet a sent BEFORE the surgery. It's not like the approval was based on some idea that the imaging got worse after July 1, thereby justifying the surgery only after that date.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