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Thread_8</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801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u/Quick-Permission3566</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The insurance said its not medically necessary. I had a bone infection 2 years ago in my back that has caused a lot of damage. I fell back in June, they did some xrays that made them think the infection was back. The first MRI showed chronic changes but at the time they couldn't determine if it was an active infection or just residual damage from before. They wanted to do a 90 day check in to see if there was a rapid progression of damage.</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