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775" w:tblpY="1068"/>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47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360" w:type="dxa"/>
              <w:left w:w="360" w:type="dxa"/>
              <w:bottom w:w="360" w:type="dxa"/>
              <w:right w:w="360" w:type="dxa"/>
            </w:tcMar>
          </w:tcPr>
          <w:p w14:paraId="491C4419">
            <w:pPr>
              <w:spacing w:before="0" w:after="80"/>
              <w:jc w:val="left"/>
              <w:rPr>
                <w:rFonts w:ascii="Arial" w:hAnsi="Arial" w:eastAsia="Arial" w:cs="Arial"/>
                <w:b/>
                <w:bCs/>
                <w:color w:val="FFFFFF"/>
                <w:sz w:val="44"/>
                <w:szCs w:val="44"/>
              </w:rPr>
            </w:pPr>
            <w:r>
              <w:rPr>
                <w:rFonts w:hint="default" w:cs="Arial"/>
                <w:b/>
                <w:bCs/>
                <w:color w:val="FFFFFF"/>
                <w:sz w:val="44"/>
                <w:szCs w:val="44"/>
                <w:lang w:val="en-US"/>
              </w:rPr>
              <w:t>1.</w:t>
            </w:r>
            <w:r>
              <w:rPr>
                <w:rFonts w:ascii="Arial" w:hAnsi="Arial" w:eastAsia="Arial" w:cs="Arial"/>
                <w:b/>
                <w:bCs/>
                <w:color w:val="FFFFFF"/>
                <w:sz w:val="44"/>
                <w:szCs w:val="44"/>
              </w:rPr>
              <w:t>IDENTIFICATION PHASE</w:t>
            </w:r>
          </w:p>
          <w:p w14:paraId="691D1190">
            <w:pPr>
              <w:spacing w:before="0" w:after="0"/>
              <w:jc w:val="left"/>
            </w:pPr>
            <w:r>
              <w:rPr>
                <w:rFonts w:ascii="Arial" w:hAnsi="Arial" w:eastAsia="Arial" w:cs="Arial"/>
                <w:i/>
                <w:iCs/>
                <w:color w:val="C8D8EE"/>
                <w:sz w:val="22"/>
                <w:szCs w:val="22"/>
              </w:rPr>
              <w:t>Automating Employee Data Import &amp; Relationship Mapping Using Import Sets and Dot Walking</w:t>
            </w:r>
          </w:p>
        </w:tc>
      </w:tr>
    </w:tbl>
    <w:p w14:paraId="5EAB0393">
      <w:pPr>
        <w:spacing w:before="240" w:after="0"/>
      </w:pPr>
    </w:p>
    <w:p w14:paraId="17C5297B">
      <w:pPr>
        <w:spacing w:before="240" w:after="0"/>
      </w:pPr>
    </w:p>
    <w:p w14:paraId="1BDE049A">
      <w:pPr>
        <w:pBdr>
          <w:bottom w:val="single" w:color="D0D8E8" w:sz="6" w:space="1"/>
        </w:pBdr>
        <w:spacing w:before="120" w:after="120"/>
      </w:pPr>
    </w:p>
    <w:p w14:paraId="4732EECD">
      <w:pPr>
        <w:pStyle w:val="2"/>
        <w:numPr>
          <w:ilvl w:val="0"/>
          <w:numId w:val="1"/>
        </w:numPr>
        <w:pBdr>
          <w:left w:val="single" w:color="2E75B6" w:sz="28" w:space="8"/>
        </w:pBdr>
        <w:spacing w:before="320" w:after="120"/>
        <w:rPr>
          <w:rFonts w:ascii="Arial" w:hAnsi="Arial" w:eastAsia="Arial" w:cs="Arial"/>
          <w:b/>
          <w:bCs/>
          <w:caps w:val="0"/>
          <w:color w:val="1F3864"/>
          <w:sz w:val="28"/>
          <w:szCs w:val="28"/>
        </w:rPr>
      </w:pPr>
      <w:r>
        <w:rPr>
          <w:rFonts w:ascii="Arial" w:hAnsi="Arial" w:eastAsia="Arial" w:cs="Arial"/>
          <w:b/>
          <w:bCs/>
          <w:caps w:val="0"/>
          <w:color w:val="1F3864"/>
          <w:sz w:val="28"/>
          <w:szCs w:val="28"/>
        </w:rPr>
        <w:t>INTRODUCTION</w:t>
      </w:r>
    </w:p>
    <w:p w14:paraId="07F6C56D">
      <w:pPr>
        <w:numPr>
          <w:numId w:val="0"/>
        </w:numPr>
      </w:pPr>
    </w:p>
    <w:p w14:paraId="1159ACB4">
      <w:pPr>
        <w:spacing w:before="60" w:after="100" w:line="360" w:lineRule="auto"/>
        <w:jc w:val="both"/>
        <w:rPr>
          <w:sz w:val="24"/>
          <w:szCs w:val="24"/>
        </w:rPr>
      </w:pPr>
      <w:r>
        <w:rPr>
          <w:rFonts w:ascii="Arial" w:hAnsi="Arial" w:eastAsia="Arial" w:cs="Arial"/>
          <w:color w:val="595959"/>
          <w:sz w:val="24"/>
          <w:szCs w:val="24"/>
        </w:rPr>
        <w:t>This document constitutes the formal output of the Identification Phase for the ServiceNow Automation Project focused on employee data import and related data visualisation on Incident records. The Identification Phase represents the first stage of the project lifecycle, during which the business need is articulated, the project boundary is established, and the foundational requirements are captured at a sufficient level of detail to proceed to solution design.</w:t>
      </w:r>
    </w:p>
    <w:p w14:paraId="6B7FAD1C">
      <w:pPr>
        <w:spacing w:before="60" w:after="0" w:line="360" w:lineRule="auto"/>
        <w:rPr>
          <w:sz w:val="24"/>
          <w:szCs w:val="24"/>
        </w:rPr>
      </w:pPr>
    </w:p>
    <w:p w14:paraId="5B0BEEBB">
      <w:pPr>
        <w:spacing w:before="60" w:after="100" w:line="360" w:lineRule="auto"/>
        <w:jc w:val="both"/>
        <w:rPr>
          <w:sz w:val="24"/>
          <w:szCs w:val="24"/>
        </w:rPr>
      </w:pPr>
      <w:r>
        <w:rPr>
          <w:rFonts w:ascii="Arial" w:hAnsi="Arial" w:eastAsia="Arial" w:cs="Arial"/>
          <w:color w:val="595959"/>
          <w:sz w:val="24"/>
          <w:szCs w:val="24"/>
        </w:rPr>
        <w:t>The primary objective of this project is to automate the ingestion of new employee data from an external source into the ServiceNow platform and to ensure that relevant employee-related information — specifically departmental affiliation and managerial contact details — is surfaced directly on Incident records. Achieving this objective will reduce manual data entry effort, improve data consistency across the platform, and enhance the quality of contextual information available to service desk personnel when managing incidents.</w:t>
      </w:r>
    </w:p>
    <w:p w14:paraId="32D2272C">
      <w:pPr>
        <w:spacing w:before="60" w:after="0" w:line="360" w:lineRule="auto"/>
        <w:rPr>
          <w:sz w:val="24"/>
          <w:szCs w:val="24"/>
        </w:rPr>
      </w:pPr>
    </w:p>
    <w:p w14:paraId="576D8CA8">
      <w:pPr>
        <w:spacing w:before="60" w:after="100" w:line="360" w:lineRule="auto"/>
        <w:jc w:val="both"/>
        <w:rPr>
          <w:rFonts w:ascii="Arial" w:hAnsi="Arial" w:eastAsia="Arial" w:cs="Arial"/>
          <w:color w:val="595959"/>
          <w:sz w:val="24"/>
          <w:szCs w:val="24"/>
        </w:rPr>
      </w:pPr>
      <w:r>
        <w:rPr>
          <w:rFonts w:ascii="Arial" w:hAnsi="Arial" w:eastAsia="Arial" w:cs="Arial"/>
          <w:color w:val="595959"/>
          <w:sz w:val="24"/>
          <w:szCs w:val="24"/>
        </w:rPr>
        <w:t>This document is intended for review and approval by all identified stakeholders before progression to the Design Phase. It should be regarded as the authoritative reference for project scope and initial requirements throughout the delivery lifecycle.</w:t>
      </w:r>
    </w:p>
    <w:p w14:paraId="0A3C652F">
      <w:pPr>
        <w:numPr>
          <w:numId w:val="0"/>
        </w:numPr>
        <w:ind w:leftChars="0"/>
      </w:pPr>
    </w:p>
    <w:p w14:paraId="3881A6AF">
      <w:pPr>
        <w:numPr>
          <w:numId w:val="0"/>
        </w:numPr>
        <w:ind w:leftChars="0"/>
      </w:pPr>
    </w:p>
    <w:p w14:paraId="612D2DCD">
      <w:pPr>
        <w:numPr>
          <w:numId w:val="0"/>
        </w:numPr>
        <w:ind w:leftChars="0"/>
      </w:pPr>
    </w:p>
    <w:p w14:paraId="0D5CF439">
      <w:pPr>
        <w:numPr>
          <w:numId w:val="0"/>
        </w:numPr>
        <w:ind w:leftChars="0"/>
      </w:pPr>
    </w:p>
    <w:p w14:paraId="2DA185D1">
      <w:pPr>
        <w:numPr>
          <w:numId w:val="0"/>
        </w:numPr>
        <w:ind w:leftChars="0"/>
      </w:pPr>
    </w:p>
    <w:p w14:paraId="4C1F7DB1">
      <w:pPr>
        <w:numPr>
          <w:numId w:val="0"/>
        </w:numPr>
        <w:ind w:leftChars="0"/>
      </w:pPr>
    </w:p>
    <w:p w14:paraId="684EF8F9">
      <w:pPr>
        <w:numPr>
          <w:numId w:val="0"/>
        </w:numPr>
        <w:ind w:leftChars="0"/>
      </w:pPr>
    </w:p>
    <w:p w14:paraId="433DB644">
      <w:pPr>
        <w:numPr>
          <w:numId w:val="0"/>
        </w:numPr>
        <w:ind w:leftChars="0"/>
      </w:pPr>
    </w:p>
    <w:p w14:paraId="090FE662">
      <w:pPr>
        <w:numPr>
          <w:numId w:val="0"/>
        </w:numPr>
        <w:ind w:leftChars="0"/>
      </w:pPr>
    </w:p>
    <w:p w14:paraId="53BB9CEE">
      <w:pPr>
        <w:numPr>
          <w:numId w:val="0"/>
        </w:numPr>
        <w:ind w:leftChars="0"/>
      </w:pPr>
    </w:p>
    <w:p w14:paraId="4C31C47E">
      <w:pPr>
        <w:pStyle w:val="2"/>
        <w:numPr>
          <w:ilvl w:val="0"/>
          <w:numId w:val="1"/>
        </w:numPr>
        <w:pBdr>
          <w:left w:val="single" w:color="2E75B6" w:sz="28" w:space="8"/>
        </w:pBdr>
        <w:spacing w:before="320" w:after="120"/>
        <w:ind w:left="0" w:leftChars="0" w:firstLine="0" w:firstLineChars="0"/>
        <w:rPr>
          <w:rFonts w:ascii="Arial" w:hAnsi="Arial" w:eastAsia="Arial" w:cs="Arial"/>
          <w:b/>
          <w:bCs/>
          <w:caps w:val="0"/>
          <w:color w:val="1F3864"/>
          <w:sz w:val="28"/>
          <w:szCs w:val="28"/>
        </w:rPr>
      </w:pPr>
      <w:r>
        <w:rPr>
          <w:rFonts w:ascii="Arial" w:hAnsi="Arial" w:eastAsia="Arial" w:cs="Arial"/>
          <w:b/>
          <w:bCs/>
          <w:caps w:val="0"/>
          <w:color w:val="1F3864"/>
          <w:sz w:val="28"/>
          <w:szCs w:val="28"/>
        </w:rPr>
        <w:t>PROJECT BACKGROUND &amp; CONTEXT</w:t>
      </w:r>
    </w:p>
    <w:p w14:paraId="6FC2E37C">
      <w:pPr>
        <w:numPr>
          <w:numId w:val="0"/>
        </w:numPr>
        <w:ind w:leftChars="0"/>
      </w:pPr>
    </w:p>
    <w:p w14:paraId="762C4E62">
      <w:pPr>
        <w:numPr>
          <w:numId w:val="0"/>
        </w:numPr>
        <w:ind w:leftChars="0"/>
      </w:pPr>
    </w:p>
    <w:p w14:paraId="6E538547">
      <w:pPr>
        <w:numPr>
          <w:numId w:val="0"/>
        </w:numPr>
        <w:ind w:leftChars="0"/>
      </w:pPr>
    </w:p>
    <w:p w14:paraId="70B756C8">
      <w:pPr>
        <w:spacing w:before="60" w:after="100" w:line="360" w:lineRule="auto"/>
        <w:jc w:val="both"/>
        <w:rPr>
          <w:sz w:val="24"/>
          <w:szCs w:val="24"/>
        </w:rPr>
      </w:pPr>
      <w:r>
        <w:rPr>
          <w:rFonts w:ascii="Arial" w:hAnsi="Arial" w:eastAsia="Arial" w:cs="Arial"/>
          <w:color w:val="595959"/>
          <w:sz w:val="24"/>
          <w:szCs w:val="24"/>
        </w:rPr>
        <w:t>The organisation currently maintains employee records within an external system of record, with employee data existing independently of the ServiceNow platform. When new employees join the organisation, their details — including full name, corporate email address, departmental assignment, and reporting manager — must be manually entered or separately maintained within ServiceNow's User table. This manual process introduces risk of data discrepancy, delays in provisioning accurate user profiles, and an increased administrative burden on the IT operations team.</w:t>
      </w:r>
    </w:p>
    <w:p w14:paraId="575888CA">
      <w:pPr>
        <w:spacing w:before="60" w:after="0" w:line="360" w:lineRule="auto"/>
        <w:rPr>
          <w:sz w:val="24"/>
          <w:szCs w:val="24"/>
        </w:rPr>
      </w:pPr>
    </w:p>
    <w:p w14:paraId="6E87B3D7">
      <w:pPr>
        <w:spacing w:before="60" w:after="100" w:line="360" w:lineRule="auto"/>
        <w:jc w:val="both"/>
        <w:rPr>
          <w:sz w:val="24"/>
          <w:szCs w:val="24"/>
        </w:rPr>
      </w:pPr>
      <w:r>
        <w:rPr>
          <w:rFonts w:ascii="Arial" w:hAnsi="Arial" w:eastAsia="Arial" w:cs="Arial"/>
          <w:color w:val="595959"/>
          <w:sz w:val="24"/>
          <w:szCs w:val="24"/>
        </w:rPr>
        <w:t>Furthermore, service desk personnel handling Incident records do not currently have immediate visibility of the assigned user's department or their manager's email address directly within the Incident form. This information must be retrieved through separate lookups, reducing operational efficiency and potentially slowing incident triage and escalation processes.</w:t>
      </w:r>
    </w:p>
    <w:p w14:paraId="1D55957F">
      <w:pPr>
        <w:spacing w:before="60" w:after="0" w:line="360" w:lineRule="auto"/>
        <w:rPr>
          <w:sz w:val="24"/>
          <w:szCs w:val="24"/>
        </w:rPr>
      </w:pPr>
    </w:p>
    <w:p w14:paraId="555ECDA6">
      <w:pPr>
        <w:spacing w:before="60" w:after="100" w:line="360" w:lineRule="auto"/>
        <w:jc w:val="both"/>
        <w:rPr>
          <w:rFonts w:ascii="Arial" w:hAnsi="Arial" w:eastAsia="Arial" w:cs="Arial"/>
          <w:color w:val="595959"/>
          <w:sz w:val="24"/>
          <w:szCs w:val="24"/>
        </w:rPr>
      </w:pPr>
      <w:r>
        <w:rPr>
          <w:rFonts w:ascii="Arial" w:hAnsi="Arial" w:eastAsia="Arial" w:cs="Arial"/>
          <w:color w:val="595959"/>
          <w:sz w:val="24"/>
          <w:szCs w:val="24"/>
        </w:rPr>
        <w:t>The business need driving this project is therefore twofold. First, there is a requirement to establish a structured, repeatable mechanism for importing new employee data from an external file — specifically a CSV-formatted extract — into the ServiceNow User table, with appropriate transformation and relationship mapping performed automatically by the platform. Second, there is a requirement to configure the Incident form to display key derived attributes — namely the user's department and the manager's email address — without requiring manual navigation away from the record. Together, these capabilities will materially improve data integrity and support a more efficient service desk operation.</w:t>
      </w:r>
    </w:p>
    <w:p w14:paraId="5D5125A3">
      <w:pPr>
        <w:spacing w:before="60" w:after="100" w:line="360" w:lineRule="auto"/>
        <w:jc w:val="both"/>
        <w:rPr>
          <w:rFonts w:ascii="Arial" w:hAnsi="Arial" w:eastAsia="Arial" w:cs="Arial"/>
          <w:color w:val="595959"/>
          <w:sz w:val="24"/>
          <w:szCs w:val="24"/>
        </w:rPr>
      </w:pPr>
    </w:p>
    <w:p w14:paraId="551C4EB5">
      <w:pPr>
        <w:spacing w:before="60" w:after="100" w:line="360" w:lineRule="auto"/>
        <w:jc w:val="both"/>
        <w:rPr>
          <w:rFonts w:ascii="Arial" w:hAnsi="Arial" w:eastAsia="Arial" w:cs="Arial"/>
          <w:color w:val="595959"/>
          <w:sz w:val="24"/>
          <w:szCs w:val="24"/>
        </w:rPr>
      </w:pPr>
    </w:p>
    <w:p w14:paraId="4132E71A">
      <w:pPr>
        <w:spacing w:before="60" w:after="100" w:line="360" w:lineRule="auto"/>
        <w:jc w:val="both"/>
        <w:rPr>
          <w:rFonts w:ascii="Arial" w:hAnsi="Arial" w:eastAsia="Arial" w:cs="Arial"/>
          <w:color w:val="595959"/>
          <w:sz w:val="24"/>
          <w:szCs w:val="24"/>
        </w:rPr>
      </w:pPr>
    </w:p>
    <w:p w14:paraId="31F0C65E">
      <w:pPr>
        <w:spacing w:before="60" w:after="100" w:line="360" w:lineRule="auto"/>
        <w:jc w:val="both"/>
        <w:rPr>
          <w:rFonts w:ascii="Arial" w:hAnsi="Arial" w:eastAsia="Arial" w:cs="Arial"/>
          <w:color w:val="595959"/>
          <w:sz w:val="24"/>
          <w:szCs w:val="24"/>
        </w:rPr>
      </w:pPr>
    </w:p>
    <w:p w14:paraId="4A695C0F">
      <w:pPr>
        <w:spacing w:before="60" w:after="100" w:line="360" w:lineRule="auto"/>
        <w:jc w:val="both"/>
        <w:rPr>
          <w:rFonts w:ascii="Arial" w:hAnsi="Arial" w:eastAsia="Arial" w:cs="Arial"/>
          <w:color w:val="595959"/>
          <w:sz w:val="24"/>
          <w:szCs w:val="24"/>
        </w:rPr>
      </w:pPr>
    </w:p>
    <w:p w14:paraId="2229C485">
      <w:pPr>
        <w:spacing w:before="80" w:after="0"/>
      </w:pPr>
    </w:p>
    <w:p w14:paraId="472669D6">
      <w:pPr>
        <w:pStyle w:val="2"/>
        <w:pBdr>
          <w:left w:val="single" w:color="2E75B6" w:sz="28" w:space="8"/>
        </w:pBdr>
        <w:spacing w:before="320" w:after="120"/>
      </w:pPr>
      <w:r>
        <w:rPr>
          <w:rFonts w:ascii="Arial" w:hAnsi="Arial" w:eastAsia="Arial" w:cs="Arial"/>
          <w:b/>
          <w:bCs/>
          <w:caps w:val="0"/>
          <w:color w:val="1F3864"/>
          <w:sz w:val="28"/>
          <w:szCs w:val="28"/>
        </w:rPr>
        <w:t>3. SCOPE DEFINITION</w:t>
      </w:r>
    </w:p>
    <w:p w14:paraId="725E67E9">
      <w:pPr>
        <w:spacing w:before="60" w:after="100" w:line="276" w:lineRule="auto"/>
        <w:jc w:val="both"/>
      </w:pPr>
      <w:r>
        <w:rPr>
          <w:rFonts w:ascii="Arial" w:hAnsi="Arial" w:eastAsia="Arial" w:cs="Arial"/>
          <w:color w:val="595959"/>
          <w:sz w:val="22"/>
          <w:szCs w:val="22"/>
        </w:rPr>
        <w:t>The following sub-sections define what is and is not included within the boundaries of this project engagement. Clear scope definition at this stage is essential to prevent scope creep and to ensure that all stakeholder expectations are aligned prior to design and implementation.</w:t>
      </w:r>
    </w:p>
    <w:p w14:paraId="699BA708">
      <w:pPr>
        <w:spacing w:before="60" w:after="0"/>
      </w:pPr>
    </w:p>
    <w:p w14:paraId="64516088">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3.1  In-Scope</w:t>
      </w:r>
    </w:p>
    <w:p w14:paraId="6E51D802"/>
    <w:p w14:paraId="53341E10">
      <w:pPr>
        <w:pStyle w:val="14"/>
        <w:numPr>
          <w:ilvl w:val="0"/>
          <w:numId w:val="2"/>
        </w:numPr>
        <w:spacing w:before="40" w:after="60" w:line="360" w:lineRule="auto"/>
        <w:jc w:val="both"/>
      </w:pPr>
      <w:r>
        <w:rPr>
          <w:rFonts w:ascii="Arial" w:hAnsi="Arial" w:eastAsia="Arial" w:cs="Arial"/>
          <w:b w:val="0"/>
          <w:bCs w:val="0"/>
          <w:color w:val="595959"/>
          <w:sz w:val="22"/>
          <w:szCs w:val="22"/>
        </w:rPr>
        <w:t>Import of employee data from an external CSV or Excel file into a dedicated ServiceNow Import Set staging table.</w:t>
      </w:r>
    </w:p>
    <w:p w14:paraId="7905AB1E">
      <w:pPr>
        <w:pStyle w:val="14"/>
        <w:numPr>
          <w:ilvl w:val="0"/>
          <w:numId w:val="2"/>
        </w:numPr>
        <w:spacing w:before="40" w:after="60" w:line="360" w:lineRule="auto"/>
        <w:jc w:val="both"/>
      </w:pPr>
      <w:r>
        <w:rPr>
          <w:rFonts w:ascii="Arial" w:hAnsi="Arial" w:eastAsia="Arial" w:cs="Arial"/>
          <w:b w:val="0"/>
          <w:bCs w:val="0"/>
          <w:color w:val="595959"/>
          <w:sz w:val="22"/>
          <w:szCs w:val="22"/>
        </w:rPr>
        <w:t>Creation and configuration of a Transform Map to facilitate the movement and transformation of data from the Import Set staging table into the core ServiceNow User table [sys_user].</w:t>
      </w:r>
    </w:p>
    <w:p w14:paraId="2D549C04">
      <w:pPr>
        <w:pStyle w:val="14"/>
        <w:numPr>
          <w:ilvl w:val="0"/>
          <w:numId w:val="2"/>
        </w:numPr>
        <w:spacing w:before="40" w:after="60" w:line="360" w:lineRule="auto"/>
        <w:jc w:val="both"/>
      </w:pPr>
      <w:r>
        <w:rPr>
          <w:rFonts w:ascii="Arial" w:hAnsi="Arial" w:eastAsia="Arial" w:cs="Arial"/>
          <w:b w:val="0"/>
          <w:bCs w:val="0"/>
          <w:color w:val="595959"/>
          <w:sz w:val="22"/>
          <w:szCs w:val="22"/>
        </w:rPr>
        <w:t>Field-level mapping between the source data columns and the corresponding target fields in the User table, including the explicit configuration of the Manager field relationship using a reference lookup to link imported employees to their respective manager records within the same table.</w:t>
      </w:r>
    </w:p>
    <w:p w14:paraId="08205D27">
      <w:pPr>
        <w:pStyle w:val="14"/>
        <w:numPr>
          <w:ilvl w:val="0"/>
          <w:numId w:val="2"/>
        </w:numPr>
        <w:spacing w:before="40" w:after="60" w:line="360" w:lineRule="auto"/>
        <w:jc w:val="both"/>
      </w:pPr>
      <w:r>
        <w:rPr>
          <w:rFonts w:ascii="Arial" w:hAnsi="Arial" w:eastAsia="Arial" w:cs="Arial"/>
          <w:b w:val="0"/>
          <w:bCs w:val="0"/>
          <w:color w:val="595959"/>
          <w:sz w:val="22"/>
          <w:szCs w:val="22"/>
        </w:rPr>
        <w:t>Configuration of the ServiceNow Incident form to display related data attributes sourced from the assigned User record — specifically, the user's Department and the Manager's Email Address — using the platform's native dot-walking capability to traverse the table relationship.</w:t>
      </w:r>
    </w:p>
    <w:p w14:paraId="26C125A4">
      <w:pPr>
        <w:spacing w:before="60" w:after="0"/>
      </w:pPr>
    </w:p>
    <w:p w14:paraId="441DB7D4">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3.2  Out-of-Scope</w:t>
      </w:r>
    </w:p>
    <w:p w14:paraId="5EBB5FD1"/>
    <w:p w14:paraId="40F31B6E">
      <w:pPr>
        <w:pStyle w:val="14"/>
        <w:numPr>
          <w:ilvl w:val="0"/>
          <w:numId w:val="2"/>
        </w:numPr>
        <w:spacing w:before="40" w:after="60" w:line="360" w:lineRule="auto"/>
        <w:jc w:val="both"/>
      </w:pPr>
      <w:r>
        <w:rPr>
          <w:rFonts w:ascii="Arial" w:hAnsi="Arial" w:eastAsia="Arial" w:cs="Arial"/>
          <w:b w:val="0"/>
          <w:bCs w:val="0"/>
          <w:color w:val="595959"/>
          <w:sz w:val="22"/>
          <w:szCs w:val="22"/>
        </w:rPr>
        <w:t>Automated or scheduled import processes; this phase addresses a manually triggered import mechanism only.</w:t>
      </w:r>
    </w:p>
    <w:p w14:paraId="019D7EDF">
      <w:pPr>
        <w:pStyle w:val="14"/>
        <w:numPr>
          <w:ilvl w:val="0"/>
          <w:numId w:val="2"/>
        </w:numPr>
        <w:spacing w:before="40" w:after="60" w:line="360" w:lineRule="auto"/>
        <w:jc w:val="both"/>
      </w:pPr>
      <w:r>
        <w:rPr>
          <w:rFonts w:ascii="Arial" w:hAnsi="Arial" w:eastAsia="Arial" w:cs="Arial"/>
          <w:b w:val="0"/>
          <w:bCs w:val="0"/>
          <w:color w:val="595959"/>
          <w:sz w:val="22"/>
          <w:szCs w:val="22"/>
        </w:rPr>
        <w:t>Custom scripting, business rules, or workflow automation beyond the native Import Set and Transform Map configuration.</w:t>
      </w:r>
    </w:p>
    <w:p w14:paraId="76274C8B">
      <w:pPr>
        <w:pStyle w:val="14"/>
        <w:numPr>
          <w:ilvl w:val="0"/>
          <w:numId w:val="2"/>
        </w:numPr>
        <w:spacing w:before="40" w:after="60" w:line="360" w:lineRule="auto"/>
        <w:jc w:val="both"/>
      </w:pPr>
      <w:r>
        <w:rPr>
          <w:rFonts w:ascii="Arial" w:hAnsi="Arial" w:eastAsia="Arial" w:cs="Arial"/>
          <w:b w:val="0"/>
          <w:bCs w:val="0"/>
          <w:color w:val="595959"/>
          <w:sz w:val="22"/>
          <w:szCs w:val="22"/>
        </w:rPr>
        <w:t>Error-handling routines, data validation logic, or exception management beyond the standard field mapping behaviour provided by the ServiceNow platform.</w:t>
      </w:r>
    </w:p>
    <w:p w14:paraId="42E7C60B">
      <w:pPr>
        <w:pStyle w:val="14"/>
        <w:numPr>
          <w:ilvl w:val="0"/>
          <w:numId w:val="2"/>
        </w:numPr>
        <w:spacing w:before="40" w:after="60" w:line="360" w:lineRule="auto"/>
        <w:jc w:val="both"/>
      </w:pPr>
      <w:r>
        <w:rPr>
          <w:rFonts w:ascii="Arial" w:hAnsi="Arial" w:eastAsia="Arial" w:cs="Arial"/>
          <w:b w:val="0"/>
          <w:bCs w:val="0"/>
          <w:color w:val="595959"/>
          <w:sz w:val="22"/>
          <w:szCs w:val="22"/>
        </w:rPr>
        <w:t>Role-based access controls, security configurations, or data governance policies related to the imported records.</w:t>
      </w:r>
    </w:p>
    <w:p w14:paraId="33CE39F6">
      <w:pPr>
        <w:pStyle w:val="14"/>
        <w:numPr>
          <w:ilvl w:val="0"/>
          <w:numId w:val="2"/>
        </w:numPr>
        <w:spacing w:before="40" w:after="60" w:line="360" w:lineRule="auto"/>
        <w:jc w:val="both"/>
      </w:pPr>
      <w:r>
        <w:rPr>
          <w:rFonts w:ascii="Arial" w:hAnsi="Arial" w:eastAsia="Arial" w:cs="Arial"/>
          <w:b w:val="0"/>
          <w:bCs w:val="0"/>
          <w:color w:val="595959"/>
          <w:sz w:val="22"/>
          <w:szCs w:val="22"/>
        </w:rPr>
        <w:t>Integration with live external systems via API, middleware, or any real-time data feed; the data source for this phase is a static CSV/Excel file.</w:t>
      </w:r>
    </w:p>
    <w:p w14:paraId="3BF21810">
      <w:pPr>
        <w:pStyle w:val="14"/>
        <w:numPr>
          <w:ilvl w:val="0"/>
          <w:numId w:val="2"/>
        </w:numPr>
        <w:spacing w:before="40" w:after="60" w:line="360" w:lineRule="auto"/>
        <w:jc w:val="both"/>
      </w:pPr>
      <w:r>
        <w:rPr>
          <w:rFonts w:ascii="Arial" w:hAnsi="Arial" w:eastAsia="Arial" w:cs="Arial"/>
          <w:b w:val="0"/>
          <w:bCs w:val="0"/>
          <w:color w:val="595959"/>
          <w:sz w:val="22"/>
          <w:szCs w:val="22"/>
        </w:rPr>
        <w:t>Modification of any ServiceNow tables other than the Import Set staging table, the User table [sys_user], and the Incident table [incident] as explicitly defined in this document.</w:t>
      </w:r>
    </w:p>
    <w:p w14:paraId="677E85A1">
      <w:pPr>
        <w:spacing w:before="80" w:after="0" w:line="360" w:lineRule="auto"/>
        <w:jc w:val="both"/>
      </w:pPr>
    </w:p>
    <w:p w14:paraId="7041CFFE">
      <w:pPr>
        <w:pBdr>
          <w:bottom w:val="single" w:color="D0D8E8" w:sz="6" w:space="1"/>
        </w:pBdr>
        <w:spacing w:before="120" w:after="120"/>
      </w:pPr>
    </w:p>
    <w:p w14:paraId="490C8B3B">
      <w:pPr>
        <w:pStyle w:val="2"/>
        <w:numPr>
          <w:numId w:val="0"/>
        </w:numPr>
        <w:pBdr>
          <w:left w:val="single" w:color="2E75B6" w:sz="28" w:space="8"/>
        </w:pBdr>
        <w:spacing w:before="320" w:after="120"/>
        <w:ind w:leftChars="0"/>
        <w:rPr>
          <w:rFonts w:ascii="Arial" w:hAnsi="Arial" w:eastAsia="Arial" w:cs="Arial"/>
          <w:b/>
          <w:bCs/>
          <w:caps w:val="0"/>
          <w:color w:val="1F3864"/>
          <w:sz w:val="28"/>
          <w:szCs w:val="28"/>
        </w:rPr>
      </w:pPr>
      <w:r>
        <w:rPr>
          <w:rFonts w:hint="default" w:cs="Arial"/>
          <w:b/>
          <w:bCs/>
          <w:caps w:val="0"/>
          <w:color w:val="1F3864"/>
          <w:sz w:val="28"/>
          <w:szCs w:val="28"/>
          <w:lang w:val="en-US"/>
        </w:rPr>
        <w:t xml:space="preserve">4. </w:t>
      </w:r>
      <w:bookmarkStart w:id="0" w:name="_GoBack"/>
      <w:bookmarkEnd w:id="0"/>
      <w:r>
        <w:rPr>
          <w:rFonts w:ascii="Arial" w:hAnsi="Arial" w:eastAsia="Arial" w:cs="Arial"/>
          <w:b/>
          <w:bCs/>
          <w:caps w:val="0"/>
          <w:color w:val="1F3864"/>
          <w:sz w:val="28"/>
          <w:szCs w:val="28"/>
        </w:rPr>
        <w:t>STAKEHOLDER IDENTIFICATION</w:t>
      </w:r>
    </w:p>
    <w:p w14:paraId="31EBF0D2">
      <w:pPr>
        <w:numPr>
          <w:numId w:val="0"/>
        </w:numPr>
        <w:ind w:leftChars="0"/>
      </w:pPr>
    </w:p>
    <w:p w14:paraId="46B7A5CC">
      <w:pPr>
        <w:spacing w:before="60" w:after="100" w:line="360" w:lineRule="auto"/>
        <w:jc w:val="both"/>
        <w:rPr>
          <w:rFonts w:ascii="Arial" w:hAnsi="Arial" w:eastAsia="Arial" w:cs="Arial"/>
          <w:color w:val="595959"/>
          <w:sz w:val="22"/>
          <w:szCs w:val="22"/>
        </w:rPr>
      </w:pPr>
      <w:r>
        <w:rPr>
          <w:rFonts w:ascii="Arial" w:hAnsi="Arial" w:eastAsia="Arial" w:cs="Arial"/>
          <w:color w:val="595959"/>
          <w:sz w:val="22"/>
          <w:szCs w:val="22"/>
        </w:rPr>
        <w:t>The following stakeholders have been identified as having a material interest in the outcome of this project, either as sponsors, contributors, or direct beneficiaries of the delivered capability.</w:t>
      </w:r>
    </w:p>
    <w:p w14:paraId="52C4AD11">
      <w:pPr>
        <w:spacing w:before="60" w:after="100" w:line="360" w:lineRule="auto"/>
        <w:jc w:val="both"/>
        <w:rPr>
          <w:rFonts w:ascii="Arial" w:hAnsi="Arial" w:eastAsia="Arial" w:cs="Arial"/>
          <w:color w:val="595959"/>
          <w:sz w:val="22"/>
          <w:szCs w:val="22"/>
        </w:rPr>
      </w:pPr>
    </w:p>
    <w:p w14:paraId="127213CC">
      <w:pPr>
        <w:spacing w:before="80" w:after="0"/>
      </w:pPr>
    </w:p>
    <w:tbl>
      <w:tblPr>
        <w:tblStyle w:val="9"/>
        <w:tblW w:w="104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53"/>
        <w:gridCol w:w="3346"/>
        <w:gridCol w:w="4640"/>
      </w:tblGrid>
      <w:tr w14:paraId="511F5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3" w:hRule="atLeast"/>
          <w:tblHeader/>
        </w:trPr>
        <w:tc>
          <w:tcPr>
            <w:tcW w:w="2453" w:type="dxa"/>
            <w:tcBorders>
              <w:top w:val="nil"/>
              <w:left w:val="nil"/>
              <w:bottom w:val="nil"/>
              <w:right w:val="single" w:color="FFFFFF" w:sz="4" w:space="0"/>
            </w:tcBorders>
            <w:shd w:val="clear" w:color="auto" w:fill="1F3864"/>
            <w:tcMar>
              <w:top w:w="80" w:type="dxa"/>
              <w:left w:w="120" w:type="dxa"/>
              <w:bottom w:w="80" w:type="dxa"/>
              <w:right w:w="120" w:type="dxa"/>
            </w:tcMar>
          </w:tcPr>
          <w:p w14:paraId="2BE90609">
            <w:r>
              <w:rPr>
                <w:rFonts w:ascii="Arial" w:hAnsi="Arial" w:eastAsia="Arial" w:cs="Arial"/>
                <w:b/>
                <w:bCs/>
                <w:color w:val="FFFFFF"/>
                <w:sz w:val="20"/>
                <w:szCs w:val="20"/>
              </w:rPr>
              <w:t>Stakeholder Group</w:t>
            </w:r>
          </w:p>
        </w:tc>
        <w:tc>
          <w:tcPr>
            <w:tcW w:w="3346" w:type="dxa"/>
            <w:tcBorders>
              <w:top w:val="nil"/>
              <w:left w:val="nil"/>
              <w:bottom w:val="nil"/>
              <w:right w:val="single" w:color="FFFFFF" w:sz="4" w:space="0"/>
            </w:tcBorders>
            <w:shd w:val="clear" w:color="auto" w:fill="1F3864"/>
            <w:tcMar>
              <w:top w:w="80" w:type="dxa"/>
              <w:left w:w="120" w:type="dxa"/>
              <w:bottom w:w="80" w:type="dxa"/>
              <w:right w:w="120" w:type="dxa"/>
            </w:tcMar>
          </w:tcPr>
          <w:p w14:paraId="3B3BEAE0">
            <w:r>
              <w:rPr>
                <w:rFonts w:ascii="Arial" w:hAnsi="Arial" w:eastAsia="Arial" w:cs="Arial"/>
                <w:b/>
                <w:bCs/>
                <w:color w:val="FFFFFF"/>
                <w:sz w:val="20"/>
                <w:szCs w:val="20"/>
              </w:rPr>
              <w:t>Role in Project</w:t>
            </w:r>
          </w:p>
        </w:tc>
        <w:tc>
          <w:tcPr>
            <w:tcW w:w="4640" w:type="dxa"/>
            <w:tcBorders>
              <w:top w:val="nil"/>
              <w:left w:val="nil"/>
              <w:bottom w:val="nil"/>
              <w:right w:val="single" w:color="FFFFFF" w:sz="4" w:space="0"/>
            </w:tcBorders>
            <w:shd w:val="clear" w:color="auto" w:fill="1F3864"/>
            <w:tcMar>
              <w:top w:w="80" w:type="dxa"/>
              <w:left w:w="120" w:type="dxa"/>
              <w:bottom w:w="80" w:type="dxa"/>
              <w:right w:w="120" w:type="dxa"/>
            </w:tcMar>
          </w:tcPr>
          <w:p w14:paraId="73F26396">
            <w:r>
              <w:rPr>
                <w:rFonts w:ascii="Arial" w:hAnsi="Arial" w:eastAsia="Arial" w:cs="Arial"/>
                <w:b/>
                <w:bCs/>
                <w:color w:val="FFFFFF"/>
                <w:sz w:val="20"/>
                <w:szCs w:val="20"/>
              </w:rPr>
              <w:t>Primary Interest</w:t>
            </w:r>
          </w:p>
        </w:tc>
      </w:tr>
      <w:tr w14:paraId="659D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atLeast"/>
        </w:trPr>
        <w:tc>
          <w:tcPr>
            <w:tcW w:w="2453" w:type="dxa"/>
            <w:tcBorders>
              <w:top w:val="single" w:color="E0E7F3" w:sz="4" w:space="0"/>
              <w:left w:val="single" w:color="E0E7F3" w:sz="4" w:space="0"/>
              <w:bottom w:val="single" w:color="E0E7F3" w:sz="4" w:space="0"/>
              <w:right w:val="single" w:color="E0E7F3" w:sz="4" w:space="0"/>
            </w:tcBorders>
            <w:shd w:val="clear" w:color="auto" w:fill="F7F9FD"/>
            <w:tcMar>
              <w:top w:w="80" w:type="dxa"/>
              <w:left w:w="120" w:type="dxa"/>
              <w:bottom w:w="80" w:type="dxa"/>
              <w:right w:w="120" w:type="dxa"/>
            </w:tcMar>
          </w:tcPr>
          <w:p w14:paraId="07A6B8C8">
            <w:pPr>
              <w:spacing w:line="360" w:lineRule="auto"/>
            </w:pPr>
            <w:r>
              <w:rPr>
                <w:rFonts w:ascii="Arial" w:hAnsi="Arial" w:eastAsia="Arial" w:cs="Arial"/>
                <w:color w:val="595959"/>
                <w:sz w:val="20"/>
                <w:szCs w:val="20"/>
              </w:rPr>
              <w:t>IT Operations</w:t>
            </w:r>
          </w:p>
        </w:tc>
        <w:tc>
          <w:tcPr>
            <w:tcW w:w="3346" w:type="dxa"/>
            <w:tcBorders>
              <w:top w:val="single" w:color="E0E7F3" w:sz="4" w:space="0"/>
              <w:left w:val="single" w:color="E0E7F3" w:sz="4" w:space="0"/>
              <w:bottom w:val="single" w:color="E0E7F3" w:sz="4" w:space="0"/>
              <w:right w:val="single" w:color="E0E7F3" w:sz="4" w:space="0"/>
            </w:tcBorders>
            <w:shd w:val="clear" w:color="auto" w:fill="F7F9FD"/>
            <w:tcMar>
              <w:top w:w="80" w:type="dxa"/>
              <w:left w:w="120" w:type="dxa"/>
              <w:bottom w:w="80" w:type="dxa"/>
              <w:right w:w="120" w:type="dxa"/>
            </w:tcMar>
          </w:tcPr>
          <w:p w14:paraId="7E059804">
            <w:pPr>
              <w:spacing w:line="360" w:lineRule="auto"/>
            </w:pPr>
            <w:r>
              <w:rPr>
                <w:rFonts w:ascii="Arial" w:hAnsi="Arial" w:eastAsia="Arial" w:cs="Arial"/>
                <w:color w:val="595959"/>
                <w:sz w:val="20"/>
                <w:szCs w:val="20"/>
              </w:rPr>
              <w:t>Technical Lead &amp; Implementer</w:t>
            </w:r>
          </w:p>
        </w:tc>
        <w:tc>
          <w:tcPr>
            <w:tcW w:w="4640" w:type="dxa"/>
            <w:tcBorders>
              <w:top w:val="single" w:color="E0E7F3" w:sz="4" w:space="0"/>
              <w:left w:val="single" w:color="E0E7F3" w:sz="4" w:space="0"/>
              <w:bottom w:val="single" w:color="E0E7F3" w:sz="4" w:space="0"/>
              <w:right w:val="single" w:color="E0E7F3" w:sz="4" w:space="0"/>
            </w:tcBorders>
            <w:shd w:val="clear" w:color="auto" w:fill="F7F9FD"/>
            <w:tcMar>
              <w:top w:w="80" w:type="dxa"/>
              <w:left w:w="120" w:type="dxa"/>
              <w:bottom w:w="80" w:type="dxa"/>
              <w:right w:w="120" w:type="dxa"/>
            </w:tcMar>
          </w:tcPr>
          <w:p w14:paraId="05E5DAA6">
            <w:pPr>
              <w:spacing w:line="360" w:lineRule="auto"/>
            </w:pPr>
            <w:r>
              <w:rPr>
                <w:rFonts w:ascii="Arial" w:hAnsi="Arial" w:eastAsia="Arial" w:cs="Arial"/>
                <w:color w:val="595959"/>
                <w:sz w:val="20"/>
                <w:szCs w:val="20"/>
              </w:rPr>
              <w:t>Accurate, automated user provisioning with reduced manual data entry overhead.</w:t>
            </w:r>
          </w:p>
        </w:tc>
      </w:tr>
      <w:tr w14:paraId="7F3CE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41" w:hRule="atLeast"/>
        </w:trPr>
        <w:tc>
          <w:tcPr>
            <w:tcW w:w="2453" w:type="dxa"/>
            <w:tcBorders>
              <w:top w:val="single" w:color="E0E7F3" w:sz="4" w:space="0"/>
              <w:left w:val="single" w:color="E0E7F3" w:sz="4" w:space="0"/>
              <w:bottom w:val="single" w:color="E0E7F3" w:sz="4" w:space="0"/>
              <w:right w:val="single" w:color="E0E7F3" w:sz="4" w:space="0"/>
            </w:tcBorders>
            <w:shd w:val="clear" w:color="auto" w:fill="FFFFFF"/>
            <w:tcMar>
              <w:top w:w="80" w:type="dxa"/>
              <w:left w:w="120" w:type="dxa"/>
              <w:bottom w:w="80" w:type="dxa"/>
              <w:right w:w="120" w:type="dxa"/>
            </w:tcMar>
          </w:tcPr>
          <w:p w14:paraId="3C5F3C9E">
            <w:pPr>
              <w:spacing w:line="360" w:lineRule="auto"/>
            </w:pPr>
            <w:r>
              <w:rPr>
                <w:rFonts w:ascii="Arial" w:hAnsi="Arial" w:eastAsia="Arial" w:cs="Arial"/>
                <w:color w:val="595959"/>
                <w:sz w:val="20"/>
                <w:szCs w:val="20"/>
              </w:rPr>
              <w:t>Human Resources (HR)</w:t>
            </w:r>
          </w:p>
        </w:tc>
        <w:tc>
          <w:tcPr>
            <w:tcW w:w="3346" w:type="dxa"/>
            <w:tcBorders>
              <w:top w:val="single" w:color="E0E7F3" w:sz="4" w:space="0"/>
              <w:left w:val="single" w:color="E0E7F3" w:sz="4" w:space="0"/>
              <w:bottom w:val="single" w:color="E0E7F3" w:sz="4" w:space="0"/>
              <w:right w:val="single" w:color="E0E7F3" w:sz="4" w:space="0"/>
            </w:tcBorders>
            <w:shd w:val="clear" w:color="auto" w:fill="FFFFFF"/>
            <w:tcMar>
              <w:top w:w="80" w:type="dxa"/>
              <w:left w:w="120" w:type="dxa"/>
              <w:bottom w:w="80" w:type="dxa"/>
              <w:right w:w="120" w:type="dxa"/>
            </w:tcMar>
          </w:tcPr>
          <w:p w14:paraId="07CDA347">
            <w:pPr>
              <w:spacing w:line="360" w:lineRule="auto"/>
            </w:pPr>
            <w:r>
              <w:rPr>
                <w:rFonts w:ascii="Arial" w:hAnsi="Arial" w:eastAsia="Arial" w:cs="Arial"/>
                <w:color w:val="595959"/>
                <w:sz w:val="20"/>
                <w:szCs w:val="20"/>
              </w:rPr>
              <w:t>Data Owner &amp; Requirements Provider</w:t>
            </w:r>
          </w:p>
        </w:tc>
        <w:tc>
          <w:tcPr>
            <w:tcW w:w="4640" w:type="dxa"/>
            <w:tcBorders>
              <w:top w:val="single" w:color="E0E7F3" w:sz="4" w:space="0"/>
              <w:left w:val="single" w:color="E0E7F3" w:sz="4" w:space="0"/>
              <w:bottom w:val="single" w:color="E0E7F3" w:sz="4" w:space="0"/>
              <w:right w:val="single" w:color="E0E7F3" w:sz="4" w:space="0"/>
            </w:tcBorders>
            <w:shd w:val="clear" w:color="auto" w:fill="FFFFFF"/>
            <w:tcMar>
              <w:top w:w="80" w:type="dxa"/>
              <w:left w:w="120" w:type="dxa"/>
              <w:bottom w:w="80" w:type="dxa"/>
              <w:right w:w="120" w:type="dxa"/>
            </w:tcMar>
          </w:tcPr>
          <w:p w14:paraId="703042E0">
            <w:pPr>
              <w:spacing w:line="360" w:lineRule="auto"/>
            </w:pPr>
            <w:r>
              <w:rPr>
                <w:rFonts w:ascii="Arial" w:hAnsi="Arial" w:eastAsia="Arial" w:cs="Arial"/>
                <w:color w:val="595959"/>
                <w:sz w:val="20"/>
                <w:szCs w:val="20"/>
              </w:rPr>
              <w:t>Timely and consistent reflection of new employee records in organisational systems.</w:t>
            </w:r>
          </w:p>
        </w:tc>
      </w:tr>
      <w:tr w14:paraId="38273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25" w:hRule="atLeast"/>
        </w:trPr>
        <w:tc>
          <w:tcPr>
            <w:tcW w:w="2453" w:type="dxa"/>
            <w:tcBorders>
              <w:top w:val="single" w:color="E0E7F3" w:sz="4" w:space="0"/>
              <w:left w:val="single" w:color="E0E7F3" w:sz="4" w:space="0"/>
              <w:bottom w:val="single" w:color="E0E7F3" w:sz="4" w:space="0"/>
              <w:right w:val="single" w:color="E0E7F3" w:sz="4" w:space="0"/>
            </w:tcBorders>
            <w:shd w:val="clear" w:color="auto" w:fill="F7F9FD"/>
            <w:tcMar>
              <w:top w:w="80" w:type="dxa"/>
              <w:left w:w="120" w:type="dxa"/>
              <w:bottom w:w="80" w:type="dxa"/>
              <w:right w:w="120" w:type="dxa"/>
            </w:tcMar>
          </w:tcPr>
          <w:p w14:paraId="2EFB3541">
            <w:pPr>
              <w:spacing w:line="360" w:lineRule="auto"/>
            </w:pPr>
            <w:r>
              <w:rPr>
                <w:rFonts w:ascii="Arial" w:hAnsi="Arial" w:eastAsia="Arial" w:cs="Arial"/>
                <w:color w:val="595959"/>
                <w:sz w:val="20"/>
                <w:szCs w:val="20"/>
              </w:rPr>
              <w:t>Service Desk Management</w:t>
            </w:r>
          </w:p>
        </w:tc>
        <w:tc>
          <w:tcPr>
            <w:tcW w:w="3346" w:type="dxa"/>
            <w:tcBorders>
              <w:top w:val="single" w:color="E0E7F3" w:sz="4" w:space="0"/>
              <w:left w:val="single" w:color="E0E7F3" w:sz="4" w:space="0"/>
              <w:bottom w:val="single" w:color="E0E7F3" w:sz="4" w:space="0"/>
              <w:right w:val="single" w:color="E0E7F3" w:sz="4" w:space="0"/>
            </w:tcBorders>
            <w:shd w:val="clear" w:color="auto" w:fill="F7F9FD"/>
            <w:tcMar>
              <w:top w:w="80" w:type="dxa"/>
              <w:left w:w="120" w:type="dxa"/>
              <w:bottom w:w="80" w:type="dxa"/>
              <w:right w:w="120" w:type="dxa"/>
            </w:tcMar>
          </w:tcPr>
          <w:p w14:paraId="25CCEF39">
            <w:pPr>
              <w:spacing w:line="360" w:lineRule="auto"/>
            </w:pPr>
            <w:r>
              <w:rPr>
                <w:rFonts w:ascii="Arial" w:hAnsi="Arial" w:eastAsia="Arial" w:cs="Arial"/>
                <w:color w:val="595959"/>
                <w:sz w:val="20"/>
                <w:szCs w:val="20"/>
              </w:rPr>
              <w:t>Primary End-User Beneficiary</w:t>
            </w:r>
          </w:p>
        </w:tc>
        <w:tc>
          <w:tcPr>
            <w:tcW w:w="4640" w:type="dxa"/>
            <w:tcBorders>
              <w:top w:val="single" w:color="E0E7F3" w:sz="4" w:space="0"/>
              <w:left w:val="single" w:color="E0E7F3" w:sz="4" w:space="0"/>
              <w:bottom w:val="single" w:color="E0E7F3" w:sz="4" w:space="0"/>
              <w:right w:val="single" w:color="E0E7F3" w:sz="4" w:space="0"/>
            </w:tcBorders>
            <w:shd w:val="clear" w:color="auto" w:fill="F7F9FD"/>
            <w:tcMar>
              <w:top w:w="80" w:type="dxa"/>
              <w:left w:w="120" w:type="dxa"/>
              <w:bottom w:w="80" w:type="dxa"/>
              <w:right w:w="120" w:type="dxa"/>
            </w:tcMar>
          </w:tcPr>
          <w:p w14:paraId="6E3AC8A0">
            <w:pPr>
              <w:spacing w:line="360" w:lineRule="auto"/>
            </w:pPr>
            <w:r>
              <w:rPr>
                <w:rFonts w:ascii="Arial" w:hAnsi="Arial" w:eastAsia="Arial" w:cs="Arial"/>
                <w:color w:val="595959"/>
                <w:sz w:val="20"/>
                <w:szCs w:val="20"/>
              </w:rPr>
              <w:t>Enhanced visibility of user-related information (department, manager) within Incident records to support efficient triage and escalation.</w:t>
            </w:r>
          </w:p>
        </w:tc>
      </w:tr>
      <w:tr w14:paraId="662C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41" w:hRule="atLeast"/>
        </w:trPr>
        <w:tc>
          <w:tcPr>
            <w:tcW w:w="2453" w:type="dxa"/>
            <w:tcBorders>
              <w:top w:val="single" w:color="E0E7F3" w:sz="4" w:space="0"/>
              <w:left w:val="single" w:color="E0E7F3" w:sz="4" w:space="0"/>
              <w:bottom w:val="single" w:color="E0E7F3" w:sz="4" w:space="0"/>
              <w:right w:val="single" w:color="E0E7F3" w:sz="4" w:space="0"/>
            </w:tcBorders>
            <w:shd w:val="clear" w:color="auto" w:fill="FFFFFF"/>
            <w:tcMar>
              <w:top w:w="80" w:type="dxa"/>
              <w:left w:w="120" w:type="dxa"/>
              <w:bottom w:w="80" w:type="dxa"/>
              <w:right w:w="120" w:type="dxa"/>
            </w:tcMar>
          </w:tcPr>
          <w:p w14:paraId="1C4FABFE">
            <w:pPr>
              <w:spacing w:line="360" w:lineRule="auto"/>
            </w:pPr>
            <w:r>
              <w:rPr>
                <w:rFonts w:ascii="Arial" w:hAnsi="Arial" w:eastAsia="Arial" w:cs="Arial"/>
                <w:color w:val="595959"/>
                <w:sz w:val="20"/>
                <w:szCs w:val="20"/>
              </w:rPr>
              <w:t>ServiceNow Platform Administrator</w:t>
            </w:r>
          </w:p>
        </w:tc>
        <w:tc>
          <w:tcPr>
            <w:tcW w:w="3346" w:type="dxa"/>
            <w:tcBorders>
              <w:top w:val="single" w:color="E0E7F3" w:sz="4" w:space="0"/>
              <w:left w:val="single" w:color="E0E7F3" w:sz="4" w:space="0"/>
              <w:bottom w:val="single" w:color="E0E7F3" w:sz="4" w:space="0"/>
              <w:right w:val="single" w:color="E0E7F3" w:sz="4" w:space="0"/>
            </w:tcBorders>
            <w:shd w:val="clear" w:color="auto" w:fill="FFFFFF"/>
            <w:tcMar>
              <w:top w:w="80" w:type="dxa"/>
              <w:left w:w="120" w:type="dxa"/>
              <w:bottom w:w="80" w:type="dxa"/>
              <w:right w:w="120" w:type="dxa"/>
            </w:tcMar>
          </w:tcPr>
          <w:p w14:paraId="4C17C96C">
            <w:pPr>
              <w:spacing w:line="360" w:lineRule="auto"/>
            </w:pPr>
            <w:r>
              <w:rPr>
                <w:rFonts w:ascii="Arial" w:hAnsi="Arial" w:eastAsia="Arial" w:cs="Arial"/>
                <w:color w:val="595959"/>
                <w:sz w:val="20"/>
                <w:szCs w:val="20"/>
              </w:rPr>
              <w:t>Configuration Owner</w:t>
            </w:r>
          </w:p>
        </w:tc>
        <w:tc>
          <w:tcPr>
            <w:tcW w:w="4640" w:type="dxa"/>
            <w:tcBorders>
              <w:top w:val="single" w:color="E0E7F3" w:sz="4" w:space="0"/>
              <w:left w:val="single" w:color="E0E7F3" w:sz="4" w:space="0"/>
              <w:bottom w:val="single" w:color="E0E7F3" w:sz="4" w:space="0"/>
              <w:right w:val="single" w:color="E0E7F3" w:sz="4" w:space="0"/>
            </w:tcBorders>
            <w:shd w:val="clear" w:color="auto" w:fill="FFFFFF"/>
            <w:tcMar>
              <w:top w:w="80" w:type="dxa"/>
              <w:left w:w="120" w:type="dxa"/>
              <w:bottom w:w="80" w:type="dxa"/>
              <w:right w:w="120" w:type="dxa"/>
            </w:tcMar>
          </w:tcPr>
          <w:p w14:paraId="0AD5D44D">
            <w:pPr>
              <w:spacing w:line="360" w:lineRule="auto"/>
            </w:pPr>
            <w:r>
              <w:rPr>
                <w:rFonts w:ascii="Arial" w:hAnsi="Arial" w:eastAsia="Arial" w:cs="Arial"/>
                <w:color w:val="595959"/>
                <w:sz w:val="20"/>
                <w:szCs w:val="20"/>
              </w:rPr>
              <w:t>Platform integrity, correct use of native Import Set and Transform Map functionality, and maintainability of the solution.</w:t>
            </w:r>
          </w:p>
        </w:tc>
      </w:tr>
      <w:tr w14:paraId="3936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52" w:hRule="atLeast"/>
        </w:trPr>
        <w:tc>
          <w:tcPr>
            <w:tcW w:w="2453" w:type="dxa"/>
            <w:tcBorders>
              <w:top w:val="single" w:color="E0E7F3" w:sz="4" w:space="0"/>
              <w:left w:val="single" w:color="E0E7F3" w:sz="4" w:space="0"/>
              <w:bottom w:val="single" w:color="E0E7F3" w:sz="4" w:space="0"/>
              <w:right w:val="single" w:color="E0E7F3" w:sz="4" w:space="0"/>
            </w:tcBorders>
            <w:shd w:val="clear" w:color="auto" w:fill="F7F9FD"/>
            <w:tcMar>
              <w:top w:w="80" w:type="dxa"/>
              <w:left w:w="120" w:type="dxa"/>
              <w:bottom w:w="80" w:type="dxa"/>
              <w:right w:w="120" w:type="dxa"/>
            </w:tcMar>
          </w:tcPr>
          <w:p w14:paraId="518121AF">
            <w:pPr>
              <w:spacing w:line="360" w:lineRule="auto"/>
            </w:pPr>
            <w:r>
              <w:rPr>
                <w:rFonts w:ascii="Arial" w:hAnsi="Arial" w:eastAsia="Arial" w:cs="Arial"/>
                <w:color w:val="595959"/>
                <w:sz w:val="20"/>
                <w:szCs w:val="20"/>
              </w:rPr>
              <w:t>Project Sponsor / Business Owner</w:t>
            </w:r>
          </w:p>
        </w:tc>
        <w:tc>
          <w:tcPr>
            <w:tcW w:w="3346" w:type="dxa"/>
            <w:tcBorders>
              <w:top w:val="single" w:color="E0E7F3" w:sz="4" w:space="0"/>
              <w:left w:val="single" w:color="E0E7F3" w:sz="4" w:space="0"/>
              <w:bottom w:val="single" w:color="E0E7F3" w:sz="4" w:space="0"/>
              <w:right w:val="single" w:color="E0E7F3" w:sz="4" w:space="0"/>
            </w:tcBorders>
            <w:shd w:val="clear" w:color="auto" w:fill="F7F9FD"/>
            <w:tcMar>
              <w:top w:w="80" w:type="dxa"/>
              <w:left w:w="120" w:type="dxa"/>
              <w:bottom w:w="80" w:type="dxa"/>
              <w:right w:w="120" w:type="dxa"/>
            </w:tcMar>
          </w:tcPr>
          <w:p w14:paraId="41E79049">
            <w:pPr>
              <w:spacing w:line="360" w:lineRule="auto"/>
            </w:pPr>
            <w:r>
              <w:rPr>
                <w:rFonts w:ascii="Arial" w:hAnsi="Arial" w:eastAsia="Arial" w:cs="Arial"/>
                <w:color w:val="595959"/>
                <w:sz w:val="20"/>
                <w:szCs w:val="20"/>
              </w:rPr>
              <w:t>Approver &amp; Decision Maker</w:t>
            </w:r>
          </w:p>
        </w:tc>
        <w:tc>
          <w:tcPr>
            <w:tcW w:w="4640" w:type="dxa"/>
            <w:tcBorders>
              <w:top w:val="single" w:color="E0E7F3" w:sz="4" w:space="0"/>
              <w:left w:val="single" w:color="E0E7F3" w:sz="4" w:space="0"/>
              <w:bottom w:val="single" w:color="E0E7F3" w:sz="4" w:space="0"/>
              <w:right w:val="single" w:color="E0E7F3" w:sz="4" w:space="0"/>
            </w:tcBorders>
            <w:shd w:val="clear" w:color="auto" w:fill="F7F9FD"/>
            <w:tcMar>
              <w:top w:w="80" w:type="dxa"/>
              <w:left w:w="120" w:type="dxa"/>
              <w:bottom w:w="80" w:type="dxa"/>
              <w:right w:w="120" w:type="dxa"/>
            </w:tcMar>
          </w:tcPr>
          <w:p w14:paraId="03E40C27">
            <w:pPr>
              <w:spacing w:line="360" w:lineRule="auto"/>
            </w:pPr>
            <w:r>
              <w:rPr>
                <w:rFonts w:ascii="Arial" w:hAnsi="Arial" w:eastAsia="Arial" w:cs="Arial"/>
                <w:color w:val="595959"/>
                <w:sz w:val="20"/>
                <w:szCs w:val="20"/>
              </w:rPr>
              <w:t>Delivery of a repeatable, scalable mechanism that addresses the stated business need within scope.</w:t>
            </w:r>
          </w:p>
        </w:tc>
      </w:tr>
    </w:tbl>
    <w:p w14:paraId="260FF345">
      <w:pPr>
        <w:spacing w:before="80" w:after="0"/>
      </w:pPr>
    </w:p>
    <w:p w14:paraId="49C57F2C">
      <w:pPr>
        <w:pBdr>
          <w:bottom w:val="single" w:color="D0D8E8" w:sz="6" w:space="1"/>
        </w:pBdr>
        <w:spacing w:before="120" w:after="120"/>
      </w:pPr>
    </w:p>
    <w:p w14:paraId="1902EC55">
      <w:pPr>
        <w:pBdr>
          <w:bottom w:val="single" w:color="D0D8E8" w:sz="6" w:space="1"/>
        </w:pBdr>
        <w:spacing w:before="120" w:after="120"/>
      </w:pPr>
    </w:p>
    <w:p w14:paraId="4E293517">
      <w:pPr>
        <w:pBdr>
          <w:bottom w:val="single" w:color="D0D8E8" w:sz="6" w:space="1"/>
        </w:pBdr>
        <w:spacing w:before="120" w:after="120"/>
      </w:pPr>
    </w:p>
    <w:p w14:paraId="21350681">
      <w:pPr>
        <w:pBdr>
          <w:bottom w:val="single" w:color="D0D8E8" w:sz="6" w:space="1"/>
        </w:pBdr>
        <w:spacing w:before="120" w:after="120"/>
      </w:pPr>
    </w:p>
    <w:p w14:paraId="6E4023D3">
      <w:pPr>
        <w:pStyle w:val="2"/>
        <w:pBdr>
          <w:left w:val="single" w:color="2E75B6" w:sz="28" w:space="8"/>
        </w:pBdr>
        <w:spacing w:before="320" w:after="120"/>
        <w:rPr>
          <w:rFonts w:ascii="Arial" w:hAnsi="Arial" w:eastAsia="Arial" w:cs="Arial"/>
          <w:b/>
          <w:bCs/>
          <w:caps w:val="0"/>
          <w:color w:val="1F3864"/>
          <w:sz w:val="28"/>
          <w:szCs w:val="28"/>
        </w:rPr>
      </w:pPr>
      <w:r>
        <w:rPr>
          <w:rFonts w:ascii="Arial" w:hAnsi="Arial" w:eastAsia="Arial" w:cs="Arial"/>
          <w:b/>
          <w:bCs/>
          <w:caps w:val="0"/>
          <w:color w:val="1F3864"/>
          <w:sz w:val="28"/>
          <w:szCs w:val="28"/>
        </w:rPr>
        <w:t>5. HIGH-LEVEL REQUIREMENTS</w:t>
      </w:r>
    </w:p>
    <w:p w14:paraId="4F02ACDE"/>
    <w:p w14:paraId="73A6717C">
      <w:pPr>
        <w:spacing w:before="60" w:after="100" w:line="360" w:lineRule="auto"/>
        <w:jc w:val="both"/>
      </w:pPr>
      <w:r>
        <w:rPr>
          <w:rFonts w:ascii="Arial" w:hAnsi="Arial" w:eastAsia="Arial" w:cs="Arial"/>
          <w:color w:val="595959"/>
          <w:sz w:val="22"/>
          <w:szCs w:val="22"/>
        </w:rPr>
        <w:t>The following functional requirements have been derived from the stated business need and project objectives. These requirements represent the minimum capability that the delivered solution must fulfil. They are expressed at a sufficient level of abstraction to inform solution design without prescribing specific implementation approaches, which will be addressed in the subsequent Design Phase.</w:t>
      </w:r>
    </w:p>
    <w:p w14:paraId="2BA5BA13">
      <w:pPr>
        <w:spacing w:before="60" w:after="0"/>
      </w:pPr>
    </w:p>
    <w:p w14:paraId="7791F6F7">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5.1  Functional Requirements</w:t>
      </w:r>
    </w:p>
    <w:p w14:paraId="7C0B9A0C"/>
    <w:p w14:paraId="7402A14C">
      <w:pPr>
        <w:pStyle w:val="14"/>
        <w:numPr>
          <w:ilvl w:val="0"/>
          <w:numId w:val="2"/>
        </w:numPr>
        <w:spacing w:before="40" w:after="60" w:line="360" w:lineRule="auto"/>
        <w:jc w:val="both"/>
      </w:pPr>
      <w:r>
        <w:rPr>
          <w:rFonts w:ascii="Arial" w:hAnsi="Arial" w:eastAsia="Arial" w:cs="Arial"/>
          <w:b w:val="0"/>
          <w:bCs w:val="0"/>
          <w:color w:val="595959"/>
          <w:sz w:val="22"/>
          <w:szCs w:val="22"/>
        </w:rPr>
        <w:t>FR-01 — CSV File Upload: The system must provide a mechanism by which an authorised user can upload a CSV file containing new employee data into the ServiceNow platform for staged processing.</w:t>
      </w:r>
    </w:p>
    <w:p w14:paraId="217D515F">
      <w:pPr>
        <w:pStyle w:val="14"/>
        <w:numPr>
          <w:ilvl w:val="0"/>
          <w:numId w:val="2"/>
        </w:numPr>
        <w:spacing w:before="40" w:after="60" w:line="360" w:lineRule="auto"/>
        <w:jc w:val="both"/>
      </w:pPr>
      <w:r>
        <w:rPr>
          <w:rFonts w:ascii="Arial" w:hAnsi="Arial" w:eastAsia="Arial" w:cs="Arial"/>
          <w:b w:val="0"/>
          <w:bCs w:val="0"/>
          <w:color w:val="595959"/>
          <w:sz w:val="22"/>
          <w:szCs w:val="22"/>
        </w:rPr>
        <w:t>FR-02 — Data Staging: The imported data must be loaded into a dedicated Import Set staging table within ServiceNow, preserving the source data in its original form prior to transformation.</w:t>
      </w:r>
    </w:p>
    <w:p w14:paraId="4E2E044A">
      <w:pPr>
        <w:pStyle w:val="14"/>
        <w:numPr>
          <w:ilvl w:val="0"/>
          <w:numId w:val="2"/>
        </w:numPr>
        <w:spacing w:before="40" w:after="60" w:line="360" w:lineRule="auto"/>
        <w:jc w:val="both"/>
      </w:pPr>
      <w:r>
        <w:rPr>
          <w:rFonts w:ascii="Arial" w:hAnsi="Arial" w:eastAsia="Arial" w:cs="Arial"/>
          <w:b w:val="0"/>
          <w:bCs w:val="0"/>
          <w:color w:val="595959"/>
          <w:sz w:val="22"/>
          <w:szCs w:val="22"/>
        </w:rPr>
        <w:t>FR-03 — Data Transformation: The system must transform and map the staged employee data from the Import Set table into the corresponding fields of the User table [sys_user], applying appropriate field-level mappings as defined in this document.</w:t>
      </w:r>
    </w:p>
    <w:p w14:paraId="689E7E5C">
      <w:pPr>
        <w:pStyle w:val="14"/>
        <w:numPr>
          <w:ilvl w:val="0"/>
          <w:numId w:val="2"/>
        </w:numPr>
        <w:spacing w:before="40" w:after="60" w:line="360" w:lineRule="auto"/>
        <w:jc w:val="both"/>
      </w:pPr>
      <w:r>
        <w:rPr>
          <w:rFonts w:ascii="Arial" w:hAnsi="Arial" w:eastAsia="Arial" w:cs="Arial"/>
          <w:b w:val="0"/>
          <w:bCs w:val="0"/>
          <w:color w:val="595959"/>
          <w:sz w:val="22"/>
          <w:szCs w:val="22"/>
        </w:rPr>
        <w:t>FR-04 — Manager Relationship Mapping: The system must correctly resolve and establish the reporting-manager relationship for each imported employee by linking the Manager field in the User record to the appropriate existing User record within the same table, using a configurable reference lookup.</w:t>
      </w:r>
    </w:p>
    <w:p w14:paraId="710D11D4">
      <w:pPr>
        <w:pStyle w:val="14"/>
        <w:numPr>
          <w:ilvl w:val="0"/>
          <w:numId w:val="2"/>
        </w:numPr>
        <w:spacing w:before="40" w:after="60" w:line="360" w:lineRule="auto"/>
        <w:jc w:val="both"/>
      </w:pPr>
      <w:r>
        <w:rPr>
          <w:rFonts w:ascii="Arial" w:hAnsi="Arial" w:eastAsia="Arial" w:cs="Arial"/>
          <w:b w:val="0"/>
          <w:bCs w:val="0"/>
          <w:color w:val="595959"/>
          <w:sz w:val="22"/>
          <w:szCs w:val="22"/>
        </w:rPr>
        <w:t>FR-05 — Incident Form — Department Display: The Incident form must display the Department of the user assigned to the Incident, derived automatically from the related User record, without requiring manual data entry on the Incident record itself.</w:t>
      </w:r>
    </w:p>
    <w:p w14:paraId="4DF1F69B">
      <w:pPr>
        <w:pStyle w:val="14"/>
        <w:numPr>
          <w:ilvl w:val="0"/>
          <w:numId w:val="2"/>
        </w:numPr>
        <w:spacing w:before="40" w:after="60" w:line="360" w:lineRule="auto"/>
        <w:jc w:val="both"/>
      </w:pPr>
      <w:r>
        <w:rPr>
          <w:rFonts w:ascii="Arial" w:hAnsi="Arial" w:eastAsia="Arial" w:cs="Arial"/>
          <w:b w:val="0"/>
          <w:bCs w:val="0"/>
          <w:color w:val="595959"/>
          <w:sz w:val="22"/>
          <w:szCs w:val="22"/>
        </w:rPr>
        <w:t>FR-06 — Incident Form — Manager Email Display: The Incident form must display the email address of the assigned user's manager, traversing the user-to-manager relationship to retrieve this value from the manager's User record.</w:t>
      </w:r>
    </w:p>
    <w:p w14:paraId="7037305D">
      <w:pPr>
        <w:pStyle w:val="14"/>
        <w:numPr>
          <w:numId w:val="0"/>
        </w:numPr>
        <w:spacing w:before="40" w:after="60" w:line="360" w:lineRule="auto"/>
        <w:jc w:val="both"/>
        <w:rPr>
          <w:rFonts w:ascii="Arial" w:hAnsi="Arial" w:eastAsia="Arial" w:cs="Arial"/>
          <w:b w:val="0"/>
          <w:bCs w:val="0"/>
          <w:color w:val="595959"/>
          <w:sz w:val="22"/>
          <w:szCs w:val="22"/>
        </w:rPr>
      </w:pPr>
    </w:p>
    <w:p w14:paraId="21661849">
      <w:pPr>
        <w:pStyle w:val="14"/>
        <w:numPr>
          <w:numId w:val="0"/>
        </w:numPr>
        <w:spacing w:before="40" w:after="60" w:line="360" w:lineRule="auto"/>
        <w:jc w:val="both"/>
        <w:rPr>
          <w:rFonts w:ascii="Arial" w:hAnsi="Arial" w:eastAsia="Arial" w:cs="Arial"/>
          <w:b w:val="0"/>
          <w:bCs w:val="0"/>
          <w:color w:val="595959"/>
          <w:sz w:val="22"/>
          <w:szCs w:val="22"/>
        </w:rPr>
      </w:pPr>
    </w:p>
    <w:p w14:paraId="63D9388F">
      <w:pPr>
        <w:pStyle w:val="14"/>
        <w:numPr>
          <w:numId w:val="0"/>
        </w:numPr>
        <w:spacing w:before="40" w:after="60" w:line="360" w:lineRule="auto"/>
        <w:jc w:val="both"/>
        <w:rPr>
          <w:rFonts w:ascii="Arial" w:hAnsi="Arial" w:eastAsia="Arial" w:cs="Arial"/>
          <w:b w:val="0"/>
          <w:bCs w:val="0"/>
          <w:color w:val="595959"/>
          <w:sz w:val="22"/>
          <w:szCs w:val="22"/>
        </w:rPr>
      </w:pPr>
    </w:p>
    <w:p w14:paraId="67E48702">
      <w:pPr>
        <w:pStyle w:val="14"/>
        <w:numPr>
          <w:numId w:val="0"/>
        </w:numPr>
        <w:spacing w:before="40" w:after="60" w:line="360" w:lineRule="auto"/>
        <w:jc w:val="both"/>
        <w:rPr>
          <w:rFonts w:ascii="Arial" w:hAnsi="Arial" w:eastAsia="Arial" w:cs="Arial"/>
          <w:b w:val="0"/>
          <w:bCs w:val="0"/>
          <w:color w:val="595959"/>
          <w:sz w:val="22"/>
          <w:szCs w:val="22"/>
        </w:rPr>
      </w:pPr>
    </w:p>
    <w:p w14:paraId="1DE6EB51">
      <w:pPr>
        <w:pStyle w:val="14"/>
        <w:numPr>
          <w:numId w:val="0"/>
        </w:numPr>
        <w:spacing w:before="40" w:after="60" w:line="360" w:lineRule="auto"/>
        <w:jc w:val="both"/>
        <w:rPr>
          <w:rFonts w:ascii="Arial" w:hAnsi="Arial" w:eastAsia="Arial" w:cs="Arial"/>
          <w:b w:val="0"/>
          <w:bCs w:val="0"/>
          <w:color w:val="595959"/>
          <w:sz w:val="22"/>
          <w:szCs w:val="22"/>
        </w:rPr>
      </w:pPr>
    </w:p>
    <w:p w14:paraId="338EAD7B">
      <w:pPr>
        <w:pStyle w:val="14"/>
        <w:numPr>
          <w:numId w:val="0"/>
        </w:numPr>
        <w:spacing w:before="40" w:after="60" w:line="360" w:lineRule="auto"/>
        <w:jc w:val="both"/>
        <w:rPr>
          <w:rFonts w:ascii="Arial" w:hAnsi="Arial" w:eastAsia="Arial" w:cs="Arial"/>
          <w:b w:val="0"/>
          <w:bCs w:val="0"/>
          <w:color w:val="595959"/>
          <w:sz w:val="22"/>
          <w:szCs w:val="22"/>
        </w:rPr>
      </w:pPr>
    </w:p>
    <w:p w14:paraId="7FA963CA">
      <w:pPr>
        <w:pStyle w:val="14"/>
        <w:numPr>
          <w:numId w:val="0"/>
        </w:numPr>
        <w:spacing w:before="40" w:after="60" w:line="360" w:lineRule="auto"/>
        <w:jc w:val="both"/>
        <w:rPr>
          <w:rFonts w:ascii="Arial" w:hAnsi="Arial" w:eastAsia="Arial" w:cs="Arial"/>
          <w:b w:val="0"/>
          <w:bCs w:val="0"/>
          <w:color w:val="595959"/>
          <w:sz w:val="22"/>
          <w:szCs w:val="22"/>
        </w:rPr>
      </w:pPr>
    </w:p>
    <w:p w14:paraId="23C7EBF9">
      <w:pPr>
        <w:spacing w:before="80" w:after="0"/>
      </w:pPr>
    </w:p>
    <w:p w14:paraId="6C50AE99">
      <w:pPr>
        <w:pStyle w:val="2"/>
        <w:pBdr>
          <w:left w:val="single" w:color="2E75B6" w:sz="28" w:space="8"/>
        </w:pBdr>
        <w:spacing w:before="320" w:after="120"/>
      </w:pPr>
      <w:r>
        <w:rPr>
          <w:rFonts w:ascii="Arial" w:hAnsi="Arial" w:eastAsia="Arial" w:cs="Arial"/>
          <w:b/>
          <w:bCs/>
          <w:caps w:val="0"/>
          <w:color w:val="1F3864"/>
          <w:sz w:val="28"/>
          <w:szCs w:val="28"/>
        </w:rPr>
        <w:t>6. DATA SOURCE &amp; FORMAT DEFINITION</w:t>
      </w:r>
    </w:p>
    <w:p w14:paraId="2A767A2B">
      <w:pPr>
        <w:spacing w:before="60" w:after="100" w:line="276" w:lineRule="auto"/>
        <w:jc w:val="both"/>
      </w:pPr>
      <w:r>
        <w:rPr>
          <w:rFonts w:ascii="Arial" w:hAnsi="Arial" w:eastAsia="Arial" w:cs="Arial"/>
          <w:color w:val="595959"/>
          <w:sz w:val="22"/>
          <w:szCs w:val="22"/>
        </w:rPr>
        <w:t>This section defines the origin and expected structure of the employee data to be imported. A clear understanding of the data source and its format is a prerequisite for designing an accurate and reliable Transform Map configuration.</w:t>
      </w:r>
    </w:p>
    <w:p w14:paraId="0A8CC248">
      <w:pPr>
        <w:spacing w:before="60" w:after="0"/>
      </w:pPr>
    </w:p>
    <w:p w14:paraId="5B0DF7C2">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6.1  Data Source</w:t>
      </w:r>
    </w:p>
    <w:p w14:paraId="02963DBE"/>
    <w:p w14:paraId="050C5DD5">
      <w:pPr>
        <w:spacing w:before="60" w:after="100" w:line="360" w:lineRule="auto"/>
        <w:jc w:val="both"/>
      </w:pPr>
      <w:r>
        <w:rPr>
          <w:rFonts w:ascii="Arial" w:hAnsi="Arial" w:eastAsia="Arial" w:cs="Arial"/>
          <w:color w:val="595959"/>
          <w:sz w:val="22"/>
          <w:szCs w:val="22"/>
        </w:rPr>
        <w:t>The data source for this project is an external CSV (Comma-Separated Values) or Excel-formatted file produced outside of the ServiceNow platform. This file represents an extract of new employee records from the organisation's external human resources or workforce management system. The file will be provided to the ServiceNow administrator and uploaded manually via the platform's Import Set interface as the initial means of data ingestion.</w:t>
      </w:r>
    </w:p>
    <w:p w14:paraId="2F7741AF">
      <w:pPr>
        <w:spacing w:before="60" w:after="0"/>
      </w:pPr>
    </w:p>
    <w:p w14:paraId="7F7D4597">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6.2  Expected Data Structure</w:t>
      </w:r>
    </w:p>
    <w:p w14:paraId="42B73506"/>
    <w:p w14:paraId="6EEAC58B">
      <w:pPr>
        <w:spacing w:before="60" w:after="100" w:line="360" w:lineRule="auto"/>
        <w:jc w:val="both"/>
      </w:pPr>
      <w:r>
        <w:rPr>
          <w:rFonts w:ascii="Arial" w:hAnsi="Arial" w:eastAsia="Arial" w:cs="Arial"/>
          <w:color w:val="595959"/>
          <w:sz w:val="22"/>
          <w:szCs w:val="22"/>
        </w:rPr>
        <w:t>Based on the project brief, the following fields are expected to be present within the source data file. These fields constitute the initial dataset to be mapped and imported into the User table.</w:t>
      </w:r>
    </w:p>
    <w:p w14:paraId="4F522598">
      <w:pPr>
        <w:spacing w:before="80" w:after="0"/>
      </w:pPr>
    </w:p>
    <w:tbl>
      <w:tblPr>
        <w:tblStyle w:val="9"/>
        <w:tblW w:w="9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3"/>
        <w:gridCol w:w="2512"/>
        <w:gridCol w:w="4983"/>
      </w:tblGrid>
      <w:tr w14:paraId="3A95C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3" w:type="dxa"/>
            <w:tcBorders>
              <w:top w:val="nil"/>
              <w:left w:val="nil"/>
              <w:bottom w:val="nil"/>
              <w:right w:val="nil"/>
            </w:tcBorders>
            <w:shd w:val="clear" w:color="auto" w:fill="2E75B6"/>
            <w:tcMar>
              <w:top w:w="80" w:type="dxa"/>
              <w:left w:w="120" w:type="dxa"/>
              <w:bottom w:w="80" w:type="dxa"/>
              <w:right w:w="120" w:type="dxa"/>
            </w:tcMar>
          </w:tcPr>
          <w:p w14:paraId="052224AA">
            <w:pPr>
              <w:spacing w:line="360" w:lineRule="auto"/>
            </w:pPr>
            <w:r>
              <w:rPr>
                <w:rFonts w:ascii="Arial" w:hAnsi="Arial" w:eastAsia="Arial" w:cs="Arial"/>
                <w:b/>
                <w:bCs/>
                <w:color w:val="FFFFFF"/>
                <w:sz w:val="20"/>
                <w:szCs w:val="20"/>
              </w:rPr>
              <w:t>Source Column (CSV Header)</w:t>
            </w:r>
          </w:p>
        </w:tc>
        <w:tc>
          <w:tcPr>
            <w:tcW w:w="2512" w:type="dxa"/>
            <w:tcBorders>
              <w:top w:val="nil"/>
              <w:left w:val="nil"/>
              <w:bottom w:val="nil"/>
              <w:right w:val="nil"/>
            </w:tcBorders>
            <w:shd w:val="clear" w:color="auto" w:fill="2E75B6"/>
            <w:tcMar>
              <w:top w:w="80" w:type="dxa"/>
              <w:left w:w="120" w:type="dxa"/>
              <w:bottom w:w="80" w:type="dxa"/>
              <w:right w:w="120" w:type="dxa"/>
            </w:tcMar>
          </w:tcPr>
          <w:p w14:paraId="620D85D3">
            <w:pPr>
              <w:spacing w:line="360" w:lineRule="auto"/>
            </w:pPr>
            <w:r>
              <w:rPr>
                <w:rFonts w:ascii="Arial" w:hAnsi="Arial" w:eastAsia="Arial" w:cs="Arial"/>
                <w:b/>
                <w:bCs/>
                <w:color w:val="FFFFFF"/>
                <w:sz w:val="20"/>
                <w:szCs w:val="20"/>
              </w:rPr>
              <w:t>Target Field — User Table [sys_user]</w:t>
            </w:r>
          </w:p>
        </w:tc>
        <w:tc>
          <w:tcPr>
            <w:tcW w:w="4983" w:type="dxa"/>
            <w:tcBorders>
              <w:top w:val="nil"/>
              <w:left w:val="nil"/>
              <w:bottom w:val="nil"/>
              <w:right w:val="nil"/>
            </w:tcBorders>
            <w:shd w:val="clear" w:color="auto" w:fill="2E75B6"/>
            <w:tcMar>
              <w:top w:w="80" w:type="dxa"/>
              <w:left w:w="120" w:type="dxa"/>
              <w:bottom w:w="80" w:type="dxa"/>
              <w:right w:w="120" w:type="dxa"/>
            </w:tcMar>
          </w:tcPr>
          <w:p w14:paraId="745A0BAF">
            <w:pPr>
              <w:spacing w:line="360" w:lineRule="auto"/>
            </w:pPr>
            <w:r>
              <w:rPr>
                <w:rFonts w:ascii="Arial" w:hAnsi="Arial" w:eastAsia="Arial" w:cs="Arial"/>
                <w:b/>
                <w:bCs/>
                <w:color w:val="FFFFFF"/>
                <w:sz w:val="20"/>
                <w:szCs w:val="20"/>
              </w:rPr>
              <w:t>Notes</w:t>
            </w:r>
          </w:p>
        </w:tc>
      </w:tr>
      <w:tr w14:paraId="3BE3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3" w:type="dxa"/>
            <w:tcBorders>
              <w:top w:val="single" w:color="D0DAF0" w:sz="4" w:space="0"/>
              <w:left w:val="single" w:color="D0DAF0" w:sz="4" w:space="0"/>
              <w:bottom w:val="single" w:color="D0DAF0" w:sz="4" w:space="0"/>
              <w:right w:val="single" w:color="D0DAF0" w:sz="4" w:space="0"/>
            </w:tcBorders>
            <w:shd w:val="clear" w:color="auto" w:fill="F0F4FA"/>
            <w:tcMar>
              <w:top w:w="80" w:type="dxa"/>
              <w:left w:w="120" w:type="dxa"/>
              <w:bottom w:w="80" w:type="dxa"/>
              <w:right w:w="120" w:type="dxa"/>
            </w:tcMar>
          </w:tcPr>
          <w:p w14:paraId="386D2C0A">
            <w:pPr>
              <w:spacing w:line="360" w:lineRule="auto"/>
            </w:pPr>
            <w:r>
              <w:rPr>
                <w:rFonts w:ascii="Arial" w:hAnsi="Arial" w:eastAsia="Arial" w:cs="Arial"/>
                <w:color w:val="595959"/>
                <w:sz w:val="20"/>
                <w:szCs w:val="20"/>
              </w:rPr>
              <w:t>Name</w:t>
            </w:r>
          </w:p>
        </w:tc>
        <w:tc>
          <w:tcPr>
            <w:tcW w:w="2512" w:type="dxa"/>
            <w:tcBorders>
              <w:top w:val="single" w:color="D0DAF0" w:sz="4" w:space="0"/>
              <w:left w:val="single" w:color="D0DAF0" w:sz="4" w:space="0"/>
              <w:bottom w:val="single" w:color="D0DAF0" w:sz="4" w:space="0"/>
              <w:right w:val="single" w:color="D0DAF0" w:sz="4" w:space="0"/>
            </w:tcBorders>
            <w:shd w:val="clear" w:color="auto" w:fill="F0F4FA"/>
            <w:tcMar>
              <w:top w:w="80" w:type="dxa"/>
              <w:left w:w="120" w:type="dxa"/>
              <w:bottom w:w="80" w:type="dxa"/>
              <w:right w:w="120" w:type="dxa"/>
            </w:tcMar>
          </w:tcPr>
          <w:p w14:paraId="3FCD2553">
            <w:pPr>
              <w:spacing w:line="360" w:lineRule="auto"/>
            </w:pPr>
            <w:r>
              <w:rPr>
                <w:rFonts w:ascii="Arial" w:hAnsi="Arial" w:eastAsia="Arial" w:cs="Arial"/>
                <w:color w:val="595959"/>
                <w:sz w:val="20"/>
                <w:szCs w:val="20"/>
              </w:rPr>
              <w:t>Name [name]</w:t>
            </w:r>
          </w:p>
        </w:tc>
        <w:tc>
          <w:tcPr>
            <w:tcW w:w="4983" w:type="dxa"/>
            <w:tcBorders>
              <w:top w:val="single" w:color="D0DAF0" w:sz="4" w:space="0"/>
              <w:left w:val="single" w:color="D0DAF0" w:sz="4" w:space="0"/>
              <w:bottom w:val="single" w:color="D0DAF0" w:sz="4" w:space="0"/>
              <w:right w:val="single" w:color="D0DAF0" w:sz="4" w:space="0"/>
            </w:tcBorders>
            <w:shd w:val="clear" w:color="auto" w:fill="F0F4FA"/>
            <w:tcMar>
              <w:top w:w="80" w:type="dxa"/>
              <w:left w:w="120" w:type="dxa"/>
              <w:bottom w:w="80" w:type="dxa"/>
              <w:right w:w="120" w:type="dxa"/>
            </w:tcMar>
          </w:tcPr>
          <w:p w14:paraId="683542BD">
            <w:pPr>
              <w:spacing w:line="360" w:lineRule="auto"/>
            </w:pPr>
            <w:r>
              <w:rPr>
                <w:rFonts w:ascii="Arial" w:hAnsi="Arial" w:eastAsia="Arial" w:cs="Arial"/>
                <w:color w:val="595959"/>
                <w:sz w:val="20"/>
                <w:szCs w:val="20"/>
              </w:rPr>
              <w:t>Full name of the employee. May require concatenation logic if provided as separate first/last name columns.</w:t>
            </w:r>
          </w:p>
        </w:tc>
      </w:tr>
      <w:tr w14:paraId="4D20E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3" w:type="dxa"/>
            <w:tcBorders>
              <w:top w:val="single" w:color="D0DAF0" w:sz="4" w:space="0"/>
              <w:left w:val="single" w:color="D0DAF0" w:sz="4" w:space="0"/>
              <w:bottom w:val="single" w:color="D0DAF0" w:sz="4" w:space="0"/>
              <w:right w:val="single" w:color="D0DAF0" w:sz="4" w:space="0"/>
            </w:tcBorders>
            <w:shd w:val="clear" w:color="auto" w:fill="FFFFFF"/>
            <w:tcMar>
              <w:top w:w="80" w:type="dxa"/>
              <w:left w:w="120" w:type="dxa"/>
              <w:bottom w:w="80" w:type="dxa"/>
              <w:right w:w="120" w:type="dxa"/>
            </w:tcMar>
          </w:tcPr>
          <w:p w14:paraId="1EFD632F">
            <w:pPr>
              <w:spacing w:line="360" w:lineRule="auto"/>
            </w:pPr>
            <w:r>
              <w:rPr>
                <w:rFonts w:ascii="Arial" w:hAnsi="Arial" w:eastAsia="Arial" w:cs="Arial"/>
                <w:color w:val="595959"/>
                <w:sz w:val="20"/>
                <w:szCs w:val="20"/>
              </w:rPr>
              <w:t>Email</w:t>
            </w:r>
          </w:p>
        </w:tc>
        <w:tc>
          <w:tcPr>
            <w:tcW w:w="2512" w:type="dxa"/>
            <w:tcBorders>
              <w:top w:val="single" w:color="D0DAF0" w:sz="4" w:space="0"/>
              <w:left w:val="single" w:color="D0DAF0" w:sz="4" w:space="0"/>
              <w:bottom w:val="single" w:color="D0DAF0" w:sz="4" w:space="0"/>
              <w:right w:val="single" w:color="D0DAF0" w:sz="4" w:space="0"/>
            </w:tcBorders>
            <w:shd w:val="clear" w:color="auto" w:fill="FFFFFF"/>
            <w:tcMar>
              <w:top w:w="80" w:type="dxa"/>
              <w:left w:w="120" w:type="dxa"/>
              <w:bottom w:w="80" w:type="dxa"/>
              <w:right w:w="120" w:type="dxa"/>
            </w:tcMar>
          </w:tcPr>
          <w:p w14:paraId="02DDF893">
            <w:pPr>
              <w:spacing w:line="360" w:lineRule="auto"/>
            </w:pPr>
            <w:r>
              <w:rPr>
                <w:rFonts w:ascii="Arial" w:hAnsi="Arial" w:eastAsia="Arial" w:cs="Arial"/>
                <w:color w:val="595959"/>
                <w:sz w:val="20"/>
                <w:szCs w:val="20"/>
              </w:rPr>
              <w:t>Email [email]</w:t>
            </w:r>
          </w:p>
        </w:tc>
        <w:tc>
          <w:tcPr>
            <w:tcW w:w="4983" w:type="dxa"/>
            <w:tcBorders>
              <w:top w:val="single" w:color="D0DAF0" w:sz="4" w:space="0"/>
              <w:left w:val="single" w:color="D0DAF0" w:sz="4" w:space="0"/>
              <w:bottom w:val="single" w:color="D0DAF0" w:sz="4" w:space="0"/>
              <w:right w:val="single" w:color="D0DAF0" w:sz="4" w:space="0"/>
            </w:tcBorders>
            <w:shd w:val="clear" w:color="auto" w:fill="FFFFFF"/>
            <w:tcMar>
              <w:top w:w="80" w:type="dxa"/>
              <w:left w:w="120" w:type="dxa"/>
              <w:bottom w:w="80" w:type="dxa"/>
              <w:right w:w="120" w:type="dxa"/>
            </w:tcMar>
          </w:tcPr>
          <w:p w14:paraId="6CF74D7B">
            <w:pPr>
              <w:spacing w:line="360" w:lineRule="auto"/>
            </w:pPr>
            <w:r>
              <w:rPr>
                <w:rFonts w:ascii="Arial" w:hAnsi="Arial" w:eastAsia="Arial" w:cs="Arial"/>
                <w:color w:val="595959"/>
                <w:sz w:val="20"/>
                <w:szCs w:val="20"/>
              </w:rPr>
              <w:t>Corporate email address. Serves as a unique identifier for the user record.</w:t>
            </w:r>
          </w:p>
        </w:tc>
      </w:tr>
      <w:tr w14:paraId="52EB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3" w:type="dxa"/>
            <w:tcBorders>
              <w:top w:val="single" w:color="D0DAF0" w:sz="4" w:space="0"/>
              <w:left w:val="single" w:color="D0DAF0" w:sz="4" w:space="0"/>
              <w:bottom w:val="single" w:color="D0DAF0" w:sz="4" w:space="0"/>
              <w:right w:val="single" w:color="D0DAF0" w:sz="4" w:space="0"/>
            </w:tcBorders>
            <w:shd w:val="clear" w:color="auto" w:fill="F0F4FA"/>
            <w:tcMar>
              <w:top w:w="80" w:type="dxa"/>
              <w:left w:w="120" w:type="dxa"/>
              <w:bottom w:w="80" w:type="dxa"/>
              <w:right w:w="120" w:type="dxa"/>
            </w:tcMar>
          </w:tcPr>
          <w:p w14:paraId="5013A2C2">
            <w:pPr>
              <w:spacing w:line="360" w:lineRule="auto"/>
            </w:pPr>
            <w:r>
              <w:rPr>
                <w:rFonts w:ascii="Arial" w:hAnsi="Arial" w:eastAsia="Arial" w:cs="Arial"/>
                <w:color w:val="595959"/>
                <w:sz w:val="20"/>
                <w:szCs w:val="20"/>
              </w:rPr>
              <w:t>Department</w:t>
            </w:r>
          </w:p>
        </w:tc>
        <w:tc>
          <w:tcPr>
            <w:tcW w:w="2512" w:type="dxa"/>
            <w:tcBorders>
              <w:top w:val="single" w:color="D0DAF0" w:sz="4" w:space="0"/>
              <w:left w:val="single" w:color="D0DAF0" w:sz="4" w:space="0"/>
              <w:bottom w:val="single" w:color="D0DAF0" w:sz="4" w:space="0"/>
              <w:right w:val="single" w:color="D0DAF0" w:sz="4" w:space="0"/>
            </w:tcBorders>
            <w:shd w:val="clear" w:color="auto" w:fill="F0F4FA"/>
            <w:tcMar>
              <w:top w:w="80" w:type="dxa"/>
              <w:left w:w="120" w:type="dxa"/>
              <w:bottom w:w="80" w:type="dxa"/>
              <w:right w:w="120" w:type="dxa"/>
            </w:tcMar>
          </w:tcPr>
          <w:p w14:paraId="6271842E">
            <w:pPr>
              <w:spacing w:line="360" w:lineRule="auto"/>
            </w:pPr>
            <w:r>
              <w:rPr>
                <w:rFonts w:ascii="Arial" w:hAnsi="Arial" w:eastAsia="Arial" w:cs="Arial"/>
                <w:color w:val="595959"/>
                <w:sz w:val="20"/>
                <w:szCs w:val="20"/>
              </w:rPr>
              <w:t>Department [department]</w:t>
            </w:r>
          </w:p>
        </w:tc>
        <w:tc>
          <w:tcPr>
            <w:tcW w:w="4983" w:type="dxa"/>
            <w:tcBorders>
              <w:top w:val="single" w:color="D0DAF0" w:sz="4" w:space="0"/>
              <w:left w:val="single" w:color="D0DAF0" w:sz="4" w:space="0"/>
              <w:bottom w:val="single" w:color="D0DAF0" w:sz="4" w:space="0"/>
              <w:right w:val="single" w:color="D0DAF0" w:sz="4" w:space="0"/>
            </w:tcBorders>
            <w:shd w:val="clear" w:color="auto" w:fill="F0F4FA"/>
            <w:tcMar>
              <w:top w:w="80" w:type="dxa"/>
              <w:left w:w="120" w:type="dxa"/>
              <w:bottom w:w="80" w:type="dxa"/>
              <w:right w:w="120" w:type="dxa"/>
            </w:tcMar>
          </w:tcPr>
          <w:p w14:paraId="4DDF65F5">
            <w:pPr>
              <w:spacing w:line="360" w:lineRule="auto"/>
            </w:pPr>
            <w:r>
              <w:rPr>
                <w:rFonts w:ascii="Arial" w:hAnsi="Arial" w:eastAsia="Arial" w:cs="Arial"/>
                <w:color w:val="595959"/>
                <w:sz w:val="20"/>
                <w:szCs w:val="20"/>
              </w:rPr>
              <w:t>Organisational department to which the employee belongs. Maps to the Department reference field.</w:t>
            </w:r>
          </w:p>
        </w:tc>
      </w:tr>
      <w:tr w14:paraId="101D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3" w:type="dxa"/>
            <w:tcBorders>
              <w:top w:val="single" w:color="D0DAF0" w:sz="4" w:space="0"/>
              <w:left w:val="single" w:color="D0DAF0" w:sz="4" w:space="0"/>
              <w:bottom w:val="single" w:color="D0DAF0" w:sz="4" w:space="0"/>
              <w:right w:val="single" w:color="D0DAF0" w:sz="4" w:space="0"/>
            </w:tcBorders>
            <w:shd w:val="clear" w:color="auto" w:fill="FFFFFF"/>
            <w:tcMar>
              <w:top w:w="80" w:type="dxa"/>
              <w:left w:w="120" w:type="dxa"/>
              <w:bottom w:w="80" w:type="dxa"/>
              <w:right w:w="120" w:type="dxa"/>
            </w:tcMar>
          </w:tcPr>
          <w:p w14:paraId="38CCF879">
            <w:pPr>
              <w:spacing w:line="360" w:lineRule="auto"/>
            </w:pPr>
            <w:r>
              <w:rPr>
                <w:rFonts w:ascii="Arial" w:hAnsi="Arial" w:eastAsia="Arial" w:cs="Arial"/>
                <w:color w:val="595959"/>
                <w:sz w:val="20"/>
                <w:szCs w:val="20"/>
              </w:rPr>
              <w:t>Manager</w:t>
            </w:r>
          </w:p>
        </w:tc>
        <w:tc>
          <w:tcPr>
            <w:tcW w:w="2512" w:type="dxa"/>
            <w:tcBorders>
              <w:top w:val="single" w:color="D0DAF0" w:sz="4" w:space="0"/>
              <w:left w:val="single" w:color="D0DAF0" w:sz="4" w:space="0"/>
              <w:bottom w:val="single" w:color="D0DAF0" w:sz="4" w:space="0"/>
              <w:right w:val="single" w:color="D0DAF0" w:sz="4" w:space="0"/>
            </w:tcBorders>
            <w:shd w:val="clear" w:color="auto" w:fill="FFFFFF"/>
            <w:tcMar>
              <w:top w:w="80" w:type="dxa"/>
              <w:left w:w="120" w:type="dxa"/>
              <w:bottom w:w="80" w:type="dxa"/>
              <w:right w:w="120" w:type="dxa"/>
            </w:tcMar>
          </w:tcPr>
          <w:p w14:paraId="1F282CF3">
            <w:pPr>
              <w:spacing w:line="360" w:lineRule="auto"/>
            </w:pPr>
            <w:r>
              <w:rPr>
                <w:rFonts w:ascii="Arial" w:hAnsi="Arial" w:eastAsia="Arial" w:cs="Arial"/>
                <w:color w:val="595959"/>
                <w:sz w:val="20"/>
                <w:szCs w:val="20"/>
              </w:rPr>
              <w:t>Manager [manager]</w:t>
            </w:r>
          </w:p>
        </w:tc>
        <w:tc>
          <w:tcPr>
            <w:tcW w:w="4983" w:type="dxa"/>
            <w:tcBorders>
              <w:top w:val="single" w:color="D0DAF0" w:sz="4" w:space="0"/>
              <w:left w:val="single" w:color="D0DAF0" w:sz="4" w:space="0"/>
              <w:bottom w:val="single" w:color="D0DAF0" w:sz="4" w:space="0"/>
              <w:right w:val="single" w:color="D0DAF0" w:sz="4" w:space="0"/>
            </w:tcBorders>
            <w:shd w:val="clear" w:color="auto" w:fill="FFFFFF"/>
            <w:tcMar>
              <w:top w:w="80" w:type="dxa"/>
              <w:left w:w="120" w:type="dxa"/>
              <w:bottom w:w="80" w:type="dxa"/>
              <w:right w:w="120" w:type="dxa"/>
            </w:tcMar>
          </w:tcPr>
          <w:p w14:paraId="1F5315D6">
            <w:pPr>
              <w:spacing w:line="360" w:lineRule="auto"/>
            </w:pPr>
            <w:r>
              <w:rPr>
                <w:rFonts w:ascii="Arial" w:hAnsi="Arial" w:eastAsia="Arial" w:cs="Arial"/>
                <w:color w:val="595959"/>
                <w:sz w:val="20"/>
                <w:szCs w:val="20"/>
              </w:rPr>
              <w:t>Name or identifier of the employee's direct line manager. Requires a reference lookup to resolve to an existing User record; to be configured via Transform Map coalesce or reference field mapping.</w:t>
            </w:r>
          </w:p>
        </w:tc>
      </w:tr>
      <w:tr w14:paraId="7610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3" w:type="dxa"/>
            <w:tcBorders>
              <w:top w:val="single" w:color="D0DAF0" w:sz="4" w:space="0"/>
              <w:left w:val="single" w:color="D0DAF0" w:sz="4" w:space="0"/>
              <w:bottom w:val="single" w:color="D0DAF0" w:sz="4" w:space="0"/>
              <w:right w:val="single" w:color="D0DAF0" w:sz="4" w:space="0"/>
            </w:tcBorders>
            <w:shd w:val="clear" w:color="auto" w:fill="F0F4FA"/>
            <w:tcMar>
              <w:top w:w="80" w:type="dxa"/>
              <w:left w:w="120" w:type="dxa"/>
              <w:bottom w:w="80" w:type="dxa"/>
              <w:right w:w="120" w:type="dxa"/>
            </w:tcMar>
          </w:tcPr>
          <w:p w14:paraId="4B5F719C">
            <w:pPr>
              <w:spacing w:line="360" w:lineRule="auto"/>
            </w:pPr>
            <w:r>
              <w:rPr>
                <w:rFonts w:ascii="Arial" w:hAnsi="Arial" w:eastAsia="Arial" w:cs="Arial"/>
                <w:color w:val="595959"/>
                <w:sz w:val="20"/>
                <w:szCs w:val="20"/>
              </w:rPr>
              <w:t>Phone Number</w:t>
            </w:r>
          </w:p>
        </w:tc>
        <w:tc>
          <w:tcPr>
            <w:tcW w:w="2512" w:type="dxa"/>
            <w:tcBorders>
              <w:top w:val="single" w:color="D0DAF0" w:sz="4" w:space="0"/>
              <w:left w:val="single" w:color="D0DAF0" w:sz="4" w:space="0"/>
              <w:bottom w:val="single" w:color="D0DAF0" w:sz="4" w:space="0"/>
              <w:right w:val="single" w:color="D0DAF0" w:sz="4" w:space="0"/>
            </w:tcBorders>
            <w:shd w:val="clear" w:color="auto" w:fill="F0F4FA"/>
            <w:tcMar>
              <w:top w:w="80" w:type="dxa"/>
              <w:left w:w="120" w:type="dxa"/>
              <w:bottom w:w="80" w:type="dxa"/>
              <w:right w:w="120" w:type="dxa"/>
            </w:tcMar>
          </w:tcPr>
          <w:p w14:paraId="6A46E2C6">
            <w:pPr>
              <w:spacing w:line="360" w:lineRule="auto"/>
            </w:pPr>
            <w:r>
              <w:rPr>
                <w:rFonts w:ascii="Arial" w:hAnsi="Arial" w:eastAsia="Arial" w:cs="Arial"/>
                <w:color w:val="595959"/>
                <w:sz w:val="20"/>
                <w:szCs w:val="20"/>
              </w:rPr>
              <w:t>Phone [phone]</w:t>
            </w:r>
          </w:p>
        </w:tc>
        <w:tc>
          <w:tcPr>
            <w:tcW w:w="4983" w:type="dxa"/>
            <w:tcBorders>
              <w:top w:val="single" w:color="D0DAF0" w:sz="4" w:space="0"/>
              <w:left w:val="single" w:color="D0DAF0" w:sz="4" w:space="0"/>
              <w:bottom w:val="single" w:color="D0DAF0" w:sz="4" w:space="0"/>
              <w:right w:val="single" w:color="D0DAF0" w:sz="4" w:space="0"/>
            </w:tcBorders>
            <w:shd w:val="clear" w:color="auto" w:fill="F0F4FA"/>
            <w:tcMar>
              <w:top w:w="80" w:type="dxa"/>
              <w:left w:w="120" w:type="dxa"/>
              <w:bottom w:w="80" w:type="dxa"/>
              <w:right w:w="120" w:type="dxa"/>
            </w:tcMar>
          </w:tcPr>
          <w:p w14:paraId="6D861FEC">
            <w:pPr>
              <w:spacing w:line="360" w:lineRule="auto"/>
            </w:pPr>
            <w:r>
              <w:rPr>
                <w:rFonts w:ascii="Arial" w:hAnsi="Arial" w:eastAsia="Arial" w:cs="Arial"/>
                <w:color w:val="595959"/>
                <w:sz w:val="20"/>
                <w:szCs w:val="20"/>
              </w:rPr>
              <w:t>Employee's primary contact number.</w:t>
            </w:r>
          </w:p>
        </w:tc>
      </w:tr>
    </w:tbl>
    <w:p w14:paraId="10758CC8">
      <w:pPr>
        <w:spacing w:before="80" w:after="0"/>
      </w:pPr>
    </w:p>
    <w:p w14:paraId="29669EE6">
      <w:pPr>
        <w:spacing w:before="80" w:after="0"/>
      </w:pPr>
    </w:p>
    <w:p w14:paraId="59FE794F">
      <w:pPr>
        <w:pStyle w:val="2"/>
        <w:pBdr>
          <w:left w:val="single" w:color="2E75B6" w:sz="28" w:space="8"/>
        </w:pBdr>
        <w:spacing w:before="320" w:after="120"/>
      </w:pPr>
      <w:r>
        <w:rPr>
          <w:rFonts w:ascii="Arial" w:hAnsi="Arial" w:eastAsia="Arial" w:cs="Arial"/>
          <w:b/>
          <w:bCs/>
          <w:caps w:val="0"/>
          <w:color w:val="1F3864"/>
          <w:sz w:val="28"/>
          <w:szCs w:val="28"/>
        </w:rPr>
        <w:t>7. ASSUMPTIONS &amp; CONSTRAINTS</w:t>
      </w:r>
    </w:p>
    <w:p w14:paraId="5C40ACA6">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7.1  Assumptions</w:t>
      </w:r>
    </w:p>
    <w:p w14:paraId="2AEBE458"/>
    <w:p w14:paraId="5B4A8D3A">
      <w:pPr>
        <w:pStyle w:val="14"/>
        <w:numPr>
          <w:ilvl w:val="0"/>
          <w:numId w:val="2"/>
        </w:numPr>
        <w:spacing w:before="40" w:after="60" w:line="360" w:lineRule="auto"/>
        <w:jc w:val="both"/>
      </w:pPr>
      <w:r>
        <w:rPr>
          <w:rFonts w:ascii="Arial" w:hAnsi="Arial" w:eastAsia="Arial" w:cs="Arial"/>
          <w:b w:val="0"/>
          <w:bCs w:val="0"/>
          <w:color w:val="595959"/>
          <w:sz w:val="22"/>
          <w:szCs w:val="22"/>
        </w:rPr>
        <w:t>Manager records are assumed to either already exist within the ServiceNow User table [sys_user] prior to the import of employee records, or are included within the same import batch and processed before the dependent employee records. This is a necessary precondition for the Manager reference field to resolve successfully during the transformation process.</w:t>
      </w:r>
    </w:p>
    <w:p w14:paraId="7563151B">
      <w:pPr>
        <w:pStyle w:val="14"/>
        <w:numPr>
          <w:ilvl w:val="0"/>
          <w:numId w:val="2"/>
        </w:numPr>
        <w:spacing w:before="40" w:after="60" w:line="360" w:lineRule="auto"/>
        <w:jc w:val="both"/>
      </w:pPr>
      <w:r>
        <w:rPr>
          <w:rFonts w:ascii="Arial" w:hAnsi="Arial" w:eastAsia="Arial" w:cs="Arial"/>
          <w:b w:val="0"/>
          <w:bCs w:val="0"/>
          <w:color w:val="595959"/>
          <w:sz w:val="22"/>
          <w:szCs w:val="22"/>
        </w:rPr>
        <w:t>The CSV file provided will be consistently structured across import cycles, with the column headers remaining stable and matching the field mappings defined in the Transform Map configuration.</w:t>
      </w:r>
    </w:p>
    <w:p w14:paraId="10E1AFDD">
      <w:pPr>
        <w:pStyle w:val="14"/>
        <w:numPr>
          <w:ilvl w:val="0"/>
          <w:numId w:val="2"/>
        </w:numPr>
        <w:spacing w:before="40" w:after="60" w:line="360" w:lineRule="auto"/>
        <w:jc w:val="both"/>
      </w:pPr>
      <w:r>
        <w:rPr>
          <w:rFonts w:ascii="Arial" w:hAnsi="Arial" w:eastAsia="Arial" w:cs="Arial"/>
          <w:b w:val="0"/>
          <w:bCs w:val="0"/>
          <w:color w:val="595959"/>
          <w:sz w:val="22"/>
          <w:szCs w:val="22"/>
        </w:rPr>
        <w:t>The organisation's ServiceNow instance is operating on a version that fully supports native Import Sets, Transform Maps, and dot-walking functionality without the need for additional plugins or platform upgrades.</w:t>
      </w:r>
    </w:p>
    <w:p w14:paraId="002874CF">
      <w:pPr>
        <w:pStyle w:val="14"/>
        <w:numPr>
          <w:ilvl w:val="0"/>
          <w:numId w:val="2"/>
        </w:numPr>
        <w:spacing w:before="40" w:after="60" w:line="360" w:lineRule="auto"/>
        <w:jc w:val="both"/>
      </w:pPr>
      <w:r>
        <w:rPr>
          <w:rFonts w:ascii="Arial" w:hAnsi="Arial" w:eastAsia="Arial" w:cs="Arial"/>
          <w:b w:val="0"/>
          <w:bCs w:val="0"/>
          <w:color w:val="595959"/>
          <w:sz w:val="22"/>
          <w:szCs w:val="22"/>
        </w:rPr>
        <w:t>An authorised ServiceNow administrator will be responsible for initiating each import, and appropriate access rights to the Import Set and Transform Map modules will be in place prior to go-live.</w:t>
      </w:r>
    </w:p>
    <w:p w14:paraId="6D398B2C">
      <w:pPr>
        <w:pStyle w:val="14"/>
        <w:numPr>
          <w:ilvl w:val="0"/>
          <w:numId w:val="2"/>
        </w:numPr>
        <w:spacing w:before="40" w:after="60" w:line="360" w:lineRule="auto"/>
        <w:jc w:val="both"/>
      </w:pPr>
      <w:r>
        <w:rPr>
          <w:rFonts w:ascii="Arial" w:hAnsi="Arial" w:eastAsia="Arial" w:cs="Arial"/>
          <w:b w:val="0"/>
          <w:bCs w:val="0"/>
          <w:color w:val="595959"/>
          <w:sz w:val="22"/>
          <w:szCs w:val="22"/>
        </w:rPr>
        <w:t>The email address field in the source CSV will be unique per employee and suitable for use as a coalesce (matching) field to prevent duplicate User record creation on subsequent imports.</w:t>
      </w:r>
    </w:p>
    <w:p w14:paraId="243B381E">
      <w:pPr>
        <w:spacing w:before="60" w:after="0"/>
      </w:pPr>
    </w:p>
    <w:p w14:paraId="4098B425">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7.2  Constraints</w:t>
      </w:r>
    </w:p>
    <w:p w14:paraId="582FD17E"/>
    <w:p w14:paraId="24D5CF5A">
      <w:pPr>
        <w:pStyle w:val="14"/>
        <w:numPr>
          <w:ilvl w:val="0"/>
          <w:numId w:val="2"/>
        </w:numPr>
        <w:spacing w:before="40" w:after="60" w:line="360" w:lineRule="auto"/>
      </w:pPr>
      <w:r>
        <w:rPr>
          <w:rFonts w:ascii="Arial" w:hAnsi="Arial" w:eastAsia="Arial" w:cs="Arial"/>
          <w:b w:val="0"/>
          <w:bCs w:val="0"/>
          <w:color w:val="595959"/>
          <w:sz w:val="22"/>
          <w:szCs w:val="22"/>
        </w:rPr>
        <w:t>The solution is constrained to ServiceNow's native Import Set and Transform Map functionality. No custom scripting, third-party integration tools, or external middleware has been specified or is in scope for this phase.</w:t>
      </w:r>
    </w:p>
    <w:p w14:paraId="571C9B05">
      <w:pPr>
        <w:pStyle w:val="14"/>
        <w:numPr>
          <w:ilvl w:val="0"/>
          <w:numId w:val="2"/>
        </w:numPr>
        <w:spacing w:before="40" w:after="60" w:line="360" w:lineRule="auto"/>
      </w:pPr>
      <w:r>
        <w:rPr>
          <w:rFonts w:ascii="Arial" w:hAnsi="Arial" w:eastAsia="Arial" w:cs="Arial"/>
          <w:b w:val="0"/>
          <w:bCs w:val="0"/>
          <w:color w:val="595959"/>
          <w:sz w:val="22"/>
          <w:szCs w:val="22"/>
        </w:rPr>
        <w:t>The data ingestion mechanism is limited to a manually triggered, file-based upload process. Scheduled or event-driven import automation is explicitly out of scope for this engagement.</w:t>
      </w:r>
    </w:p>
    <w:p w14:paraId="5C45875A">
      <w:pPr>
        <w:pStyle w:val="14"/>
        <w:numPr>
          <w:ilvl w:val="0"/>
          <w:numId w:val="2"/>
        </w:numPr>
        <w:spacing w:before="40" w:after="60" w:line="360" w:lineRule="auto"/>
      </w:pPr>
      <w:r>
        <w:rPr>
          <w:rFonts w:ascii="Arial" w:hAnsi="Arial" w:eastAsia="Arial" w:cs="Arial"/>
          <w:b w:val="0"/>
          <w:bCs w:val="0"/>
          <w:color w:val="595959"/>
          <w:sz w:val="22"/>
          <w:szCs w:val="22"/>
        </w:rPr>
        <w:t>The Incident form configuration is limited to the addition of dot-walked read-only fields from the assigned User record. No modifications to the underlying data model, table schema, or business process logic are within scope.</w:t>
      </w:r>
    </w:p>
    <w:p w14:paraId="218B01C6">
      <w:pPr>
        <w:pStyle w:val="14"/>
        <w:numPr>
          <w:ilvl w:val="0"/>
          <w:numId w:val="2"/>
        </w:numPr>
        <w:spacing w:before="40" w:after="60" w:line="360" w:lineRule="auto"/>
      </w:pPr>
      <w:r>
        <w:rPr>
          <w:rFonts w:ascii="Arial" w:hAnsi="Arial" w:eastAsia="Arial" w:cs="Arial"/>
          <w:b w:val="0"/>
          <w:bCs w:val="0"/>
          <w:color w:val="595959"/>
          <w:sz w:val="22"/>
          <w:szCs w:val="22"/>
        </w:rPr>
        <w:t>The integrity of the source CSV data is outside the control of this project. The solution will process the data as provided, and no data cleansing, deduplication, or enrichment beyond standard Transform Map field mapping is included.</w:t>
      </w:r>
    </w:p>
    <w:p w14:paraId="53B05093">
      <w:pPr>
        <w:spacing w:before="80" w:after="0"/>
      </w:pPr>
    </w:p>
    <w:p w14:paraId="4E3DAA30">
      <w:pPr>
        <w:pStyle w:val="2"/>
        <w:pBdr>
          <w:left w:val="single" w:color="2E75B6" w:sz="28" w:space="8"/>
        </w:pBdr>
        <w:spacing w:before="320" w:after="120"/>
      </w:pPr>
      <w:r>
        <w:rPr>
          <w:rFonts w:ascii="Arial" w:hAnsi="Arial" w:eastAsia="Arial" w:cs="Arial"/>
          <w:b/>
          <w:bCs/>
          <w:caps w:val="0"/>
          <w:color w:val="1F3864"/>
          <w:sz w:val="28"/>
          <w:szCs w:val="28"/>
        </w:rPr>
        <w:t>8. INITIAL TECHNICAL APPROACH</w:t>
      </w:r>
    </w:p>
    <w:p w14:paraId="69A7CD7F">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8.1  Import Sets</w:t>
      </w:r>
    </w:p>
    <w:p w14:paraId="5A445A17"/>
    <w:p w14:paraId="55A0751E">
      <w:pPr>
        <w:spacing w:before="60" w:after="100" w:line="360" w:lineRule="auto"/>
        <w:jc w:val="both"/>
      </w:pPr>
      <w:r>
        <w:rPr>
          <w:rFonts w:ascii="Arial" w:hAnsi="Arial" w:eastAsia="Arial" w:cs="Arial"/>
          <w:color w:val="595959"/>
          <w:sz w:val="22"/>
          <w:szCs w:val="22"/>
        </w:rPr>
        <w:t>ServiceNow's Import Sets module will be used to receive and stage the incoming CSV file data. An Import Set table will be created to temporarily hold the raw source records in a structured format, acting as an intermediary between the external data file and the target User table. This staging mechanism ensures that the transformation and mapping logic is applied in a controlled manner before any data is written to production tables.</w:t>
      </w:r>
    </w:p>
    <w:p w14:paraId="7CA7D6B2">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8.2  Transform Maps</w:t>
      </w:r>
    </w:p>
    <w:p w14:paraId="1A0C74CA"/>
    <w:p w14:paraId="38A39156">
      <w:pPr>
        <w:spacing w:before="60" w:after="100" w:line="360" w:lineRule="auto"/>
        <w:jc w:val="both"/>
      </w:pPr>
      <w:r>
        <w:rPr>
          <w:rFonts w:ascii="Arial" w:hAnsi="Arial" w:eastAsia="Arial" w:cs="Arial"/>
          <w:color w:val="595959"/>
          <w:sz w:val="22"/>
          <w:szCs w:val="22"/>
        </w:rPr>
        <w:t>A Transform Map will be configured to define the rules by which data is moved from the Import Set staging table to the target User table [sys_user]. The Transform Map will specify field-level mappings between source and target, including the resolution of reference fields such as Department and Manager. The auto-mapping capability within the Transform Map interface will be utilised where source field names align directly with target field names, reducing configuration effort and the risk of manual mapping errors.</w:t>
      </w:r>
    </w:p>
    <w:p w14:paraId="4AAD29A5">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8.3  Reference Field Mapping for Manager</w:t>
      </w:r>
    </w:p>
    <w:p w14:paraId="70587172"/>
    <w:p w14:paraId="566A05C7">
      <w:pPr>
        <w:spacing w:before="60" w:after="100" w:line="360" w:lineRule="auto"/>
        <w:jc w:val="both"/>
      </w:pPr>
      <w:r>
        <w:rPr>
          <w:rFonts w:ascii="Arial" w:hAnsi="Arial" w:eastAsia="Arial" w:cs="Arial"/>
          <w:color w:val="595959"/>
          <w:sz w:val="22"/>
          <w:szCs w:val="22"/>
        </w:rPr>
        <w:t>The Manager field in the User table is a reference field that points to another record within the same [sys_user] table. Mapping this field will require the Transform Map to perform a reference lookup — resolving the manager's name or identifier from the source data against existing User records — and storing the resulting system reference in the employee's User record. This constitutes the relationship mapping component of the solution and is a key technical consideration for the Design Phase.</w:t>
      </w:r>
    </w:p>
    <w:p w14:paraId="47895A26">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8.4  Dot Walking on the Incident Form</w:t>
      </w:r>
    </w:p>
    <w:p w14:paraId="746F7098"/>
    <w:p w14:paraId="66B5F3A8">
      <w:pPr>
        <w:spacing w:before="60" w:after="100" w:line="360" w:lineRule="auto"/>
        <w:jc w:val="both"/>
      </w:pPr>
      <w:r>
        <w:rPr>
          <w:rFonts w:ascii="Arial" w:hAnsi="Arial" w:eastAsia="Arial" w:cs="Arial"/>
          <w:color w:val="595959"/>
          <w:sz w:val="22"/>
          <w:szCs w:val="22"/>
        </w:rPr>
        <w:t>ServiceNow's dot-walking capability allows fields on a form to display values from related records by traversing reference field relationships. To surface the assigned user's Department and the Manager's Email Address on the Incident form, dot-walked field configurations will be added to the Incident table's form view. The Manager's Email Address will be retrieved by traversing from the User record's Manager reference field to the Manager's email field — a second-level traversal. These fields will be presented in a read-only capacity, automatically populated based on the current record's relational context.</w:t>
      </w:r>
    </w:p>
    <w:p w14:paraId="0815861B">
      <w:pPr>
        <w:spacing w:before="120" w:after="0"/>
      </w:pPr>
    </w:p>
    <w:p w14:paraId="45D79F7A">
      <w:pPr>
        <w:pBdr>
          <w:bottom w:val="single" w:color="D0D8E8" w:sz="6" w:space="1"/>
        </w:pBdr>
        <w:spacing w:before="120" w:after="120"/>
      </w:pPr>
    </w:p>
    <w:p w14:paraId="07A77C00">
      <w:pPr>
        <w:spacing w:before="120" w:after="0"/>
        <w:jc w:val="center"/>
      </w:pPr>
    </w:p>
    <w:sectPr>
      <w:headerReference r:id="rId3"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4D89E">
    <w:pPr>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spacing w:before="40" w:after="60"/>
        <w:ind w:left="720" w:hanging="360"/>
      </w:pPr>
    </w:lvl>
  </w:abstractNum>
  <w:abstractNum w:abstractNumId="1">
    <w:nsid w:val="30F47347"/>
    <w:multiLevelType w:val="singleLevel"/>
    <w:tmpl w:val="30F47347"/>
    <w:lvl w:ilvl="0" w:tentative="0">
      <w:start w:val="1"/>
      <w:numFmt w:val="decimal"/>
      <w:suff w:val="space"/>
      <w:lvlText w:val="%1."/>
      <w:lvlJc w:val="left"/>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20321B57"/>
    <w:rsid w:val="269059F2"/>
    <w:rsid w:val="2B8A4E7D"/>
    <w:rsid w:val="40AB4AE7"/>
    <w:rsid w:val="794862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595959"/>
      <w:sz w:val="22"/>
      <w:szCs w:val="22"/>
    </w:rPr>
  </w:style>
  <w:style w:type="paragraph" w:styleId="2">
    <w:name w:val="heading 1"/>
    <w:next w:val="1"/>
    <w:qFormat/>
    <w:uiPriority w:val="0"/>
    <w:pPr>
      <w:spacing w:before="320" w:after="120"/>
      <w:outlineLvl w:val="0"/>
    </w:pPr>
    <w:rPr>
      <w:rFonts w:ascii="Arial" w:hAnsi="Arial" w:eastAsia="Arial" w:cs="Arial"/>
      <w:b/>
      <w:bCs/>
      <w:color w:val="1F3864"/>
      <w:sz w:val="28"/>
      <w:szCs w:val="28"/>
    </w:rPr>
  </w:style>
  <w:style w:type="paragraph" w:styleId="3">
    <w:name w:val="heading 2"/>
    <w:next w:val="1"/>
    <w:qFormat/>
    <w:uiPriority w:val="0"/>
    <w:pPr>
      <w:spacing w:before="220" w:after="8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color w:val="595959"/>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color w:val="595959"/>
      <w:sz w:val="56"/>
      <w:szCs w:val="56"/>
    </w:rPr>
  </w:style>
  <w:style w:type="paragraph" w:styleId="14">
    <w:name w:val="List Paragraph"/>
    <w:qFormat/>
    <w:uiPriority w:val="0"/>
    <w:rPr>
      <w:rFonts w:ascii="Arial" w:hAnsi="Arial" w:eastAsia="Arial" w:cs="Arial"/>
      <w:color w:val="595959"/>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2026-03-08T22:53:00Z</dcterms:created>
  <dc:creator>Un-named</dc:creator>
  <cp:lastModifiedBy>WPS_1762942750</cp:lastModifiedBy>
  <dcterms:modified xsi:type="dcterms:W3CDTF">2026-03-09T00:24:19Z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B434DC140DA245BC99DBF7ED794AF5E5_13</vt:lpwstr>
  </property>
</Properties>
</file>