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662" w:tblpY="1124"/>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F6F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nil"/>
              <w:left w:val="nil"/>
              <w:bottom w:val="nil"/>
              <w:right w:val="nil"/>
            </w:tcBorders>
            <w:shd w:val="clear" w:color="auto" w:fill="1F3864"/>
            <w:tcMar>
              <w:top w:w="360" w:type="dxa"/>
              <w:left w:w="360" w:type="dxa"/>
              <w:bottom w:w="360" w:type="dxa"/>
              <w:right w:w="360" w:type="dxa"/>
            </w:tcMar>
          </w:tcPr>
          <w:p w14:paraId="4A1F1663">
            <w:pPr>
              <w:spacing w:before="0" w:after="80"/>
            </w:pPr>
            <w:r>
              <w:rPr>
                <w:rFonts w:hint="default" w:cs="Arial"/>
                <w:b/>
                <w:bCs/>
                <w:color w:val="FFFFFF"/>
                <w:sz w:val="40"/>
                <w:szCs w:val="40"/>
                <w:lang w:val="en-US"/>
              </w:rPr>
              <w:t xml:space="preserve">7. </w:t>
            </w:r>
            <w:r>
              <w:rPr>
                <w:rFonts w:ascii="Arial" w:hAnsi="Arial" w:eastAsia="Arial" w:cs="Arial"/>
                <w:b/>
                <w:bCs/>
                <w:color w:val="FFFFFF"/>
                <w:sz w:val="40"/>
                <w:szCs w:val="40"/>
              </w:rPr>
              <w:t>PROJECT DEMONSTRATION PHASE</w:t>
            </w:r>
          </w:p>
          <w:p w14:paraId="475764B7">
            <w:pPr>
              <w:spacing w:before="0" w:after="40"/>
            </w:pPr>
            <w:r>
              <w:rPr>
                <w:rFonts w:ascii="Arial" w:hAnsi="Arial" w:eastAsia="Arial" w:cs="Arial"/>
                <w:i/>
                <w:iCs/>
                <w:color w:val="C8D8EE"/>
                <w:sz w:val="22"/>
                <w:szCs w:val="22"/>
              </w:rPr>
              <w:t>Automating Employee Data Import &amp; Relationship Mapping Using Import Sets and Dot Walking</w:t>
            </w:r>
          </w:p>
        </w:tc>
      </w:tr>
    </w:tbl>
    <w:p w14:paraId="355D709D">
      <w:pPr>
        <w:pStyle w:val="2"/>
        <w:pBdr>
          <w:left w:val="single" w:color="2E75B6" w:sz="28" w:space="8"/>
        </w:pBdr>
        <w:spacing w:before="340" w:after="120"/>
      </w:pPr>
      <w:r>
        <w:rPr>
          <w:rFonts w:ascii="Arial" w:hAnsi="Arial" w:eastAsia="Arial" w:cs="Arial"/>
          <w:b/>
          <w:bCs/>
          <w:color w:val="1F3864"/>
          <w:sz w:val="28"/>
          <w:szCs w:val="28"/>
        </w:rPr>
        <w:t>1. DEMONSTRATION OBJECTIVES</w:t>
      </w:r>
    </w:p>
    <w:p w14:paraId="43184537">
      <w:pPr>
        <w:spacing w:before="60" w:after="100" w:line="360" w:lineRule="auto"/>
        <w:ind w:firstLine="770" w:firstLineChars="350"/>
        <w:jc w:val="both"/>
        <w:rPr>
          <w:rFonts w:ascii="Arial" w:hAnsi="Arial" w:eastAsia="Arial" w:cs="Arial"/>
          <w:color w:val="595959"/>
          <w:sz w:val="22"/>
          <w:szCs w:val="22"/>
        </w:rPr>
      </w:pPr>
      <w:r>
        <w:rPr>
          <w:rFonts w:ascii="Arial" w:hAnsi="Arial" w:eastAsia="Arial" w:cs="Arial"/>
          <w:color w:val="595959"/>
          <w:sz w:val="22"/>
          <w:szCs w:val="22"/>
        </w:rPr>
        <w:t>The Demonstration Phase is the formal presentation of the completed ServiceNow automation solution to the project's key stakeholders. Its primary purpose is to provide stakeholders with direct, evidence-based confirmation that the solution functions as specified, before the project is formally closed and the solution is handed over to the operations team. This document governs the planning, execution, and recording of all demonstration and User Acceptance Testing activities.</w:t>
      </w:r>
    </w:p>
    <w:p w14:paraId="3A891325">
      <w:pPr>
        <w:spacing w:before="60" w:after="100" w:line="360" w:lineRule="auto"/>
        <w:ind w:firstLine="660" w:firstLineChars="300"/>
        <w:jc w:val="both"/>
      </w:pPr>
      <w:r>
        <w:rPr>
          <w:rFonts w:ascii="Arial" w:hAnsi="Arial" w:eastAsia="Arial" w:cs="Arial"/>
          <w:color w:val="595959"/>
          <w:sz w:val="22"/>
          <w:szCs w:val="22"/>
        </w:rPr>
        <w:t>This phase represents the transition point between development and operations. The solution has been built and internally verified during the Development Phase; the Demonstration Phase now invites the business and technical stakeholders who funded and scoped the project to observe the working system, validate it against the original requirements, and provide their formal acceptance. Until that acceptance is received, the project remains open and the development team retains responsibility for the solution.</w:t>
      </w:r>
    </w:p>
    <w:p w14:paraId="2A8A0702">
      <w:pPr>
        <w:pStyle w:val="3"/>
        <w:spacing w:before="220" w:after="80"/>
      </w:pPr>
      <w:r>
        <w:rPr>
          <w:rFonts w:ascii="Arial" w:hAnsi="Arial" w:eastAsia="Arial" w:cs="Arial"/>
          <w:b/>
          <w:bCs/>
          <w:color w:val="2E75B6"/>
          <w:sz w:val="24"/>
          <w:szCs w:val="24"/>
        </w:rPr>
        <w:t>1.1  Success Criteria for This Phase</w:t>
      </w:r>
    </w:p>
    <w:p w14:paraId="7DB722B3">
      <w:pPr>
        <w:spacing w:before="60" w:after="0"/>
      </w:pPr>
    </w:p>
    <w:p w14:paraId="182AAABA">
      <w:pPr>
        <w:pStyle w:val="14"/>
        <w:numPr>
          <w:ilvl w:val="0"/>
          <w:numId w:val="1"/>
        </w:numPr>
        <w:spacing w:before="40" w:after="60" w:line="360" w:lineRule="auto"/>
        <w:jc w:val="both"/>
      </w:pPr>
      <w:r>
        <w:rPr>
          <w:rFonts w:ascii="Arial" w:hAnsi="Arial" w:eastAsia="Arial" w:cs="Arial"/>
          <w:b/>
          <w:bCs/>
          <w:color w:val="1F3864"/>
          <w:sz w:val="22"/>
          <w:szCs w:val="22"/>
        </w:rPr>
        <w:t xml:space="preserve">Requirements Validation: </w:t>
      </w:r>
      <w:r>
        <w:rPr>
          <w:rFonts w:ascii="Arial" w:hAnsi="Arial" w:eastAsia="Arial" w:cs="Arial"/>
          <w:color w:val="595959"/>
          <w:sz w:val="22"/>
          <w:szCs w:val="22"/>
        </w:rPr>
        <w:t>Stakeholders confirm, via live demonstration, that all six functional requirements (FR-01 through FR-05) and all applicable acceptance criteria (AC-01 through AC-06) from the Requirement Analysis document are satisfied by the implemented solution.</w:t>
      </w:r>
    </w:p>
    <w:p w14:paraId="294B19E8">
      <w:pPr>
        <w:pStyle w:val="14"/>
        <w:numPr>
          <w:ilvl w:val="0"/>
          <w:numId w:val="1"/>
        </w:numPr>
        <w:spacing w:before="40" w:after="60" w:line="360" w:lineRule="auto"/>
        <w:jc w:val="both"/>
      </w:pPr>
      <w:r>
        <w:rPr>
          <w:rFonts w:ascii="Arial" w:hAnsi="Arial" w:eastAsia="Arial" w:cs="Arial"/>
          <w:b/>
          <w:bCs/>
          <w:color w:val="1F3864"/>
          <w:sz w:val="22"/>
          <w:szCs w:val="22"/>
        </w:rPr>
        <w:t xml:space="preserve">UAT Completion: </w:t>
      </w:r>
      <w:r>
        <w:rPr>
          <w:rFonts w:ascii="Arial" w:hAnsi="Arial" w:eastAsia="Arial" w:cs="Arial"/>
          <w:color w:val="595959"/>
          <w:sz w:val="22"/>
          <w:szCs w:val="22"/>
        </w:rPr>
        <w:t>All critical and high-priority User Acceptance Test cases (TC-01 through TC-07) have been executed, results recorded, and no outstanding Critical or High severity defects remain unresolved.</w:t>
      </w:r>
    </w:p>
    <w:p w14:paraId="0AFEE4A6">
      <w:pPr>
        <w:pStyle w:val="14"/>
        <w:numPr>
          <w:ilvl w:val="0"/>
          <w:numId w:val="1"/>
        </w:numPr>
        <w:spacing w:before="40" w:after="60" w:line="360" w:lineRule="auto"/>
        <w:jc w:val="both"/>
      </w:pPr>
      <w:r>
        <w:rPr>
          <w:rFonts w:ascii="Arial" w:hAnsi="Arial" w:eastAsia="Arial" w:cs="Arial"/>
          <w:b/>
          <w:bCs/>
          <w:color w:val="1F3864"/>
          <w:sz w:val="22"/>
          <w:szCs w:val="22"/>
        </w:rPr>
        <w:t xml:space="preserve">Formal Sign-Off: </w:t>
      </w:r>
      <w:r>
        <w:rPr>
          <w:rFonts w:ascii="Arial" w:hAnsi="Arial" w:eastAsia="Arial" w:cs="Arial"/>
          <w:color w:val="595959"/>
          <w:sz w:val="22"/>
          <w:szCs w:val="22"/>
        </w:rPr>
        <w:t>The Project Acceptance Form in Section 8 of this document has been signed by the Project Sponsor, Business Owner, IT Operations Manager, Service Desk Manager, and Project Manager.</w:t>
      </w:r>
    </w:p>
    <w:p w14:paraId="0F129C69">
      <w:pPr>
        <w:pStyle w:val="14"/>
        <w:numPr>
          <w:ilvl w:val="0"/>
          <w:numId w:val="1"/>
        </w:numPr>
        <w:spacing w:before="40" w:after="60" w:line="360" w:lineRule="auto"/>
        <w:jc w:val="both"/>
      </w:pPr>
      <w:r>
        <w:rPr>
          <w:rFonts w:ascii="Arial" w:hAnsi="Arial" w:eastAsia="Arial" w:cs="Arial"/>
          <w:b/>
          <w:bCs/>
          <w:color w:val="1F3864"/>
          <w:sz w:val="22"/>
          <w:szCs w:val="22"/>
        </w:rPr>
        <w:t xml:space="preserve">Handover Readiness: </w:t>
      </w:r>
      <w:r>
        <w:rPr>
          <w:rFonts w:ascii="Arial" w:hAnsi="Arial" w:eastAsia="Arial" w:cs="Arial"/>
          <w:color w:val="595959"/>
          <w:sz w:val="22"/>
          <w:szCs w:val="22"/>
        </w:rPr>
        <w:t>The operations team confirms they have received and reviewed the Project Documentation Phase document (Phase 6) and are prepared to assume operational responsibility for the solution.</w:t>
      </w:r>
    </w:p>
    <w:p w14:paraId="7B29BA9D">
      <w:pPr>
        <w:spacing w:before="80" w:after="0"/>
      </w:pPr>
    </w:p>
    <w:p w14:paraId="76C00302">
      <w:pPr>
        <w:spacing w:before="80" w:after="0"/>
      </w:pPr>
    </w:p>
    <w:p w14:paraId="274D78D9">
      <w:pPr>
        <w:pBdr>
          <w:bottom w:val="single" w:color="D0D8E8" w:sz="6" w:space="1"/>
        </w:pBdr>
        <w:spacing w:before="120" w:after="120"/>
      </w:pPr>
    </w:p>
    <w:p w14:paraId="50290B74">
      <w:pPr>
        <w:pStyle w:val="2"/>
        <w:pBdr>
          <w:left w:val="single" w:color="2E75B6" w:sz="28" w:space="8"/>
        </w:pBdr>
        <w:spacing w:before="340" w:after="120"/>
      </w:pPr>
      <w:r>
        <w:rPr>
          <w:rFonts w:ascii="Arial" w:hAnsi="Arial" w:eastAsia="Arial" w:cs="Arial"/>
          <w:b/>
          <w:bCs/>
          <w:color w:val="1F3864"/>
          <w:sz w:val="28"/>
          <w:szCs w:val="28"/>
        </w:rPr>
        <w:t>2. DEMONSTRATION SCOPE</w:t>
      </w:r>
    </w:p>
    <w:p w14:paraId="4424A213">
      <w:pPr>
        <w:pStyle w:val="3"/>
        <w:spacing w:before="220" w:after="80"/>
      </w:pPr>
      <w:r>
        <w:rPr>
          <w:rFonts w:ascii="Arial" w:hAnsi="Arial" w:eastAsia="Arial" w:cs="Arial"/>
          <w:b/>
          <w:bCs/>
          <w:color w:val="2E75B6"/>
          <w:sz w:val="24"/>
          <w:szCs w:val="24"/>
        </w:rPr>
        <w:t>2.1  In-Scope for Demonstration</w:t>
      </w:r>
    </w:p>
    <w:p w14:paraId="78A0FB77">
      <w:pPr>
        <w:spacing w:before="80" w:after="0"/>
      </w:pPr>
    </w:p>
    <w:tbl>
      <w:tblPr>
        <w:tblStyle w:val="9"/>
        <w:tblW w:w="9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26"/>
        <w:gridCol w:w="3553"/>
        <w:gridCol w:w="1692"/>
        <w:gridCol w:w="2326"/>
      </w:tblGrid>
      <w:tr w14:paraId="7FEB8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14" w:hRule="atLeast"/>
          <w:tblHeader/>
        </w:trPr>
        <w:tc>
          <w:tcPr>
            <w:tcW w:w="2326" w:type="dxa"/>
            <w:tcBorders>
              <w:top w:val="nil"/>
              <w:left w:val="nil"/>
              <w:bottom w:val="nil"/>
              <w:right w:val="single" w:color="2E75B6" w:sz="4" w:space="0"/>
            </w:tcBorders>
            <w:shd w:val="clear" w:color="auto" w:fill="1F3864"/>
            <w:tcMar>
              <w:top w:w="80" w:type="dxa"/>
              <w:left w:w="120" w:type="dxa"/>
              <w:bottom w:w="80" w:type="dxa"/>
              <w:right w:w="120" w:type="dxa"/>
            </w:tcMar>
          </w:tcPr>
          <w:p w14:paraId="6DFF8AA6">
            <w:r>
              <w:rPr>
                <w:rFonts w:ascii="Arial" w:hAnsi="Arial" w:eastAsia="Arial" w:cs="Arial"/>
                <w:b/>
                <w:bCs/>
                <w:color w:val="FFFFFF"/>
                <w:sz w:val="19"/>
                <w:szCs w:val="19"/>
              </w:rPr>
              <w:t>Feature</w:t>
            </w:r>
          </w:p>
        </w:tc>
        <w:tc>
          <w:tcPr>
            <w:tcW w:w="3553" w:type="dxa"/>
            <w:tcBorders>
              <w:top w:val="nil"/>
              <w:left w:val="nil"/>
              <w:bottom w:val="nil"/>
              <w:right w:val="single" w:color="2E75B6" w:sz="4" w:space="0"/>
            </w:tcBorders>
            <w:shd w:val="clear" w:color="auto" w:fill="1F3864"/>
            <w:tcMar>
              <w:top w:w="80" w:type="dxa"/>
              <w:left w:w="120" w:type="dxa"/>
              <w:bottom w:w="80" w:type="dxa"/>
              <w:right w:w="120" w:type="dxa"/>
            </w:tcMar>
          </w:tcPr>
          <w:p w14:paraId="2743C75F">
            <w:r>
              <w:rPr>
                <w:rFonts w:ascii="Arial" w:hAnsi="Arial" w:eastAsia="Arial" w:cs="Arial"/>
                <w:b/>
                <w:bCs/>
                <w:color w:val="FFFFFF"/>
                <w:sz w:val="19"/>
                <w:szCs w:val="19"/>
              </w:rPr>
              <w:t>What Will Be Shown</w:t>
            </w:r>
          </w:p>
        </w:tc>
        <w:tc>
          <w:tcPr>
            <w:tcW w:w="1692" w:type="dxa"/>
            <w:tcBorders>
              <w:top w:val="nil"/>
              <w:left w:val="nil"/>
              <w:bottom w:val="nil"/>
              <w:right w:val="single" w:color="2E75B6" w:sz="4" w:space="0"/>
            </w:tcBorders>
            <w:shd w:val="clear" w:color="auto" w:fill="1F3864"/>
            <w:tcMar>
              <w:top w:w="80" w:type="dxa"/>
              <w:left w:w="120" w:type="dxa"/>
              <w:bottom w:w="80" w:type="dxa"/>
              <w:right w:w="120" w:type="dxa"/>
            </w:tcMar>
          </w:tcPr>
          <w:p w14:paraId="5B5B875D">
            <w:r>
              <w:rPr>
                <w:rFonts w:ascii="Arial" w:hAnsi="Arial" w:eastAsia="Arial" w:cs="Arial"/>
                <w:b/>
                <w:bCs/>
                <w:color w:val="FFFFFF"/>
                <w:sz w:val="19"/>
                <w:szCs w:val="19"/>
              </w:rPr>
              <w:t>Requirement Ref.</w:t>
            </w:r>
          </w:p>
        </w:tc>
        <w:tc>
          <w:tcPr>
            <w:tcW w:w="2326" w:type="dxa"/>
            <w:tcBorders>
              <w:top w:val="nil"/>
              <w:left w:val="nil"/>
              <w:bottom w:val="nil"/>
              <w:right w:val="nil"/>
            </w:tcBorders>
            <w:shd w:val="clear" w:color="auto" w:fill="1F3864"/>
            <w:tcMar>
              <w:top w:w="80" w:type="dxa"/>
              <w:left w:w="120" w:type="dxa"/>
              <w:bottom w:w="80" w:type="dxa"/>
              <w:right w:w="120" w:type="dxa"/>
            </w:tcMar>
          </w:tcPr>
          <w:p w14:paraId="53E3A931">
            <w:r>
              <w:rPr>
                <w:rFonts w:ascii="Arial" w:hAnsi="Arial" w:eastAsia="Arial" w:cs="Arial"/>
                <w:b/>
                <w:bCs/>
                <w:color w:val="FFFFFF"/>
                <w:sz w:val="19"/>
                <w:szCs w:val="19"/>
              </w:rPr>
              <w:t>Acceptance Criteria Ref.</w:t>
            </w:r>
          </w:p>
        </w:tc>
      </w:tr>
      <w:tr w14:paraId="45625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9" w:hRule="atLeast"/>
        </w:trPr>
        <w:tc>
          <w:tcPr>
            <w:tcW w:w="2326"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01097E77">
            <w:r>
              <w:rPr>
                <w:rFonts w:ascii="Arial" w:hAnsi="Arial" w:eastAsia="Arial" w:cs="Arial"/>
                <w:b/>
                <w:bCs/>
                <w:color w:val="595959"/>
                <w:sz w:val="19"/>
                <w:szCs w:val="19"/>
              </w:rPr>
              <w:t>Data Source Preparation</w:t>
            </w:r>
          </w:p>
        </w:tc>
        <w:tc>
          <w:tcPr>
            <w:tcW w:w="3553"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EF10CE9">
            <w:r>
              <w:rPr>
                <w:rFonts w:ascii="Arial" w:hAnsi="Arial" w:eastAsia="Arial" w:cs="Arial"/>
                <w:b w:val="0"/>
                <w:bCs w:val="0"/>
                <w:color w:val="595959"/>
                <w:sz w:val="19"/>
                <w:szCs w:val="19"/>
              </w:rPr>
              <w:t>The prepared employee data CSV file with all five column headers and sample records, including manager references.</w:t>
            </w:r>
          </w:p>
        </w:tc>
        <w:tc>
          <w:tcPr>
            <w:tcW w:w="1692"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41C8976C">
            <w:r>
              <w:rPr>
                <w:rFonts w:ascii="Arial" w:hAnsi="Arial" w:eastAsia="Arial" w:cs="Arial"/>
                <w:b w:val="0"/>
                <w:bCs w:val="0"/>
                <w:color w:val="595959"/>
                <w:sz w:val="19"/>
                <w:szCs w:val="19"/>
              </w:rPr>
              <w:t>FR-01</w:t>
            </w:r>
          </w:p>
        </w:tc>
        <w:tc>
          <w:tcPr>
            <w:tcW w:w="2326"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41F835E">
            <w:r>
              <w:rPr>
                <w:rFonts w:ascii="Arial" w:hAnsi="Arial" w:eastAsia="Arial" w:cs="Arial"/>
                <w:b w:val="0"/>
                <w:bCs w:val="0"/>
                <w:color w:val="595959"/>
                <w:sz w:val="19"/>
                <w:szCs w:val="19"/>
              </w:rPr>
              <w:t>AC-01</w:t>
            </w:r>
          </w:p>
        </w:tc>
      </w:tr>
      <w:tr w14:paraId="6090F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9" w:hRule="atLeast"/>
        </w:trPr>
        <w:tc>
          <w:tcPr>
            <w:tcW w:w="2326"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37FD650B">
            <w:r>
              <w:rPr>
                <w:rFonts w:ascii="Arial" w:hAnsi="Arial" w:eastAsia="Arial" w:cs="Arial"/>
                <w:b/>
                <w:bCs/>
                <w:color w:val="595959"/>
                <w:sz w:val="19"/>
                <w:szCs w:val="19"/>
              </w:rPr>
              <w:t>Import Set Upload</w:t>
            </w:r>
          </w:p>
        </w:tc>
        <w:tc>
          <w:tcPr>
            <w:tcW w:w="3553"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E84502C">
            <w:r>
              <w:rPr>
                <w:rFonts w:ascii="Arial" w:hAnsi="Arial" w:eastAsia="Arial" w:cs="Arial"/>
                <w:b w:val="0"/>
                <w:bCs w:val="0"/>
                <w:color w:val="595959"/>
                <w:sz w:val="19"/>
                <w:szCs w:val="19"/>
              </w:rPr>
              <w:t>Navigation to Load Data, selection of [u_import_employee] table, file upload, and confirmation of records in the staging table.</w:t>
            </w:r>
          </w:p>
        </w:tc>
        <w:tc>
          <w:tcPr>
            <w:tcW w:w="1692"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18F04A1">
            <w:r>
              <w:rPr>
                <w:rFonts w:ascii="Arial" w:hAnsi="Arial" w:eastAsia="Arial" w:cs="Arial"/>
                <w:b w:val="0"/>
                <w:bCs w:val="0"/>
                <w:color w:val="595959"/>
                <w:sz w:val="19"/>
                <w:szCs w:val="19"/>
              </w:rPr>
              <w:t>FR-01, FR-02</w:t>
            </w:r>
          </w:p>
        </w:tc>
        <w:tc>
          <w:tcPr>
            <w:tcW w:w="2326"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DF15625">
            <w:r>
              <w:rPr>
                <w:rFonts w:ascii="Arial" w:hAnsi="Arial" w:eastAsia="Arial" w:cs="Arial"/>
                <w:b w:val="0"/>
                <w:bCs w:val="0"/>
                <w:color w:val="595959"/>
                <w:sz w:val="19"/>
                <w:szCs w:val="19"/>
              </w:rPr>
              <w:t>AC-01</w:t>
            </w:r>
          </w:p>
        </w:tc>
      </w:tr>
      <w:tr w14:paraId="3B0E4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512" w:hRule="atLeast"/>
        </w:trPr>
        <w:tc>
          <w:tcPr>
            <w:tcW w:w="2326"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1A4D5DFD">
            <w:r>
              <w:rPr>
                <w:rFonts w:ascii="Arial" w:hAnsi="Arial" w:eastAsia="Arial" w:cs="Arial"/>
                <w:b/>
                <w:bCs/>
                <w:color w:val="595959"/>
                <w:sz w:val="19"/>
                <w:szCs w:val="19"/>
              </w:rPr>
              <w:t>Transform Map Configuration</w:t>
            </w:r>
          </w:p>
        </w:tc>
        <w:tc>
          <w:tcPr>
            <w:tcW w:w="3553"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65B9AB4">
            <w:r>
              <w:rPr>
                <w:rFonts w:ascii="Arial" w:hAnsi="Arial" w:eastAsia="Arial" w:cs="Arial"/>
                <w:b w:val="0"/>
                <w:bCs w:val="0"/>
                <w:color w:val="595959"/>
                <w:sz w:val="19"/>
                <w:szCs w:val="19"/>
              </w:rPr>
              <w:t>The configured Transform Map showing source table, target table, all five Field Maps including the coalesce setting on email and the manager mapping.</w:t>
            </w:r>
          </w:p>
        </w:tc>
        <w:tc>
          <w:tcPr>
            <w:tcW w:w="1692"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130E83B">
            <w:r>
              <w:rPr>
                <w:rFonts w:ascii="Arial" w:hAnsi="Arial" w:eastAsia="Arial" w:cs="Arial"/>
                <w:b w:val="0"/>
                <w:bCs w:val="0"/>
                <w:color w:val="595959"/>
                <w:sz w:val="19"/>
                <w:szCs w:val="19"/>
              </w:rPr>
              <w:t>FR-03</w:t>
            </w:r>
          </w:p>
        </w:tc>
        <w:tc>
          <w:tcPr>
            <w:tcW w:w="2326"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2E79EFC">
            <w:r>
              <w:rPr>
                <w:rFonts w:ascii="Arial" w:hAnsi="Arial" w:eastAsia="Arial" w:cs="Arial"/>
                <w:b w:val="0"/>
                <w:bCs w:val="0"/>
                <w:color w:val="595959"/>
                <w:sz w:val="19"/>
                <w:szCs w:val="19"/>
              </w:rPr>
              <w:t>AC-02</w:t>
            </w:r>
          </w:p>
        </w:tc>
      </w:tr>
      <w:tr w14:paraId="06BDC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9" w:hRule="atLeast"/>
        </w:trPr>
        <w:tc>
          <w:tcPr>
            <w:tcW w:w="2326"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3F0FEFAC">
            <w:r>
              <w:rPr>
                <w:rFonts w:ascii="Arial" w:hAnsi="Arial" w:eastAsia="Arial" w:cs="Arial"/>
                <w:b/>
                <w:bCs/>
                <w:color w:val="595959"/>
                <w:sz w:val="19"/>
                <w:szCs w:val="19"/>
              </w:rPr>
              <w:t>Transform Map Execution</w:t>
            </w:r>
          </w:p>
        </w:tc>
        <w:tc>
          <w:tcPr>
            <w:tcW w:w="3553"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6F41064F">
            <w:r>
              <w:rPr>
                <w:rFonts w:ascii="Arial" w:hAnsi="Arial" w:eastAsia="Arial" w:cs="Arial"/>
                <w:b w:val="0"/>
                <w:bCs w:val="0"/>
                <w:color w:val="595959"/>
                <w:sz w:val="19"/>
                <w:szCs w:val="19"/>
              </w:rPr>
              <w:t>Live execution of the Transform Map and confirmation of Completed status in the Transform History record.</w:t>
            </w:r>
          </w:p>
        </w:tc>
        <w:tc>
          <w:tcPr>
            <w:tcW w:w="1692"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3EE5C810">
            <w:r>
              <w:rPr>
                <w:rFonts w:ascii="Arial" w:hAnsi="Arial" w:eastAsia="Arial" w:cs="Arial"/>
                <w:b w:val="0"/>
                <w:bCs w:val="0"/>
                <w:color w:val="595959"/>
                <w:sz w:val="19"/>
                <w:szCs w:val="19"/>
              </w:rPr>
              <w:t>FR-03</w:t>
            </w:r>
          </w:p>
        </w:tc>
        <w:tc>
          <w:tcPr>
            <w:tcW w:w="2326"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6698421A">
            <w:r>
              <w:rPr>
                <w:rFonts w:ascii="Arial" w:hAnsi="Arial" w:eastAsia="Arial" w:cs="Arial"/>
                <w:b w:val="0"/>
                <w:bCs w:val="0"/>
                <w:color w:val="595959"/>
                <w:sz w:val="19"/>
                <w:szCs w:val="19"/>
              </w:rPr>
              <w:t>AC-02</w:t>
            </w:r>
          </w:p>
        </w:tc>
      </w:tr>
      <w:tr w14:paraId="0E4A9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9" w:hRule="atLeast"/>
        </w:trPr>
        <w:tc>
          <w:tcPr>
            <w:tcW w:w="2326"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1CD5BBC7">
            <w:r>
              <w:rPr>
                <w:rFonts w:ascii="Arial" w:hAnsi="Arial" w:eastAsia="Arial" w:cs="Arial"/>
                <w:b/>
                <w:bCs/>
                <w:color w:val="595959"/>
                <w:sz w:val="19"/>
                <w:szCs w:val="19"/>
              </w:rPr>
              <w:t>User Record Verification</w:t>
            </w:r>
          </w:p>
        </w:tc>
        <w:tc>
          <w:tcPr>
            <w:tcW w:w="3553"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7154A8E">
            <w:r>
              <w:rPr>
                <w:rFonts w:ascii="Arial" w:hAnsi="Arial" w:eastAsia="Arial" w:cs="Arial"/>
                <w:b w:val="0"/>
                <w:bCs w:val="0"/>
                <w:color w:val="595959"/>
                <w:sz w:val="19"/>
                <w:szCs w:val="19"/>
              </w:rPr>
              <w:t>Navigation to [sys_user] to confirm four or more new user records with all fields populated, including the manager reference link.</w:t>
            </w:r>
          </w:p>
        </w:tc>
        <w:tc>
          <w:tcPr>
            <w:tcW w:w="1692"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4AB5D2E">
            <w:r>
              <w:rPr>
                <w:rFonts w:ascii="Arial" w:hAnsi="Arial" w:eastAsia="Arial" w:cs="Arial"/>
                <w:b w:val="0"/>
                <w:bCs w:val="0"/>
                <w:color w:val="595959"/>
                <w:sz w:val="19"/>
                <w:szCs w:val="19"/>
              </w:rPr>
              <w:t>FR-03</w:t>
            </w:r>
          </w:p>
        </w:tc>
        <w:tc>
          <w:tcPr>
            <w:tcW w:w="2326"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C139E16">
            <w:r>
              <w:rPr>
                <w:rFonts w:ascii="Arial" w:hAnsi="Arial" w:eastAsia="Arial" w:cs="Arial"/>
                <w:b w:val="0"/>
                <w:bCs w:val="0"/>
                <w:color w:val="595959"/>
                <w:sz w:val="19"/>
                <w:szCs w:val="19"/>
              </w:rPr>
              <w:t>AC-02, AC-03</w:t>
            </w:r>
          </w:p>
        </w:tc>
      </w:tr>
      <w:tr w14:paraId="6069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9" w:hRule="atLeast"/>
        </w:trPr>
        <w:tc>
          <w:tcPr>
            <w:tcW w:w="2326"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077C60C0">
            <w:r>
              <w:rPr>
                <w:rFonts w:ascii="Arial" w:hAnsi="Arial" w:eastAsia="Arial" w:cs="Arial"/>
                <w:b/>
                <w:bCs/>
                <w:color w:val="595959"/>
                <w:sz w:val="19"/>
                <w:szCs w:val="19"/>
              </w:rPr>
              <w:t>Incident Form Layout</w:t>
            </w:r>
          </w:p>
        </w:tc>
        <w:tc>
          <w:tcPr>
            <w:tcW w:w="3553"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19D7EAE">
            <w:r>
              <w:rPr>
                <w:rFonts w:ascii="Arial" w:hAnsi="Arial" w:eastAsia="Arial" w:cs="Arial"/>
                <w:b w:val="0"/>
                <w:bCs w:val="0"/>
                <w:color w:val="595959"/>
                <w:sz w:val="19"/>
                <w:szCs w:val="19"/>
              </w:rPr>
              <w:t>The Incident form showing the three dot-walked fields: Assigned to Department, Assigned to Email, and Assigned to Manager.</w:t>
            </w:r>
          </w:p>
        </w:tc>
        <w:tc>
          <w:tcPr>
            <w:tcW w:w="1692"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555073E">
            <w:r>
              <w:rPr>
                <w:rFonts w:ascii="Arial" w:hAnsi="Arial" w:eastAsia="Arial" w:cs="Arial"/>
                <w:b w:val="0"/>
                <w:bCs w:val="0"/>
                <w:color w:val="595959"/>
                <w:sz w:val="19"/>
                <w:szCs w:val="19"/>
              </w:rPr>
              <w:t>FR-05</w:t>
            </w:r>
          </w:p>
        </w:tc>
        <w:tc>
          <w:tcPr>
            <w:tcW w:w="2326"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5F4D515F">
            <w:r>
              <w:rPr>
                <w:rFonts w:ascii="Arial" w:hAnsi="Arial" w:eastAsia="Arial" w:cs="Arial"/>
                <w:b w:val="0"/>
                <w:bCs w:val="0"/>
                <w:color w:val="595959"/>
                <w:sz w:val="19"/>
                <w:szCs w:val="19"/>
              </w:rPr>
              <w:t>AC-04, AC-05</w:t>
            </w:r>
          </w:p>
        </w:tc>
      </w:tr>
      <w:tr w14:paraId="74B00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49" w:hRule="atLeast"/>
        </w:trPr>
        <w:tc>
          <w:tcPr>
            <w:tcW w:w="2326"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28CFB4F4">
            <w:r>
              <w:rPr>
                <w:rFonts w:ascii="Arial" w:hAnsi="Arial" w:eastAsia="Arial" w:cs="Arial"/>
                <w:b/>
                <w:bCs/>
                <w:color w:val="595959"/>
                <w:sz w:val="19"/>
                <w:szCs w:val="19"/>
              </w:rPr>
              <w:t>Auto-Population in Action</w:t>
            </w:r>
          </w:p>
        </w:tc>
        <w:tc>
          <w:tcPr>
            <w:tcW w:w="3553"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01531FE5">
            <w:r>
              <w:rPr>
                <w:rFonts w:ascii="Arial" w:hAnsi="Arial" w:eastAsia="Arial" w:cs="Arial"/>
                <w:b w:val="0"/>
                <w:bCs w:val="0"/>
                <w:color w:val="595959"/>
                <w:sz w:val="19"/>
                <w:szCs w:val="19"/>
              </w:rPr>
              <w:t>Live selection of an imported user in the Assigned to field and immediate auto-population of all three contextual fields.</w:t>
            </w:r>
          </w:p>
        </w:tc>
        <w:tc>
          <w:tcPr>
            <w:tcW w:w="1692"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24E8C012">
            <w:r>
              <w:rPr>
                <w:rFonts w:ascii="Arial" w:hAnsi="Arial" w:eastAsia="Arial" w:cs="Arial"/>
                <w:b w:val="0"/>
                <w:bCs w:val="0"/>
                <w:color w:val="595959"/>
                <w:sz w:val="19"/>
                <w:szCs w:val="19"/>
              </w:rPr>
              <w:t>FR-05</w:t>
            </w:r>
          </w:p>
        </w:tc>
        <w:tc>
          <w:tcPr>
            <w:tcW w:w="2326"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9AC6477">
            <w:r>
              <w:rPr>
                <w:rFonts w:ascii="Arial" w:hAnsi="Arial" w:eastAsia="Arial" w:cs="Arial"/>
                <w:b w:val="0"/>
                <w:bCs w:val="0"/>
                <w:color w:val="595959"/>
                <w:sz w:val="19"/>
                <w:szCs w:val="19"/>
              </w:rPr>
              <w:t>AC-04, AC-05, AC-06</w:t>
            </w:r>
          </w:p>
        </w:tc>
      </w:tr>
      <w:tr w14:paraId="133D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1" w:hRule="atLeast"/>
        </w:trPr>
        <w:tc>
          <w:tcPr>
            <w:tcW w:w="2326"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6444B6CD">
            <w:r>
              <w:rPr>
                <w:rFonts w:ascii="Arial" w:hAnsi="Arial" w:eastAsia="Arial" w:cs="Arial"/>
                <w:b/>
                <w:bCs/>
                <w:color w:val="595959"/>
                <w:sz w:val="19"/>
                <w:szCs w:val="19"/>
              </w:rPr>
              <w:t>Multi-User Update</w:t>
            </w:r>
          </w:p>
        </w:tc>
        <w:tc>
          <w:tcPr>
            <w:tcW w:w="3553"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1CAA0101">
            <w:r>
              <w:rPr>
                <w:rFonts w:ascii="Arial" w:hAnsi="Arial" w:eastAsia="Arial" w:cs="Arial"/>
                <w:b w:val="0"/>
                <w:bCs w:val="0"/>
                <w:color w:val="595959"/>
                <w:sz w:val="19"/>
                <w:szCs w:val="19"/>
              </w:rPr>
              <w:t>Changing the Assigned to field to a different imported user and confirming the three fields refresh with the new user's data.</w:t>
            </w:r>
          </w:p>
        </w:tc>
        <w:tc>
          <w:tcPr>
            <w:tcW w:w="1692"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596E09E">
            <w:r>
              <w:rPr>
                <w:rFonts w:ascii="Arial" w:hAnsi="Arial" w:eastAsia="Arial" w:cs="Arial"/>
                <w:b w:val="0"/>
                <w:bCs w:val="0"/>
                <w:color w:val="595959"/>
                <w:sz w:val="19"/>
                <w:szCs w:val="19"/>
              </w:rPr>
              <w:t>FR-05</w:t>
            </w:r>
          </w:p>
        </w:tc>
        <w:tc>
          <w:tcPr>
            <w:tcW w:w="2326"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7D7C8BD">
            <w:r>
              <w:rPr>
                <w:rFonts w:ascii="Arial" w:hAnsi="Arial" w:eastAsia="Arial" w:cs="Arial"/>
                <w:b w:val="0"/>
                <w:bCs w:val="0"/>
                <w:color w:val="595959"/>
                <w:sz w:val="19"/>
                <w:szCs w:val="19"/>
              </w:rPr>
              <w:t>AC-06</w:t>
            </w:r>
          </w:p>
        </w:tc>
      </w:tr>
    </w:tbl>
    <w:p w14:paraId="0390A908">
      <w:pPr>
        <w:spacing w:before="80" w:after="0"/>
      </w:pPr>
    </w:p>
    <w:p w14:paraId="4F18DD40">
      <w:pPr>
        <w:pStyle w:val="2"/>
        <w:pBdr>
          <w:left w:val="single" w:color="2E75B6" w:sz="28" w:space="8"/>
        </w:pBdr>
        <w:spacing w:before="340" w:after="120"/>
      </w:pPr>
      <w:r>
        <w:rPr>
          <w:rFonts w:ascii="Arial" w:hAnsi="Arial" w:eastAsia="Arial" w:cs="Arial"/>
          <w:b/>
          <w:bCs/>
          <w:color w:val="1F3864"/>
          <w:sz w:val="28"/>
          <w:szCs w:val="28"/>
        </w:rPr>
        <w:t>3. DEMONSTRATION LOGISTICS</w:t>
      </w:r>
    </w:p>
    <w:p w14:paraId="21188664">
      <w:pPr>
        <w:pStyle w:val="3"/>
        <w:spacing w:before="220" w:after="80"/>
      </w:pPr>
      <w:r>
        <w:rPr>
          <w:rFonts w:ascii="Arial" w:hAnsi="Arial" w:eastAsia="Arial" w:cs="Arial"/>
          <w:b/>
          <w:bCs/>
          <w:color w:val="2E75B6"/>
          <w:sz w:val="24"/>
          <w:szCs w:val="24"/>
        </w:rPr>
        <w:t>3.</w:t>
      </w:r>
      <w:r>
        <w:rPr>
          <w:rFonts w:hint="default" w:cs="Arial"/>
          <w:b/>
          <w:bCs/>
          <w:color w:val="2E75B6"/>
          <w:sz w:val="24"/>
          <w:szCs w:val="24"/>
          <w:lang w:val="en-US"/>
        </w:rPr>
        <w:t>1</w:t>
      </w:r>
      <w:r>
        <w:rPr>
          <w:rFonts w:ascii="Arial" w:hAnsi="Arial" w:eastAsia="Arial" w:cs="Arial"/>
          <w:b/>
          <w:bCs/>
          <w:color w:val="2E75B6"/>
          <w:sz w:val="24"/>
          <w:szCs w:val="24"/>
        </w:rPr>
        <w:t xml:space="preserve">  Attendees and Roles</w:t>
      </w:r>
    </w:p>
    <w:p w14:paraId="12E078F2">
      <w:pPr>
        <w:spacing w:before="60" w:after="100" w:line="360" w:lineRule="auto"/>
        <w:jc w:val="both"/>
      </w:pPr>
      <w:r>
        <w:rPr>
          <w:rFonts w:ascii="Arial" w:hAnsi="Arial" w:eastAsia="Arial" w:cs="Arial"/>
          <w:color w:val="595959"/>
          <w:sz w:val="22"/>
          <w:szCs w:val="22"/>
        </w:rPr>
        <w:t>The following roles are required to attend the demonstration session. Attendance by the Project Sponsor, Business Owner, and QA/UAT Lead is mandatory for formal sign-off. All other attendees should be confirmed at least five business days before the session. Blank name fields are to be completed by the Project Manager before the invitation is issued.</w:t>
      </w:r>
    </w:p>
    <w:p w14:paraId="5CF3CA6F">
      <w:pPr>
        <w:pStyle w:val="3"/>
        <w:spacing w:before="220" w:after="80"/>
      </w:pPr>
      <w:r>
        <w:rPr>
          <w:rFonts w:ascii="Arial" w:hAnsi="Arial" w:eastAsia="Arial" w:cs="Arial"/>
          <w:b/>
          <w:bCs/>
          <w:color w:val="2E75B6"/>
          <w:sz w:val="24"/>
          <w:szCs w:val="24"/>
        </w:rPr>
        <w:t>3.</w:t>
      </w:r>
      <w:r>
        <w:rPr>
          <w:rFonts w:hint="default" w:cs="Arial"/>
          <w:b/>
          <w:bCs/>
          <w:color w:val="2E75B6"/>
          <w:sz w:val="24"/>
          <w:szCs w:val="24"/>
          <w:lang w:val="en-US"/>
        </w:rPr>
        <w:t>2</w:t>
      </w:r>
      <w:r>
        <w:rPr>
          <w:rFonts w:ascii="Arial" w:hAnsi="Arial" w:eastAsia="Arial" w:cs="Arial"/>
          <w:b/>
          <w:bCs/>
          <w:color w:val="2E75B6"/>
          <w:sz w:val="24"/>
          <w:szCs w:val="24"/>
        </w:rPr>
        <w:t xml:space="preserve">  Environment and Prerequisites</w:t>
      </w:r>
    </w:p>
    <w:p w14:paraId="08D3F456">
      <w:pPr>
        <w:spacing w:before="60" w:after="100" w:line="360" w:lineRule="auto"/>
        <w:jc w:val="both"/>
      </w:pPr>
      <w:r>
        <w:rPr>
          <w:rFonts w:ascii="Arial" w:hAnsi="Arial" w:eastAsia="Arial" w:cs="Arial"/>
          <w:color w:val="595959"/>
          <w:sz w:val="22"/>
          <w:szCs w:val="22"/>
        </w:rPr>
        <w:t>All prerequisites listed below must be confirmed as complete and verified by the ServiceNow Administrator at least 24 hours before the scheduled demonstration session. Any unresolved prerequisite must be escalated to the Project Manager immediately, as it may require the session to be rescheduled.</w:t>
      </w:r>
    </w:p>
    <w:p w14:paraId="1B3A0CFE">
      <w:pPr>
        <w:pStyle w:val="3"/>
        <w:spacing w:before="220" w:after="80"/>
      </w:pPr>
      <w:r>
        <w:rPr>
          <w:rFonts w:ascii="Arial" w:hAnsi="Arial" w:eastAsia="Arial" w:cs="Arial"/>
          <w:b/>
          <w:bCs/>
          <w:color w:val="2E75B6"/>
          <w:sz w:val="24"/>
          <w:szCs w:val="24"/>
        </w:rPr>
        <w:t>3.</w:t>
      </w:r>
      <w:r>
        <w:rPr>
          <w:rFonts w:hint="default" w:cs="Arial"/>
          <w:b/>
          <w:bCs/>
          <w:color w:val="2E75B6"/>
          <w:sz w:val="24"/>
          <w:szCs w:val="24"/>
          <w:lang w:val="en-US"/>
        </w:rPr>
        <w:t>3</w:t>
      </w:r>
      <w:r>
        <w:rPr>
          <w:rFonts w:ascii="Arial" w:hAnsi="Arial" w:eastAsia="Arial" w:cs="Arial"/>
          <w:b/>
          <w:bCs/>
          <w:color w:val="2E75B6"/>
          <w:sz w:val="24"/>
          <w:szCs w:val="24"/>
        </w:rPr>
        <w:t xml:space="preserve">  Session Agenda</w:t>
      </w:r>
    </w:p>
    <w:p w14:paraId="125ED775">
      <w:pPr>
        <w:spacing w:before="60" w:after="100" w:line="360" w:lineRule="auto"/>
        <w:jc w:val="both"/>
      </w:pPr>
      <w:r>
        <w:rPr>
          <w:rFonts w:ascii="Arial" w:hAnsi="Arial" w:eastAsia="Arial" w:cs="Arial"/>
          <w:color w:val="595959"/>
          <w:sz w:val="22"/>
          <w:szCs w:val="22"/>
        </w:rPr>
        <w:t>The following agenda governs the timing of the demonstration session. The Project Manager is responsible for keeping the session within the allotted time. Questions should be captured during the Q&amp;A segment — interruptions during the demonstration steps should be noted and addressed after each feature block is complete.</w:t>
      </w:r>
    </w:p>
    <w:p w14:paraId="348D58A6">
      <w:pPr>
        <w:spacing w:before="80" w:after="0"/>
      </w:pPr>
    </w:p>
    <w:tbl>
      <w:tblPr>
        <w:tblStyle w:val="9"/>
        <w:tblW w:w="97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5"/>
        <w:gridCol w:w="8324"/>
      </w:tblGrid>
      <w:tr w14:paraId="4782C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6" w:hRule="atLeast"/>
          <w:tblHeader/>
        </w:trPr>
        <w:tc>
          <w:tcPr>
            <w:tcW w:w="1415" w:type="dxa"/>
            <w:tcBorders>
              <w:top w:val="nil"/>
              <w:left w:val="nil"/>
              <w:bottom w:val="nil"/>
              <w:right w:val="single" w:color="2E75B6" w:sz="4" w:space="0"/>
            </w:tcBorders>
            <w:shd w:val="clear" w:color="auto" w:fill="1F3864"/>
            <w:tcMar>
              <w:top w:w="80" w:type="dxa"/>
              <w:left w:w="120" w:type="dxa"/>
              <w:bottom w:w="80" w:type="dxa"/>
              <w:right w:w="120" w:type="dxa"/>
            </w:tcMar>
          </w:tcPr>
          <w:p w14:paraId="2C67899A">
            <w:r>
              <w:rPr>
                <w:rFonts w:ascii="Arial" w:hAnsi="Arial" w:eastAsia="Arial" w:cs="Arial"/>
                <w:b/>
                <w:bCs/>
                <w:color w:val="FFFFFF"/>
                <w:sz w:val="19"/>
                <w:szCs w:val="19"/>
              </w:rPr>
              <w:t>Time</w:t>
            </w:r>
          </w:p>
        </w:tc>
        <w:tc>
          <w:tcPr>
            <w:tcW w:w="8324" w:type="dxa"/>
            <w:tcBorders>
              <w:top w:val="nil"/>
              <w:left w:val="nil"/>
              <w:bottom w:val="nil"/>
              <w:right w:val="nil"/>
            </w:tcBorders>
            <w:shd w:val="clear" w:color="auto" w:fill="1F3864"/>
            <w:tcMar>
              <w:top w:w="80" w:type="dxa"/>
              <w:left w:w="120" w:type="dxa"/>
              <w:bottom w:w="80" w:type="dxa"/>
              <w:right w:w="120" w:type="dxa"/>
            </w:tcMar>
          </w:tcPr>
          <w:p w14:paraId="7A0AC4F3">
            <w:r>
              <w:rPr>
                <w:rFonts w:ascii="Arial" w:hAnsi="Arial" w:eastAsia="Arial" w:cs="Arial"/>
                <w:b/>
                <w:bCs/>
                <w:color w:val="FFFFFF"/>
                <w:sz w:val="19"/>
                <w:szCs w:val="19"/>
              </w:rPr>
              <w:t>Segment</w:t>
            </w:r>
          </w:p>
        </w:tc>
      </w:tr>
      <w:tr w14:paraId="32E0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2" w:hRule="atLeast"/>
        </w:trPr>
        <w:tc>
          <w:tcPr>
            <w:tcW w:w="1415" w:type="dxa"/>
            <w:tcBorders>
              <w:top w:val="single" w:color="D0DAF0" w:sz="4" w:space="0"/>
              <w:left w:val="single" w:color="2E75B6" w:sz="28" w:space="0"/>
              <w:bottom w:val="single" w:color="D0DAF0" w:sz="4" w:space="0"/>
              <w:right w:val="single" w:color="B8CCE4" w:sz="4" w:space="0"/>
            </w:tcBorders>
            <w:shd w:val="clear" w:color="auto" w:fill="D9E2F3"/>
            <w:tcMar>
              <w:top w:w="80" w:type="dxa"/>
              <w:left w:w="120" w:type="dxa"/>
              <w:bottom w:w="80" w:type="dxa"/>
              <w:right w:w="80" w:type="dxa"/>
            </w:tcMar>
          </w:tcPr>
          <w:p w14:paraId="5EA845CC">
            <w:pPr>
              <w:jc w:val="center"/>
            </w:pPr>
            <w:r>
              <w:rPr>
                <w:rFonts w:ascii="Arial" w:hAnsi="Arial" w:eastAsia="Arial" w:cs="Arial"/>
                <w:b/>
                <w:bCs/>
                <w:color w:val="1F3864"/>
                <w:sz w:val="19"/>
                <w:szCs w:val="19"/>
              </w:rPr>
              <w:t>0:00 – 0:05</w:t>
            </w:r>
          </w:p>
        </w:tc>
        <w:tc>
          <w:tcPr>
            <w:tcW w:w="8324" w:type="dxa"/>
            <w:tcBorders>
              <w:top w:val="single" w:color="D0DAF0" w:sz="4" w:space="0"/>
              <w:left w:val="single" w:color="D0DAF0" w:sz="4" w:space="0"/>
              <w:bottom w:val="single" w:color="D0DAF0" w:sz="4" w:space="0"/>
              <w:right w:val="single" w:color="D0DAF0" w:sz="4" w:space="0"/>
            </w:tcBorders>
            <w:shd w:val="clear" w:color="auto" w:fill="F0F4FA"/>
            <w:tcMar>
              <w:top w:w="80" w:type="dxa"/>
              <w:left w:w="140" w:type="dxa"/>
              <w:bottom w:w="80" w:type="dxa"/>
              <w:right w:w="120" w:type="dxa"/>
            </w:tcMar>
          </w:tcPr>
          <w:p w14:paraId="032F3194">
            <w:r>
              <w:rPr>
                <w:rFonts w:ascii="Arial" w:hAnsi="Arial" w:eastAsia="Arial" w:cs="Arial"/>
                <w:color w:val="595959"/>
                <w:sz w:val="20"/>
                <w:szCs w:val="20"/>
              </w:rPr>
              <w:t>Section 4.1  |  Introduction — Welcome, objectives review, scope confirmation, feedback process explanation</w:t>
            </w:r>
          </w:p>
        </w:tc>
      </w:tr>
      <w:tr w14:paraId="74B7E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2" w:hRule="atLeast"/>
        </w:trPr>
        <w:tc>
          <w:tcPr>
            <w:tcW w:w="1415" w:type="dxa"/>
            <w:tcBorders>
              <w:top w:val="single" w:color="D0DAF0" w:sz="4" w:space="0"/>
              <w:left w:val="single" w:color="2E75B6" w:sz="28" w:space="0"/>
              <w:bottom w:val="single" w:color="D0DAF0" w:sz="4" w:space="0"/>
              <w:right w:val="single" w:color="B8CCE4" w:sz="4" w:space="0"/>
            </w:tcBorders>
            <w:shd w:val="clear" w:color="auto" w:fill="F0F4FA"/>
            <w:tcMar>
              <w:top w:w="80" w:type="dxa"/>
              <w:left w:w="120" w:type="dxa"/>
              <w:bottom w:w="80" w:type="dxa"/>
              <w:right w:w="80" w:type="dxa"/>
            </w:tcMar>
          </w:tcPr>
          <w:p w14:paraId="6E1A41F8">
            <w:pPr>
              <w:jc w:val="center"/>
            </w:pPr>
            <w:r>
              <w:rPr>
                <w:rFonts w:ascii="Arial" w:hAnsi="Arial" w:eastAsia="Arial" w:cs="Arial"/>
                <w:b/>
                <w:bCs/>
                <w:color w:val="1F3864"/>
                <w:sz w:val="19"/>
                <w:szCs w:val="19"/>
              </w:rPr>
              <w:t>0:05 – 0:15</w:t>
            </w:r>
          </w:p>
        </w:tc>
        <w:tc>
          <w:tcPr>
            <w:tcW w:w="8324" w:type="dxa"/>
            <w:tcBorders>
              <w:top w:val="single" w:color="D0DAF0" w:sz="4" w:space="0"/>
              <w:left w:val="single" w:color="D0DAF0" w:sz="4" w:space="0"/>
              <w:bottom w:val="single" w:color="D0DAF0" w:sz="4" w:space="0"/>
              <w:right w:val="single" w:color="D0DAF0" w:sz="4" w:space="0"/>
            </w:tcBorders>
            <w:shd w:val="clear" w:color="auto" w:fill="FFFFFF"/>
            <w:tcMar>
              <w:top w:w="80" w:type="dxa"/>
              <w:left w:w="140" w:type="dxa"/>
              <w:bottom w:w="80" w:type="dxa"/>
              <w:right w:w="120" w:type="dxa"/>
            </w:tcMar>
          </w:tcPr>
          <w:p w14:paraId="29CCB4C4">
            <w:r>
              <w:rPr>
                <w:rFonts w:ascii="Arial" w:hAnsi="Arial" w:eastAsia="Arial" w:cs="Arial"/>
                <w:color w:val="595959"/>
                <w:sz w:val="20"/>
                <w:szCs w:val="20"/>
              </w:rPr>
              <w:t>Section 4.2  |  Feature Demo: Data Import — Source file, Import Set navigation, file upload, staging table verification</w:t>
            </w:r>
          </w:p>
        </w:tc>
      </w:tr>
      <w:tr w14:paraId="50D2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2" w:hRule="atLeast"/>
        </w:trPr>
        <w:tc>
          <w:tcPr>
            <w:tcW w:w="1415" w:type="dxa"/>
            <w:tcBorders>
              <w:top w:val="single" w:color="D0DAF0" w:sz="4" w:space="0"/>
              <w:left w:val="single" w:color="2E75B6" w:sz="28" w:space="0"/>
              <w:bottom w:val="single" w:color="D0DAF0" w:sz="4" w:space="0"/>
              <w:right w:val="single" w:color="B8CCE4" w:sz="4" w:space="0"/>
            </w:tcBorders>
            <w:shd w:val="clear" w:color="auto" w:fill="D9E2F3"/>
            <w:tcMar>
              <w:top w:w="80" w:type="dxa"/>
              <w:left w:w="120" w:type="dxa"/>
              <w:bottom w:w="80" w:type="dxa"/>
              <w:right w:w="80" w:type="dxa"/>
            </w:tcMar>
          </w:tcPr>
          <w:p w14:paraId="19ADDC6C">
            <w:pPr>
              <w:jc w:val="center"/>
            </w:pPr>
            <w:r>
              <w:rPr>
                <w:rFonts w:ascii="Arial" w:hAnsi="Arial" w:eastAsia="Arial" w:cs="Arial"/>
                <w:b/>
                <w:bCs/>
                <w:color w:val="1F3864"/>
                <w:sz w:val="19"/>
                <w:szCs w:val="19"/>
              </w:rPr>
              <w:t>0:15 – 0:30</w:t>
            </w:r>
          </w:p>
        </w:tc>
        <w:tc>
          <w:tcPr>
            <w:tcW w:w="8324" w:type="dxa"/>
            <w:tcBorders>
              <w:top w:val="single" w:color="D0DAF0" w:sz="4" w:space="0"/>
              <w:left w:val="single" w:color="D0DAF0" w:sz="4" w:space="0"/>
              <w:bottom w:val="single" w:color="D0DAF0" w:sz="4" w:space="0"/>
              <w:right w:val="single" w:color="D0DAF0" w:sz="4" w:space="0"/>
            </w:tcBorders>
            <w:shd w:val="clear" w:color="auto" w:fill="F0F4FA"/>
            <w:tcMar>
              <w:top w:w="80" w:type="dxa"/>
              <w:left w:w="140" w:type="dxa"/>
              <w:bottom w:w="80" w:type="dxa"/>
              <w:right w:w="120" w:type="dxa"/>
            </w:tcMar>
          </w:tcPr>
          <w:p w14:paraId="08956672">
            <w:r>
              <w:rPr>
                <w:rFonts w:ascii="Arial" w:hAnsi="Arial" w:eastAsia="Arial" w:cs="Arial"/>
                <w:color w:val="595959"/>
                <w:sz w:val="20"/>
                <w:szCs w:val="20"/>
              </w:rPr>
              <w:t>Section 4.3  |  Feature Demo: Data Transformation — Transform Map review, live execution, Transform History, [sys_user] verification</w:t>
            </w:r>
          </w:p>
        </w:tc>
      </w:tr>
      <w:tr w14:paraId="1B88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2" w:hRule="atLeast"/>
        </w:trPr>
        <w:tc>
          <w:tcPr>
            <w:tcW w:w="1415" w:type="dxa"/>
            <w:tcBorders>
              <w:top w:val="single" w:color="D0DAF0" w:sz="4" w:space="0"/>
              <w:left w:val="single" w:color="2E75B6" w:sz="28" w:space="0"/>
              <w:bottom w:val="single" w:color="D0DAF0" w:sz="4" w:space="0"/>
              <w:right w:val="single" w:color="B8CCE4" w:sz="4" w:space="0"/>
            </w:tcBorders>
            <w:shd w:val="clear" w:color="auto" w:fill="F0F4FA"/>
            <w:tcMar>
              <w:top w:w="80" w:type="dxa"/>
              <w:left w:w="120" w:type="dxa"/>
              <w:bottom w:w="80" w:type="dxa"/>
              <w:right w:w="80" w:type="dxa"/>
            </w:tcMar>
          </w:tcPr>
          <w:p w14:paraId="07AFD268">
            <w:pPr>
              <w:jc w:val="center"/>
            </w:pPr>
            <w:r>
              <w:rPr>
                <w:rFonts w:ascii="Arial" w:hAnsi="Arial" w:eastAsia="Arial" w:cs="Arial"/>
                <w:b/>
                <w:bCs/>
                <w:color w:val="1F3864"/>
                <w:sz w:val="19"/>
                <w:szCs w:val="19"/>
              </w:rPr>
              <w:t>0:30 – 0:45</w:t>
            </w:r>
          </w:p>
        </w:tc>
        <w:tc>
          <w:tcPr>
            <w:tcW w:w="8324" w:type="dxa"/>
            <w:tcBorders>
              <w:top w:val="single" w:color="D0DAF0" w:sz="4" w:space="0"/>
              <w:left w:val="single" w:color="D0DAF0" w:sz="4" w:space="0"/>
              <w:bottom w:val="single" w:color="D0DAF0" w:sz="4" w:space="0"/>
              <w:right w:val="single" w:color="D0DAF0" w:sz="4" w:space="0"/>
            </w:tcBorders>
            <w:shd w:val="clear" w:color="auto" w:fill="FFFFFF"/>
            <w:tcMar>
              <w:top w:w="80" w:type="dxa"/>
              <w:left w:w="140" w:type="dxa"/>
              <w:bottom w:w="80" w:type="dxa"/>
              <w:right w:w="120" w:type="dxa"/>
            </w:tcMar>
          </w:tcPr>
          <w:p w14:paraId="52878B37">
            <w:r>
              <w:rPr>
                <w:rFonts w:ascii="Arial" w:hAnsi="Arial" w:eastAsia="Arial" w:cs="Arial"/>
                <w:color w:val="595959"/>
                <w:sz w:val="20"/>
                <w:szCs w:val="20"/>
              </w:rPr>
              <w:t>Section 4.4  |  Feature Demo: Dot-Walking on Incident Form — Form layout, auto-population demo, multi-user refresh</w:t>
            </w:r>
          </w:p>
        </w:tc>
      </w:tr>
      <w:tr w14:paraId="7D792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2" w:hRule="atLeast"/>
        </w:trPr>
        <w:tc>
          <w:tcPr>
            <w:tcW w:w="1415" w:type="dxa"/>
            <w:tcBorders>
              <w:top w:val="single" w:color="D0DAF0" w:sz="4" w:space="0"/>
              <w:left w:val="single" w:color="2E75B6" w:sz="28" w:space="0"/>
              <w:bottom w:val="single" w:color="D0DAF0" w:sz="4" w:space="0"/>
              <w:right w:val="single" w:color="B8CCE4" w:sz="4" w:space="0"/>
            </w:tcBorders>
            <w:shd w:val="clear" w:color="auto" w:fill="D9E2F3"/>
            <w:tcMar>
              <w:top w:w="80" w:type="dxa"/>
              <w:left w:w="120" w:type="dxa"/>
              <w:bottom w:w="80" w:type="dxa"/>
              <w:right w:w="80" w:type="dxa"/>
            </w:tcMar>
          </w:tcPr>
          <w:p w14:paraId="67281166">
            <w:pPr>
              <w:jc w:val="center"/>
            </w:pPr>
            <w:r>
              <w:rPr>
                <w:rFonts w:ascii="Arial" w:hAnsi="Arial" w:eastAsia="Arial" w:cs="Arial"/>
                <w:b/>
                <w:bCs/>
                <w:color w:val="1F3864"/>
                <w:sz w:val="19"/>
                <w:szCs w:val="19"/>
              </w:rPr>
              <w:t>0:45 – 0:55</w:t>
            </w:r>
          </w:p>
        </w:tc>
        <w:tc>
          <w:tcPr>
            <w:tcW w:w="8324" w:type="dxa"/>
            <w:tcBorders>
              <w:top w:val="single" w:color="D0DAF0" w:sz="4" w:space="0"/>
              <w:left w:val="single" w:color="D0DAF0" w:sz="4" w:space="0"/>
              <w:bottom w:val="single" w:color="D0DAF0" w:sz="4" w:space="0"/>
              <w:right w:val="single" w:color="D0DAF0" w:sz="4" w:space="0"/>
            </w:tcBorders>
            <w:shd w:val="clear" w:color="auto" w:fill="F0F4FA"/>
            <w:tcMar>
              <w:top w:w="80" w:type="dxa"/>
              <w:left w:w="140" w:type="dxa"/>
              <w:bottom w:w="80" w:type="dxa"/>
              <w:right w:w="120" w:type="dxa"/>
            </w:tcMar>
          </w:tcPr>
          <w:p w14:paraId="0828780E">
            <w:r>
              <w:rPr>
                <w:rFonts w:ascii="Arial" w:hAnsi="Arial" w:eastAsia="Arial" w:cs="Arial"/>
                <w:color w:val="595959"/>
                <w:sz w:val="20"/>
                <w:szCs w:val="20"/>
              </w:rPr>
              <w:t>Section 4.5  |  Q&amp;A and Feedback — Open floor, feedback form completion, change request capture</w:t>
            </w:r>
          </w:p>
        </w:tc>
      </w:tr>
      <w:tr w14:paraId="3610B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53" w:hRule="atLeast"/>
        </w:trPr>
        <w:tc>
          <w:tcPr>
            <w:tcW w:w="1415" w:type="dxa"/>
            <w:tcBorders>
              <w:top w:val="single" w:color="D0DAF0" w:sz="4" w:space="0"/>
              <w:left w:val="single" w:color="2E75B6" w:sz="28" w:space="0"/>
              <w:bottom w:val="single" w:color="D0DAF0" w:sz="4" w:space="0"/>
              <w:right w:val="single" w:color="B8CCE4" w:sz="4" w:space="0"/>
            </w:tcBorders>
            <w:shd w:val="clear" w:color="auto" w:fill="F0F4FA"/>
            <w:tcMar>
              <w:top w:w="80" w:type="dxa"/>
              <w:left w:w="120" w:type="dxa"/>
              <w:bottom w:w="80" w:type="dxa"/>
              <w:right w:w="80" w:type="dxa"/>
            </w:tcMar>
          </w:tcPr>
          <w:p w14:paraId="7AD3A474">
            <w:pPr>
              <w:jc w:val="center"/>
            </w:pPr>
            <w:r>
              <w:rPr>
                <w:rFonts w:ascii="Arial" w:hAnsi="Arial" w:eastAsia="Arial" w:cs="Arial"/>
                <w:b/>
                <w:bCs/>
                <w:color w:val="1F3864"/>
                <w:sz w:val="19"/>
                <w:szCs w:val="19"/>
              </w:rPr>
              <w:t>0:55 – 1:00</w:t>
            </w:r>
          </w:p>
        </w:tc>
        <w:tc>
          <w:tcPr>
            <w:tcW w:w="8324" w:type="dxa"/>
            <w:tcBorders>
              <w:top w:val="single" w:color="D0DAF0" w:sz="4" w:space="0"/>
              <w:left w:val="single" w:color="D0DAF0" w:sz="4" w:space="0"/>
              <w:bottom w:val="single" w:color="D0DAF0" w:sz="4" w:space="0"/>
              <w:right w:val="single" w:color="D0DAF0" w:sz="4" w:space="0"/>
            </w:tcBorders>
            <w:shd w:val="clear" w:color="auto" w:fill="FFFFFF"/>
            <w:tcMar>
              <w:top w:w="80" w:type="dxa"/>
              <w:left w:w="140" w:type="dxa"/>
              <w:bottom w:w="80" w:type="dxa"/>
              <w:right w:w="120" w:type="dxa"/>
            </w:tcMar>
          </w:tcPr>
          <w:p w14:paraId="613F98DB">
            <w:r>
              <w:rPr>
                <w:rFonts w:ascii="Arial" w:hAnsi="Arial" w:eastAsia="Arial" w:cs="Arial"/>
                <w:color w:val="595959"/>
                <w:sz w:val="20"/>
                <w:szCs w:val="20"/>
              </w:rPr>
              <w:t>Section 4.6  |  Closing — Outcomes summary, UAT timeline, sign-off process, next steps</w:t>
            </w:r>
          </w:p>
        </w:tc>
      </w:tr>
    </w:tbl>
    <w:p w14:paraId="3DDC8CE2">
      <w:pPr>
        <w:spacing w:before="80" w:after="0"/>
      </w:pPr>
    </w:p>
    <w:p w14:paraId="200D3F0B">
      <w:pPr>
        <w:pStyle w:val="2"/>
        <w:pBdr>
          <w:left w:val="single" w:color="2E75B6" w:sz="28" w:space="8"/>
        </w:pBdr>
        <w:spacing w:before="340" w:after="120"/>
      </w:pPr>
      <w:r>
        <w:rPr>
          <w:rFonts w:ascii="Arial" w:hAnsi="Arial" w:eastAsia="Arial" w:cs="Arial"/>
          <w:b/>
          <w:bCs/>
          <w:color w:val="1F3864"/>
          <w:sz w:val="28"/>
          <w:szCs w:val="28"/>
        </w:rPr>
        <w:t>4. DEMONSTRATION SCRIPT</w:t>
      </w:r>
    </w:p>
    <w:p w14:paraId="0F8C719B">
      <w:pPr>
        <w:spacing w:before="60" w:after="0"/>
      </w:pPr>
    </w:p>
    <w:p w14:paraId="287B8D3D">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496A6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shd w:val="clear" w:color="auto" w:fill="1F3864"/>
            <w:tcMar>
              <w:top w:w="80" w:type="dxa"/>
              <w:left w:w="200" w:type="dxa"/>
              <w:bottom w:w="80" w:type="dxa"/>
              <w:right w:w="120" w:type="dxa"/>
            </w:tcMar>
          </w:tcPr>
          <w:p w14:paraId="29A798F7">
            <w:r>
              <w:rPr>
                <w:rFonts w:ascii="Arial" w:hAnsi="Arial" w:eastAsia="Arial" w:cs="Arial"/>
                <w:b/>
                <w:bCs/>
                <w:color w:val="FFFFFF"/>
                <w:sz w:val="22"/>
                <w:szCs w:val="22"/>
              </w:rPr>
              <w:t>4.1  Introduction</w:t>
            </w:r>
          </w:p>
        </w:tc>
        <w:tc>
          <w:tcPr>
            <w:tcW w:w="1800" w:type="dxa"/>
            <w:tcBorders>
              <w:top w:val="nil"/>
              <w:left w:val="nil"/>
              <w:bottom w:val="nil"/>
              <w:right w:val="nil"/>
            </w:tcBorders>
            <w:shd w:val="clear" w:color="auto" w:fill="1F3864"/>
            <w:tcMar>
              <w:top w:w="80" w:type="dxa"/>
              <w:left w:w="120" w:type="dxa"/>
              <w:bottom w:w="80" w:type="dxa"/>
              <w:right w:w="120" w:type="dxa"/>
            </w:tcMar>
            <w:vAlign w:val="center"/>
          </w:tcPr>
          <w:p w14:paraId="36D5010B">
            <w:pPr>
              <w:jc w:val="center"/>
            </w:pPr>
            <w:r>
              <w:rPr>
                <w:rFonts w:ascii="Arial" w:hAnsi="Arial" w:eastAsia="Arial" w:cs="Arial"/>
                <w:b/>
                <w:bCs/>
                <w:color w:val="F0A500"/>
                <w:sz w:val="19"/>
                <w:szCs w:val="19"/>
              </w:rPr>
              <w:t>5 Minutes</w:t>
            </w:r>
          </w:p>
        </w:tc>
      </w:tr>
    </w:tbl>
    <w:p w14:paraId="2113920F">
      <w:pPr>
        <w:spacing w:before="60" w:after="0"/>
      </w:pPr>
    </w:p>
    <w:p w14:paraId="110EB4D8">
      <w:pPr>
        <w:spacing w:before="60" w:after="100" w:line="360" w:lineRule="auto"/>
        <w:jc w:val="both"/>
      </w:pPr>
      <w:r>
        <w:rPr>
          <w:rFonts w:ascii="Arial" w:hAnsi="Arial" w:eastAsia="Arial" w:cs="Arial"/>
          <w:color w:val="595959"/>
          <w:sz w:val="22"/>
          <w:szCs w:val="22"/>
        </w:rPr>
        <w:t>Welcome attendees and introduce the presenter, facilitator, and any other team members present. Briefly state the objectives for the session: to show the working solution, confirm it meets the agreed requirements, and obtain formal acceptance. Confirm that all in-scope features will be covered and that out-of-scope items should be noted for future phases, not discussed today. Explain that a feedback form will be completed by each stakeholder after the demonstration, and that Q&amp;A time is allocated at minute 45.</w:t>
      </w:r>
    </w:p>
    <w:p w14:paraId="415A2D9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65A42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shd w:val="clear" w:color="auto" w:fill="2E75B6"/>
            <w:tcMar>
              <w:top w:w="80" w:type="dxa"/>
              <w:left w:w="200" w:type="dxa"/>
              <w:bottom w:w="80" w:type="dxa"/>
              <w:right w:w="120" w:type="dxa"/>
            </w:tcMar>
          </w:tcPr>
          <w:p w14:paraId="784DDD2C">
            <w:r>
              <w:rPr>
                <w:rFonts w:ascii="Arial" w:hAnsi="Arial" w:eastAsia="Arial" w:cs="Arial"/>
                <w:b/>
                <w:bCs/>
                <w:color w:val="FFFFFF"/>
                <w:sz w:val="22"/>
                <w:szCs w:val="22"/>
              </w:rPr>
              <w:t>4.2  Feature Demonstration: Data Import</w:t>
            </w:r>
          </w:p>
        </w:tc>
        <w:tc>
          <w:tcPr>
            <w:tcW w:w="1800" w:type="dxa"/>
            <w:tcBorders>
              <w:top w:val="nil"/>
              <w:left w:val="nil"/>
              <w:bottom w:val="nil"/>
              <w:right w:val="nil"/>
            </w:tcBorders>
            <w:shd w:val="clear" w:color="auto" w:fill="1F3864"/>
            <w:tcMar>
              <w:top w:w="80" w:type="dxa"/>
              <w:left w:w="120" w:type="dxa"/>
              <w:bottom w:w="80" w:type="dxa"/>
              <w:right w:w="120" w:type="dxa"/>
            </w:tcMar>
            <w:vAlign w:val="center"/>
          </w:tcPr>
          <w:p w14:paraId="2685D8D1">
            <w:pPr>
              <w:jc w:val="center"/>
            </w:pPr>
            <w:r>
              <w:rPr>
                <w:rFonts w:ascii="Arial" w:hAnsi="Arial" w:eastAsia="Arial" w:cs="Arial"/>
                <w:b/>
                <w:bCs/>
                <w:color w:val="F0A500"/>
                <w:sz w:val="19"/>
                <w:szCs w:val="19"/>
              </w:rPr>
              <w:t>10 Minutes</w:t>
            </w:r>
          </w:p>
        </w:tc>
      </w:tr>
    </w:tbl>
    <w:p w14:paraId="46951935">
      <w:pPr>
        <w:spacing w:before="80" w:after="0"/>
      </w:pPr>
    </w:p>
    <w:p w14:paraId="0718CF8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39F0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shd w:val="clear" w:color="auto" w:fill="6A3D9A"/>
            <w:tcMar>
              <w:top w:w="80" w:type="dxa"/>
              <w:left w:w="200" w:type="dxa"/>
              <w:bottom w:w="80" w:type="dxa"/>
              <w:right w:w="120" w:type="dxa"/>
            </w:tcMar>
          </w:tcPr>
          <w:p w14:paraId="6D0E4B79">
            <w:r>
              <w:rPr>
                <w:rFonts w:ascii="Arial" w:hAnsi="Arial" w:eastAsia="Arial" w:cs="Arial"/>
                <w:b/>
                <w:bCs/>
                <w:color w:val="FFFFFF"/>
                <w:sz w:val="22"/>
                <w:szCs w:val="22"/>
              </w:rPr>
              <w:t>4.3  Feature Demonstration: Data Transformation</w:t>
            </w:r>
          </w:p>
        </w:tc>
        <w:tc>
          <w:tcPr>
            <w:tcW w:w="1800" w:type="dxa"/>
            <w:tcBorders>
              <w:top w:val="nil"/>
              <w:left w:val="nil"/>
              <w:bottom w:val="nil"/>
              <w:right w:val="nil"/>
            </w:tcBorders>
            <w:shd w:val="clear" w:color="auto" w:fill="1F3864"/>
            <w:tcMar>
              <w:top w:w="80" w:type="dxa"/>
              <w:left w:w="120" w:type="dxa"/>
              <w:bottom w:w="80" w:type="dxa"/>
              <w:right w:w="120" w:type="dxa"/>
            </w:tcMar>
            <w:vAlign w:val="center"/>
          </w:tcPr>
          <w:p w14:paraId="1985FBB1">
            <w:pPr>
              <w:jc w:val="center"/>
            </w:pPr>
            <w:r>
              <w:rPr>
                <w:rFonts w:ascii="Arial" w:hAnsi="Arial" w:eastAsia="Arial" w:cs="Arial"/>
                <w:b/>
                <w:bCs/>
                <w:color w:val="F0A500"/>
                <w:sz w:val="19"/>
                <w:szCs w:val="19"/>
              </w:rPr>
              <w:t>15 Minutes</w:t>
            </w:r>
          </w:p>
        </w:tc>
      </w:tr>
    </w:tbl>
    <w:p w14:paraId="335020CF">
      <w:pPr>
        <w:spacing w:before="60" w:after="0"/>
      </w:pPr>
    </w:p>
    <w:p w14:paraId="7C5BE3F1">
      <w:pPr>
        <w:spacing w:before="60" w:after="0"/>
      </w:pPr>
    </w:p>
    <w:p w14:paraId="66AAB75A">
      <w:pPr>
        <w:spacing w:before="60" w:after="0"/>
      </w:pPr>
    </w:p>
    <w:tbl>
      <w:tblPr>
        <w:tblStyle w:val="9"/>
        <w:tblpPr w:leftFromText="180" w:rightFromText="180" w:vertAnchor="text" w:horzAnchor="page" w:tblpX="1108" w:tblpY="-42"/>
        <w:tblOverlap w:val="never"/>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39628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560" w:type="dxa"/>
            <w:tcBorders>
              <w:top w:val="nil"/>
              <w:left w:val="nil"/>
              <w:bottom w:val="nil"/>
              <w:right w:val="nil"/>
            </w:tcBorders>
            <w:shd w:val="clear" w:color="auto" w:fill="375623"/>
            <w:tcMar>
              <w:top w:w="80" w:type="dxa"/>
              <w:left w:w="200" w:type="dxa"/>
              <w:bottom w:w="80" w:type="dxa"/>
              <w:right w:w="120" w:type="dxa"/>
            </w:tcMar>
          </w:tcPr>
          <w:p w14:paraId="4F478508">
            <w:r>
              <w:rPr>
                <w:rFonts w:ascii="Arial" w:hAnsi="Arial" w:eastAsia="Arial" w:cs="Arial"/>
                <w:b/>
                <w:bCs/>
                <w:color w:val="FFFFFF"/>
                <w:sz w:val="22"/>
                <w:szCs w:val="22"/>
              </w:rPr>
              <w:t>4.4  Feature Demonstration: Dot-Walking on Incident Form</w:t>
            </w:r>
          </w:p>
        </w:tc>
        <w:tc>
          <w:tcPr>
            <w:tcW w:w="1800" w:type="dxa"/>
            <w:tcBorders>
              <w:top w:val="nil"/>
              <w:left w:val="nil"/>
              <w:bottom w:val="nil"/>
              <w:right w:val="nil"/>
            </w:tcBorders>
            <w:shd w:val="clear" w:color="auto" w:fill="1F3864"/>
            <w:tcMar>
              <w:top w:w="80" w:type="dxa"/>
              <w:left w:w="120" w:type="dxa"/>
              <w:bottom w:w="80" w:type="dxa"/>
              <w:right w:w="120" w:type="dxa"/>
            </w:tcMar>
            <w:vAlign w:val="center"/>
          </w:tcPr>
          <w:p w14:paraId="11E870A1">
            <w:pPr>
              <w:jc w:val="center"/>
            </w:pPr>
            <w:r>
              <w:rPr>
                <w:rFonts w:ascii="Arial" w:hAnsi="Arial" w:eastAsia="Arial" w:cs="Arial"/>
                <w:b/>
                <w:bCs/>
                <w:color w:val="F0A500"/>
                <w:sz w:val="19"/>
                <w:szCs w:val="19"/>
              </w:rPr>
              <w:t>15 Minutes</w:t>
            </w:r>
          </w:p>
        </w:tc>
      </w:tr>
    </w:tbl>
    <w:p w14:paraId="2197092A">
      <w:pPr>
        <w:spacing w:before="60" w:after="0"/>
      </w:pPr>
    </w:p>
    <w:p w14:paraId="41AE133A">
      <w:pPr>
        <w:spacing w:before="80" w:after="0"/>
      </w:pPr>
    </w:p>
    <w:p w14:paraId="2D7A0B40">
      <w:pPr>
        <w:spacing w:before="80" w:after="0"/>
      </w:pPr>
    </w:p>
    <w:p w14:paraId="68020CA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48094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shd w:val="clear" w:color="auto" w:fill="D4680A"/>
            <w:tcMar>
              <w:top w:w="80" w:type="dxa"/>
              <w:left w:w="200" w:type="dxa"/>
              <w:bottom w:w="80" w:type="dxa"/>
              <w:right w:w="120" w:type="dxa"/>
            </w:tcMar>
          </w:tcPr>
          <w:p w14:paraId="6B4F51EC">
            <w:r>
              <w:rPr>
                <w:rFonts w:ascii="Arial" w:hAnsi="Arial" w:eastAsia="Arial" w:cs="Arial"/>
                <w:b/>
                <w:bCs/>
                <w:color w:val="FFFFFF"/>
                <w:sz w:val="22"/>
                <w:szCs w:val="22"/>
              </w:rPr>
              <w:t>4.5  Q&amp;A and Stakeholder Feedback</w:t>
            </w:r>
          </w:p>
        </w:tc>
        <w:tc>
          <w:tcPr>
            <w:tcW w:w="1800" w:type="dxa"/>
            <w:tcBorders>
              <w:top w:val="nil"/>
              <w:left w:val="nil"/>
              <w:bottom w:val="nil"/>
              <w:right w:val="nil"/>
            </w:tcBorders>
            <w:shd w:val="clear" w:color="auto" w:fill="1F3864"/>
            <w:tcMar>
              <w:top w:w="80" w:type="dxa"/>
              <w:left w:w="120" w:type="dxa"/>
              <w:bottom w:w="80" w:type="dxa"/>
              <w:right w:w="120" w:type="dxa"/>
            </w:tcMar>
            <w:vAlign w:val="center"/>
          </w:tcPr>
          <w:p w14:paraId="66AEBA64">
            <w:pPr>
              <w:jc w:val="center"/>
            </w:pPr>
            <w:r>
              <w:rPr>
                <w:rFonts w:ascii="Arial" w:hAnsi="Arial" w:eastAsia="Arial" w:cs="Arial"/>
                <w:b/>
                <w:bCs/>
                <w:color w:val="F0A500"/>
                <w:sz w:val="19"/>
                <w:szCs w:val="19"/>
              </w:rPr>
              <w:t>10 Minutes</w:t>
            </w:r>
          </w:p>
        </w:tc>
      </w:tr>
    </w:tbl>
    <w:p w14:paraId="15310F41">
      <w:pPr>
        <w:spacing w:before="80" w:after="0"/>
      </w:pPr>
    </w:p>
    <w:p w14:paraId="51EEA216">
      <w:pPr>
        <w:spacing w:before="80" w:after="0"/>
      </w:pPr>
    </w:p>
    <w:p w14:paraId="6FB56E45">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60"/>
        <w:gridCol w:w="1800"/>
      </w:tblGrid>
      <w:tr w14:paraId="4567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560" w:type="dxa"/>
            <w:tcBorders>
              <w:top w:val="nil"/>
              <w:left w:val="nil"/>
              <w:bottom w:val="nil"/>
              <w:right w:val="nil"/>
            </w:tcBorders>
            <w:shd w:val="clear" w:color="auto" w:fill="1F3864"/>
            <w:tcMar>
              <w:top w:w="80" w:type="dxa"/>
              <w:left w:w="200" w:type="dxa"/>
              <w:bottom w:w="80" w:type="dxa"/>
              <w:right w:w="120" w:type="dxa"/>
            </w:tcMar>
          </w:tcPr>
          <w:p w14:paraId="3328AA2F">
            <w:r>
              <w:rPr>
                <w:rFonts w:ascii="Arial" w:hAnsi="Arial" w:eastAsia="Arial" w:cs="Arial"/>
                <w:b/>
                <w:bCs/>
                <w:color w:val="FFFFFF"/>
                <w:sz w:val="22"/>
                <w:szCs w:val="22"/>
              </w:rPr>
              <w:t>4.6  Closing</w:t>
            </w:r>
          </w:p>
        </w:tc>
        <w:tc>
          <w:tcPr>
            <w:tcW w:w="1800" w:type="dxa"/>
            <w:tcBorders>
              <w:top w:val="nil"/>
              <w:left w:val="nil"/>
              <w:bottom w:val="nil"/>
              <w:right w:val="nil"/>
            </w:tcBorders>
            <w:shd w:val="clear" w:color="auto" w:fill="1F3864"/>
            <w:tcMar>
              <w:top w:w="80" w:type="dxa"/>
              <w:left w:w="120" w:type="dxa"/>
              <w:bottom w:w="80" w:type="dxa"/>
              <w:right w:w="120" w:type="dxa"/>
            </w:tcMar>
            <w:vAlign w:val="center"/>
          </w:tcPr>
          <w:p w14:paraId="73523FF2">
            <w:pPr>
              <w:jc w:val="center"/>
            </w:pPr>
            <w:r>
              <w:rPr>
                <w:rFonts w:ascii="Arial" w:hAnsi="Arial" w:eastAsia="Arial" w:cs="Arial"/>
                <w:b/>
                <w:bCs/>
                <w:color w:val="F0A500"/>
                <w:sz w:val="19"/>
                <w:szCs w:val="19"/>
              </w:rPr>
              <w:t>5 Minutes</w:t>
            </w:r>
          </w:p>
        </w:tc>
      </w:tr>
    </w:tbl>
    <w:p w14:paraId="367519A2">
      <w:pPr>
        <w:spacing w:before="60" w:after="0"/>
      </w:pPr>
    </w:p>
    <w:p w14:paraId="10981F14">
      <w:pPr>
        <w:spacing w:before="60" w:after="100" w:line="360" w:lineRule="auto"/>
        <w:jc w:val="both"/>
      </w:pPr>
      <w:r>
        <w:rPr>
          <w:rFonts w:ascii="Arial" w:hAnsi="Arial" w:eastAsia="Arial" w:cs="Arial"/>
          <w:color w:val="595959"/>
          <w:sz w:val="22"/>
          <w:szCs w:val="22"/>
        </w:rPr>
        <w:t>Summarise the features demonstrated and the acceptance criteria that were observed to be met during the session. Confirm the UAT timeline and the process for completing and returning the Stakeholder Feedback Form. Explain the sign-off process: once UAT is complete and no Critical or High severity defects remain open, the Project Acceptance Form in Section 8 will be circulated for signature. Thank all attendees for their time and participation.</w:t>
      </w:r>
    </w:p>
    <w:p w14:paraId="527457AB">
      <w:pPr>
        <w:spacing w:before="80" w:after="0"/>
      </w:pPr>
    </w:p>
    <w:p w14:paraId="0D89FF40">
      <w:pPr>
        <w:spacing w:before="80" w:after="0"/>
      </w:pPr>
    </w:p>
    <w:p w14:paraId="57ED1032">
      <w:pPr>
        <w:pBdr>
          <w:bottom w:val="single" w:color="D0D8E8" w:sz="6" w:space="1"/>
        </w:pBdr>
        <w:spacing w:before="120" w:after="120"/>
      </w:pPr>
    </w:p>
    <w:p w14:paraId="08F6F737">
      <w:pPr>
        <w:pStyle w:val="2"/>
        <w:pBdr>
          <w:left w:val="single" w:color="2E75B6" w:sz="28" w:space="8"/>
        </w:pBdr>
        <w:spacing w:before="340" w:after="120"/>
      </w:pPr>
      <w:r>
        <w:rPr>
          <w:rFonts w:ascii="Arial" w:hAnsi="Arial" w:eastAsia="Arial" w:cs="Arial"/>
          <w:b/>
          <w:bCs/>
          <w:color w:val="1F3864"/>
          <w:sz w:val="28"/>
          <w:szCs w:val="28"/>
        </w:rPr>
        <w:t>5. USER ACCEPTANCE TESTING (UAT) PLAN</w:t>
      </w:r>
    </w:p>
    <w:p w14:paraId="0D5ABEBB">
      <w:pPr>
        <w:pStyle w:val="3"/>
        <w:spacing w:before="220" w:after="80"/>
      </w:pPr>
      <w:r>
        <w:rPr>
          <w:rFonts w:ascii="Arial" w:hAnsi="Arial" w:eastAsia="Arial" w:cs="Arial"/>
          <w:b/>
          <w:bCs/>
          <w:color w:val="2E75B6"/>
          <w:sz w:val="24"/>
          <w:szCs w:val="24"/>
        </w:rPr>
        <w:t>5.1  UAT Objectives</w:t>
      </w:r>
    </w:p>
    <w:p w14:paraId="49661240">
      <w:pPr>
        <w:spacing w:before="60" w:after="100" w:line="360" w:lineRule="auto"/>
        <w:ind w:firstLine="440" w:firstLineChars="200"/>
        <w:jc w:val="both"/>
        <w:rPr>
          <w:rFonts w:ascii="Arial" w:hAnsi="Arial" w:eastAsia="Arial" w:cs="Arial"/>
          <w:color w:val="595959"/>
          <w:sz w:val="22"/>
          <w:szCs w:val="22"/>
        </w:rPr>
      </w:pPr>
      <w:r>
        <w:rPr>
          <w:rFonts w:ascii="Arial" w:hAnsi="Arial" w:eastAsia="Arial" w:cs="Arial"/>
          <w:color w:val="595959"/>
          <w:sz w:val="22"/>
          <w:szCs w:val="22"/>
        </w:rPr>
        <w:t>User Acceptance Testing is the formal structured testing phase conducted by designated business and technical representatives to validate that the solution meets all agreed requirements under realistic usage conditions. UAT is distinct from the internal testing performed during development — it is conducted by people who represent the intended users of the solution, not the team that built it.</w:t>
      </w:r>
    </w:p>
    <w:p w14:paraId="241091CF">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5.2  UAT Test Cases</w:t>
      </w:r>
    </w:p>
    <w:p w14:paraId="0EBA1CB7"/>
    <w:p w14:paraId="17881564">
      <w:pPr>
        <w:spacing w:before="60" w:after="100" w:line="360" w:lineRule="auto"/>
        <w:ind w:firstLine="550" w:firstLineChars="250"/>
        <w:jc w:val="both"/>
      </w:pPr>
      <w:r>
        <w:rPr>
          <w:rFonts w:ascii="Arial" w:hAnsi="Arial" w:eastAsia="Arial" w:cs="Arial"/>
          <w:color w:val="595959"/>
          <w:sz w:val="22"/>
          <w:szCs w:val="22"/>
        </w:rPr>
        <w:t xml:space="preserve">The following eight test cases cover all in-scope features of the solution. Test cases TC-01 through TC-07 are classified as Critical — they must all pass before UAT sign-off can be obtained. TC-08 is classified as a Conditional Negative Test — it validates graceful failure behaviour when a manager reference cannot be resolved, and does not need to block sign-off if the behaviour is </w:t>
      </w:r>
      <w:r>
        <w:rPr>
          <w:rFonts w:hint="default" w:cs="Arial"/>
          <w:color w:val="595959"/>
          <w:sz w:val="22"/>
          <w:szCs w:val="22"/>
          <w:lang w:val="en-US"/>
        </w:rPr>
        <w:t xml:space="preserve"> </w:t>
      </w:r>
      <w:r>
        <w:rPr>
          <w:rFonts w:ascii="Arial" w:hAnsi="Arial" w:eastAsia="Arial" w:cs="Arial"/>
          <w:color w:val="595959"/>
          <w:sz w:val="22"/>
          <w:szCs w:val="22"/>
        </w:rPr>
        <w:t>consistent with the design specification.</w:t>
      </w:r>
    </w:p>
    <w:p w14:paraId="54F98D4A">
      <w:pPr>
        <w:pStyle w:val="3"/>
        <w:spacing w:before="220" w:after="80"/>
      </w:pPr>
      <w:r>
        <w:rPr>
          <w:rFonts w:ascii="Arial" w:hAnsi="Arial" w:eastAsia="Arial" w:cs="Arial"/>
          <w:b/>
          <w:bCs/>
          <w:color w:val="2E75B6"/>
          <w:sz w:val="24"/>
          <w:szCs w:val="24"/>
        </w:rPr>
        <w:t>5.3  UAT Schedule</w:t>
      </w:r>
    </w:p>
    <w:p w14:paraId="5722ACC7">
      <w:pPr>
        <w:spacing w:before="60" w:after="100" w:line="360" w:lineRule="auto"/>
        <w:jc w:val="both"/>
      </w:pPr>
      <w:r>
        <w:rPr>
          <w:rFonts w:ascii="Arial" w:hAnsi="Arial" w:eastAsia="Arial" w:cs="Arial"/>
          <w:color w:val="595959"/>
          <w:sz w:val="22"/>
          <w:szCs w:val="22"/>
        </w:rPr>
        <w:t>The following schedule governs the UAT execution period. All dates are to be filled in by the Project Manager based on the confirmed demonstration session date. UAT should begin within two business days of the demonstration session to maintain project momentum.</w:t>
      </w:r>
    </w:p>
    <w:p w14:paraId="3F0B89D4">
      <w:pPr>
        <w:pStyle w:val="3"/>
        <w:spacing w:before="220" w:after="80"/>
      </w:pPr>
      <w:r>
        <w:rPr>
          <w:rFonts w:ascii="Arial" w:hAnsi="Arial" w:eastAsia="Arial" w:cs="Arial"/>
          <w:b/>
          <w:bCs/>
          <w:color w:val="2E75B6"/>
          <w:sz w:val="24"/>
          <w:szCs w:val="24"/>
        </w:rPr>
        <w:t>5.4  UAT Success Criteria</w:t>
      </w:r>
    </w:p>
    <w:p w14:paraId="28C57B13">
      <w:pPr>
        <w:spacing w:before="60" w:after="0"/>
      </w:pPr>
    </w:p>
    <w:p w14:paraId="086D31CC">
      <w:pPr>
        <w:pStyle w:val="14"/>
        <w:numPr>
          <w:ilvl w:val="0"/>
          <w:numId w:val="1"/>
        </w:numPr>
        <w:spacing w:before="40" w:after="60" w:line="360" w:lineRule="auto"/>
        <w:jc w:val="both"/>
      </w:pPr>
      <w:r>
        <w:rPr>
          <w:rFonts w:ascii="Arial" w:hAnsi="Arial" w:eastAsia="Arial" w:cs="Arial"/>
          <w:color w:val="595959"/>
          <w:sz w:val="22"/>
          <w:szCs w:val="22"/>
        </w:rPr>
        <w:t>All eight test cases (TC-01 through TC-08) have been executed and results recorded in the UAT test case table.</w:t>
      </w:r>
    </w:p>
    <w:p w14:paraId="0A22AAE7">
      <w:pPr>
        <w:pStyle w:val="14"/>
        <w:numPr>
          <w:ilvl w:val="0"/>
          <w:numId w:val="1"/>
        </w:numPr>
        <w:spacing w:before="40" w:after="60" w:line="360" w:lineRule="auto"/>
        <w:jc w:val="both"/>
      </w:pPr>
      <w:r>
        <w:rPr>
          <w:rFonts w:ascii="Arial" w:hAnsi="Arial" w:eastAsia="Arial" w:cs="Arial"/>
          <w:color w:val="595959"/>
          <w:sz w:val="22"/>
          <w:szCs w:val="22"/>
        </w:rPr>
        <w:t>All Critical and High severity test cases (TC-01 through TC-07) return a PASS status.</w:t>
      </w:r>
    </w:p>
    <w:p w14:paraId="07A5316E">
      <w:pPr>
        <w:pStyle w:val="14"/>
        <w:numPr>
          <w:ilvl w:val="0"/>
          <w:numId w:val="1"/>
        </w:numPr>
        <w:spacing w:before="40" w:after="60" w:line="360" w:lineRule="auto"/>
        <w:jc w:val="both"/>
      </w:pPr>
      <w:r>
        <w:rPr>
          <w:rFonts w:ascii="Arial" w:hAnsi="Arial" w:eastAsia="Arial" w:cs="Arial"/>
          <w:color w:val="595959"/>
          <w:sz w:val="22"/>
          <w:szCs w:val="22"/>
        </w:rPr>
        <w:t>TC-08 returns either PASS or a documented KNOWN ISSUE with the agreed graceful failure behaviour confirmed.</w:t>
      </w:r>
    </w:p>
    <w:p w14:paraId="44873157">
      <w:pPr>
        <w:pStyle w:val="14"/>
        <w:numPr>
          <w:ilvl w:val="0"/>
          <w:numId w:val="1"/>
        </w:numPr>
        <w:spacing w:before="40" w:after="60" w:line="360" w:lineRule="auto"/>
        <w:jc w:val="both"/>
      </w:pPr>
      <w:r>
        <w:rPr>
          <w:rFonts w:ascii="Arial" w:hAnsi="Arial" w:eastAsia="Arial" w:cs="Arial"/>
          <w:color w:val="595959"/>
          <w:sz w:val="22"/>
          <w:szCs w:val="22"/>
        </w:rPr>
        <w:t>No open defects with a severity rating of Critical or High remain unresolved in the defect log.</w:t>
      </w:r>
    </w:p>
    <w:p w14:paraId="11042537">
      <w:pPr>
        <w:pStyle w:val="14"/>
        <w:numPr>
          <w:ilvl w:val="0"/>
          <w:numId w:val="1"/>
        </w:numPr>
        <w:spacing w:before="40" w:after="60" w:line="360" w:lineRule="auto"/>
        <w:jc w:val="both"/>
      </w:pPr>
      <w:r>
        <w:rPr>
          <w:rFonts w:ascii="Arial" w:hAnsi="Arial" w:eastAsia="Arial" w:cs="Arial"/>
          <w:color w:val="595959"/>
          <w:sz w:val="22"/>
          <w:szCs w:val="22"/>
        </w:rPr>
        <w:t>The Business Owner has confirmed verbally and in the UAT sign-off record that the solution meets the business requirements as defined in the Requirement Analysis document.</w:t>
      </w:r>
    </w:p>
    <w:p w14:paraId="58A2B6CB">
      <w:pPr>
        <w:pStyle w:val="14"/>
        <w:numPr>
          <w:ilvl w:val="0"/>
          <w:numId w:val="1"/>
        </w:numPr>
        <w:spacing w:before="40" w:after="60" w:line="360" w:lineRule="auto"/>
        <w:jc w:val="both"/>
      </w:pPr>
      <w:r>
        <w:rPr>
          <w:rFonts w:ascii="Arial" w:hAnsi="Arial" w:eastAsia="Arial" w:cs="Arial"/>
          <w:color w:val="595959"/>
          <w:sz w:val="22"/>
          <w:szCs w:val="22"/>
        </w:rPr>
        <w:t>The Stakeholder Feedback Forms from Section 7 have been completed and returned by all mandatory attendees, with no 'Needs Improvement' or 'Poor' ratings on core functional criteria without a written explanation.</w:t>
      </w:r>
    </w:p>
    <w:p w14:paraId="4B392318">
      <w:pPr>
        <w:spacing w:before="80" w:after="0"/>
      </w:pPr>
    </w:p>
    <w:p w14:paraId="01C6245A">
      <w:pPr>
        <w:pBdr>
          <w:bottom w:val="single" w:color="D0D8E8" w:sz="6" w:space="1"/>
        </w:pBdr>
        <w:spacing w:before="120" w:after="120"/>
      </w:pPr>
    </w:p>
    <w:p w14:paraId="301524FD">
      <w:pPr>
        <w:pStyle w:val="2"/>
        <w:pBdr>
          <w:left w:val="single" w:color="2E75B6" w:sz="28" w:space="8"/>
        </w:pBdr>
        <w:spacing w:before="340" w:after="120"/>
      </w:pPr>
      <w:r>
        <w:rPr>
          <w:rFonts w:ascii="Arial" w:hAnsi="Arial" w:eastAsia="Arial" w:cs="Arial"/>
          <w:b/>
          <w:bCs/>
          <w:color w:val="1F3864"/>
          <w:sz w:val="28"/>
          <w:szCs w:val="28"/>
        </w:rPr>
        <w:t>6. DEFECT TRACKING AND RESOLUTION</w:t>
      </w:r>
    </w:p>
    <w:p w14:paraId="57B2A61E">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6.1  Defect Severity Levels</w:t>
      </w:r>
    </w:p>
    <w:p w14:paraId="3F79BBF8"/>
    <w:p w14:paraId="2BA56160">
      <w:pPr>
        <w:spacing w:before="60" w:after="100" w:line="360" w:lineRule="auto"/>
        <w:jc w:val="both"/>
      </w:pPr>
      <w:r>
        <w:rPr>
          <w:rFonts w:ascii="Arial" w:hAnsi="Arial" w:eastAsia="Arial" w:cs="Arial"/>
          <w:color w:val="595959"/>
          <w:sz w:val="22"/>
          <w:szCs w:val="22"/>
        </w:rPr>
        <w:t>The following severity definitions govern the classification of all defects raised during the demonstration session and UAT execution. All defects must be classified using these definitions at the time of logging. Classification may be revised during triage if new information is available.</w:t>
      </w:r>
    </w:p>
    <w:p w14:paraId="3487F3BF">
      <w:pPr>
        <w:spacing w:before="80" w:after="0"/>
      </w:pPr>
    </w:p>
    <w:tbl>
      <w:tblPr>
        <w:tblStyle w:val="9"/>
        <w:tblW w:w="96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4"/>
        <w:gridCol w:w="4922"/>
        <w:gridCol w:w="3102"/>
      </w:tblGrid>
      <w:tr w14:paraId="65AF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72" w:hRule="atLeast"/>
          <w:tblHeader/>
        </w:trPr>
        <w:tc>
          <w:tcPr>
            <w:tcW w:w="1654" w:type="dxa"/>
            <w:tcBorders>
              <w:top w:val="nil"/>
              <w:left w:val="nil"/>
              <w:bottom w:val="nil"/>
              <w:right w:val="single" w:color="2E75B6" w:sz="4" w:space="0"/>
            </w:tcBorders>
            <w:shd w:val="clear" w:color="auto" w:fill="1F3864"/>
            <w:tcMar>
              <w:top w:w="80" w:type="dxa"/>
              <w:left w:w="120" w:type="dxa"/>
              <w:bottom w:w="80" w:type="dxa"/>
              <w:right w:w="120" w:type="dxa"/>
            </w:tcMar>
          </w:tcPr>
          <w:p w14:paraId="29D1846D">
            <w:r>
              <w:rPr>
                <w:rFonts w:ascii="Arial" w:hAnsi="Arial" w:eastAsia="Arial" w:cs="Arial"/>
                <w:b/>
                <w:bCs/>
                <w:color w:val="FFFFFF"/>
                <w:sz w:val="19"/>
                <w:szCs w:val="19"/>
              </w:rPr>
              <w:t>Severity</w:t>
            </w:r>
          </w:p>
        </w:tc>
        <w:tc>
          <w:tcPr>
            <w:tcW w:w="4922" w:type="dxa"/>
            <w:tcBorders>
              <w:top w:val="nil"/>
              <w:left w:val="nil"/>
              <w:bottom w:val="nil"/>
              <w:right w:val="single" w:color="2E75B6" w:sz="4" w:space="0"/>
            </w:tcBorders>
            <w:shd w:val="clear" w:color="auto" w:fill="1F3864"/>
            <w:tcMar>
              <w:top w:w="80" w:type="dxa"/>
              <w:left w:w="120" w:type="dxa"/>
              <w:bottom w:w="80" w:type="dxa"/>
              <w:right w:w="120" w:type="dxa"/>
            </w:tcMar>
          </w:tcPr>
          <w:p w14:paraId="714732EF">
            <w:r>
              <w:rPr>
                <w:rFonts w:ascii="Arial" w:hAnsi="Arial" w:eastAsia="Arial" w:cs="Arial"/>
                <w:b/>
                <w:bCs/>
                <w:color w:val="FFFFFF"/>
                <w:sz w:val="19"/>
                <w:szCs w:val="19"/>
              </w:rPr>
              <w:t>Description</w:t>
            </w:r>
          </w:p>
        </w:tc>
        <w:tc>
          <w:tcPr>
            <w:tcW w:w="3102" w:type="dxa"/>
            <w:tcBorders>
              <w:top w:val="nil"/>
              <w:left w:val="nil"/>
              <w:bottom w:val="nil"/>
              <w:right w:val="nil"/>
            </w:tcBorders>
            <w:shd w:val="clear" w:color="auto" w:fill="1F3864"/>
            <w:tcMar>
              <w:top w:w="80" w:type="dxa"/>
              <w:left w:w="120" w:type="dxa"/>
              <w:bottom w:w="80" w:type="dxa"/>
              <w:right w:w="120" w:type="dxa"/>
            </w:tcMar>
          </w:tcPr>
          <w:p w14:paraId="5C545D5A">
            <w:r>
              <w:rPr>
                <w:rFonts w:ascii="Arial" w:hAnsi="Arial" w:eastAsia="Arial" w:cs="Arial"/>
                <w:b/>
                <w:bCs/>
                <w:color w:val="FFFFFF"/>
                <w:sz w:val="19"/>
                <w:szCs w:val="19"/>
              </w:rPr>
              <w:t>Resolution Requirement</w:t>
            </w:r>
          </w:p>
        </w:tc>
      </w:tr>
      <w:tr w14:paraId="45C50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53" w:hRule="atLeast"/>
        </w:trPr>
        <w:tc>
          <w:tcPr>
            <w:tcW w:w="1654" w:type="dxa"/>
            <w:tcBorders>
              <w:top w:val="single" w:color="D0DAF0" w:sz="4" w:space="0"/>
              <w:left w:val="single" w:color="C0392B" w:sz="20" w:space="0"/>
              <w:bottom w:val="single" w:color="D0DAF0" w:sz="4" w:space="0"/>
              <w:right w:val="single" w:color="D0DAF0" w:sz="4" w:space="0"/>
            </w:tcBorders>
            <w:shd w:val="clear" w:color="auto" w:fill="FCE4D6"/>
            <w:tcMar>
              <w:top w:w="100" w:type="dxa"/>
              <w:left w:w="120" w:type="dxa"/>
              <w:bottom w:w="100" w:type="dxa"/>
              <w:right w:w="100" w:type="dxa"/>
            </w:tcMar>
          </w:tcPr>
          <w:p w14:paraId="7C853FDE">
            <w:r>
              <w:rPr>
                <w:rFonts w:ascii="Arial" w:hAnsi="Arial" w:eastAsia="Arial" w:cs="Arial"/>
                <w:b/>
                <w:bCs/>
                <w:color w:val="C0392B"/>
                <w:sz w:val="20"/>
                <w:szCs w:val="20"/>
              </w:rPr>
              <w:t>Critical</w:t>
            </w:r>
          </w:p>
        </w:tc>
        <w:tc>
          <w:tcPr>
            <w:tcW w:w="4922" w:type="dxa"/>
            <w:tcBorders>
              <w:top w:val="single" w:color="D0DAF0" w:sz="4" w:space="0"/>
              <w:left w:val="single" w:color="D0DAF0" w:sz="4" w:space="0"/>
              <w:bottom w:val="single" w:color="D0DAF0" w:sz="4" w:space="0"/>
              <w:right w:val="single" w:color="D0DAF0" w:sz="4" w:space="0"/>
            </w:tcBorders>
            <w:shd w:val="clear" w:color="auto" w:fill="F7F9FF"/>
            <w:tcMar>
              <w:top w:w="100" w:type="dxa"/>
              <w:left w:w="120" w:type="dxa"/>
              <w:bottom w:w="100" w:type="dxa"/>
              <w:right w:w="120" w:type="dxa"/>
            </w:tcMar>
          </w:tcPr>
          <w:p w14:paraId="1994FE84">
            <w:r>
              <w:rPr>
                <w:rFonts w:ascii="Arial" w:hAnsi="Arial" w:eastAsia="Arial" w:cs="Arial"/>
                <w:color w:val="595959"/>
                <w:sz w:val="19"/>
                <w:szCs w:val="19"/>
              </w:rPr>
              <w:t>System cannot be demonstrated or core functionality is completely broken — Import Set upload fails, Transform Map does not execute, or dot-walked fields do not appear on the form.</w:t>
            </w:r>
          </w:p>
        </w:tc>
        <w:tc>
          <w:tcPr>
            <w:tcW w:w="3102" w:type="dxa"/>
            <w:tcBorders>
              <w:top w:val="single" w:color="D0DAF0" w:sz="4" w:space="0"/>
              <w:left w:val="single" w:color="D0DAF0" w:sz="4" w:space="0"/>
              <w:bottom w:val="single" w:color="D0DAF0" w:sz="4" w:space="0"/>
              <w:right w:val="single" w:color="D0DAF0" w:sz="4" w:space="0"/>
            </w:tcBorders>
            <w:shd w:val="clear" w:color="auto" w:fill="F7F9FF"/>
            <w:tcMar>
              <w:top w:w="100" w:type="dxa"/>
              <w:left w:w="120" w:type="dxa"/>
              <w:bottom w:w="100" w:type="dxa"/>
              <w:right w:w="120" w:type="dxa"/>
            </w:tcMar>
          </w:tcPr>
          <w:p w14:paraId="0EE502A2">
            <w:r>
              <w:rPr>
                <w:rFonts w:ascii="Arial" w:hAnsi="Arial" w:eastAsia="Arial" w:cs="Arial"/>
                <w:color w:val="595959"/>
                <w:sz w:val="19"/>
                <w:szCs w:val="19"/>
              </w:rPr>
              <w:t>Must be resolved before the demonstration can proceed or before UAT sign-off can be obtained.</w:t>
            </w:r>
          </w:p>
        </w:tc>
      </w:tr>
      <w:tr w14:paraId="14CEB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53" w:hRule="atLeast"/>
        </w:trPr>
        <w:tc>
          <w:tcPr>
            <w:tcW w:w="1654" w:type="dxa"/>
            <w:tcBorders>
              <w:top w:val="single" w:color="D0DAF0" w:sz="4" w:space="0"/>
              <w:left w:val="single" w:color="F0A500" w:sz="20" w:space="0"/>
              <w:bottom w:val="single" w:color="D0DAF0" w:sz="4" w:space="0"/>
              <w:right w:val="single" w:color="D0DAF0" w:sz="4" w:space="0"/>
            </w:tcBorders>
            <w:shd w:val="clear" w:color="auto" w:fill="FFF2CC"/>
            <w:tcMar>
              <w:top w:w="100" w:type="dxa"/>
              <w:left w:w="120" w:type="dxa"/>
              <w:bottom w:w="100" w:type="dxa"/>
              <w:right w:w="100" w:type="dxa"/>
            </w:tcMar>
          </w:tcPr>
          <w:p w14:paraId="2084A674">
            <w:r>
              <w:rPr>
                <w:rFonts w:ascii="Arial" w:hAnsi="Arial" w:eastAsia="Arial" w:cs="Arial"/>
                <w:b/>
                <w:bCs/>
                <w:color w:val="F0A500"/>
                <w:sz w:val="20"/>
                <w:szCs w:val="20"/>
              </w:rPr>
              <w:t>High</w:t>
            </w:r>
          </w:p>
        </w:tc>
        <w:tc>
          <w:tcPr>
            <w:tcW w:w="4922" w:type="dxa"/>
            <w:tcBorders>
              <w:top w:val="single" w:color="D0DAF0" w:sz="4" w:space="0"/>
              <w:left w:val="single" w:color="D0DAF0" w:sz="4" w:space="0"/>
              <w:bottom w:val="single" w:color="D0DAF0" w:sz="4" w:space="0"/>
              <w:right w:val="single" w:color="D0DAF0" w:sz="4" w:space="0"/>
            </w:tcBorders>
            <w:shd w:val="clear" w:color="auto" w:fill="F7F9FF"/>
            <w:tcMar>
              <w:top w:w="100" w:type="dxa"/>
              <w:left w:w="120" w:type="dxa"/>
              <w:bottom w:w="100" w:type="dxa"/>
              <w:right w:w="120" w:type="dxa"/>
            </w:tcMar>
          </w:tcPr>
          <w:p w14:paraId="53C536C0">
            <w:r>
              <w:rPr>
                <w:rFonts w:ascii="Arial" w:hAnsi="Arial" w:eastAsia="Arial" w:cs="Arial"/>
                <w:color w:val="595959"/>
                <w:sz w:val="19"/>
                <w:szCs w:val="19"/>
              </w:rPr>
              <w:t>A required feature does not function correctly and no workaround is available — for example, manager field remains unresolved for all records, or auto-population does not trigger.</w:t>
            </w:r>
          </w:p>
        </w:tc>
        <w:tc>
          <w:tcPr>
            <w:tcW w:w="3102" w:type="dxa"/>
            <w:tcBorders>
              <w:top w:val="single" w:color="D0DAF0" w:sz="4" w:space="0"/>
              <w:left w:val="single" w:color="D0DAF0" w:sz="4" w:space="0"/>
              <w:bottom w:val="single" w:color="D0DAF0" w:sz="4" w:space="0"/>
              <w:right w:val="single" w:color="D0DAF0" w:sz="4" w:space="0"/>
            </w:tcBorders>
            <w:shd w:val="clear" w:color="auto" w:fill="F7F9FF"/>
            <w:tcMar>
              <w:top w:w="100" w:type="dxa"/>
              <w:left w:w="120" w:type="dxa"/>
              <w:bottom w:w="100" w:type="dxa"/>
              <w:right w:w="120" w:type="dxa"/>
            </w:tcMar>
          </w:tcPr>
          <w:p w14:paraId="59495216">
            <w:r>
              <w:rPr>
                <w:rFonts w:ascii="Arial" w:hAnsi="Arial" w:eastAsia="Arial" w:cs="Arial"/>
                <w:color w:val="595959"/>
                <w:sz w:val="19"/>
                <w:szCs w:val="19"/>
              </w:rPr>
              <w:t>Must be resolved before UAT sign-off.</w:t>
            </w:r>
          </w:p>
        </w:tc>
      </w:tr>
      <w:tr w14:paraId="5407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353" w:hRule="atLeast"/>
        </w:trPr>
        <w:tc>
          <w:tcPr>
            <w:tcW w:w="1654" w:type="dxa"/>
            <w:tcBorders>
              <w:top w:val="single" w:color="D0DAF0" w:sz="4" w:space="0"/>
              <w:left w:val="single" w:color="F0A500" w:sz="20" w:space="0"/>
              <w:bottom w:val="single" w:color="D0DAF0" w:sz="4" w:space="0"/>
              <w:right w:val="single" w:color="D0DAF0" w:sz="4" w:space="0"/>
            </w:tcBorders>
            <w:shd w:val="clear" w:color="auto" w:fill="FFFBEA"/>
            <w:tcMar>
              <w:top w:w="100" w:type="dxa"/>
              <w:left w:w="120" w:type="dxa"/>
              <w:bottom w:w="100" w:type="dxa"/>
              <w:right w:w="100" w:type="dxa"/>
            </w:tcMar>
          </w:tcPr>
          <w:p w14:paraId="35F824AB">
            <w:r>
              <w:rPr>
                <w:rFonts w:ascii="Arial" w:hAnsi="Arial" w:eastAsia="Arial" w:cs="Arial"/>
                <w:b/>
                <w:bCs/>
                <w:color w:val="F0A500"/>
                <w:sz w:val="20"/>
                <w:szCs w:val="20"/>
              </w:rPr>
              <w:t>Medium</w:t>
            </w:r>
          </w:p>
        </w:tc>
        <w:tc>
          <w:tcPr>
            <w:tcW w:w="4922" w:type="dxa"/>
            <w:tcBorders>
              <w:top w:val="single" w:color="D0DAF0" w:sz="4" w:space="0"/>
              <w:left w:val="single" w:color="D0DAF0" w:sz="4" w:space="0"/>
              <w:bottom w:val="single" w:color="D0DAF0" w:sz="4" w:space="0"/>
              <w:right w:val="single" w:color="D0DAF0" w:sz="4" w:space="0"/>
            </w:tcBorders>
            <w:shd w:val="clear" w:color="auto" w:fill="F7F9FF"/>
            <w:tcMar>
              <w:top w:w="100" w:type="dxa"/>
              <w:left w:w="120" w:type="dxa"/>
              <w:bottom w:w="100" w:type="dxa"/>
              <w:right w:w="120" w:type="dxa"/>
            </w:tcMar>
          </w:tcPr>
          <w:p w14:paraId="169396D9">
            <w:r>
              <w:rPr>
                <w:rFonts w:ascii="Arial" w:hAnsi="Arial" w:eastAsia="Arial" w:cs="Arial"/>
                <w:color w:val="595959"/>
                <w:sz w:val="19"/>
                <w:szCs w:val="19"/>
              </w:rPr>
              <w:t>A feature produces incorrect results in some scenarios but a workaround exists — for example, phone field unpopulated on some records but correctable by re-import.</w:t>
            </w:r>
          </w:p>
        </w:tc>
        <w:tc>
          <w:tcPr>
            <w:tcW w:w="3102" w:type="dxa"/>
            <w:tcBorders>
              <w:top w:val="single" w:color="D0DAF0" w:sz="4" w:space="0"/>
              <w:left w:val="single" w:color="D0DAF0" w:sz="4" w:space="0"/>
              <w:bottom w:val="single" w:color="D0DAF0" w:sz="4" w:space="0"/>
              <w:right w:val="single" w:color="D0DAF0" w:sz="4" w:space="0"/>
            </w:tcBorders>
            <w:shd w:val="clear" w:color="auto" w:fill="F7F9FF"/>
            <w:tcMar>
              <w:top w:w="100" w:type="dxa"/>
              <w:left w:w="120" w:type="dxa"/>
              <w:bottom w:w="100" w:type="dxa"/>
              <w:right w:w="120" w:type="dxa"/>
            </w:tcMar>
          </w:tcPr>
          <w:p w14:paraId="4D5E8CE2">
            <w:r>
              <w:rPr>
                <w:rFonts w:ascii="Arial" w:hAnsi="Arial" w:eastAsia="Arial" w:cs="Arial"/>
                <w:color w:val="595959"/>
                <w:sz w:val="19"/>
                <w:szCs w:val="19"/>
              </w:rPr>
              <w:t>Should be resolved before operational handover or formally documented as a known issue.</w:t>
            </w:r>
          </w:p>
        </w:tc>
      </w:tr>
      <w:tr w14:paraId="5818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93" w:hRule="atLeast"/>
        </w:trPr>
        <w:tc>
          <w:tcPr>
            <w:tcW w:w="1654" w:type="dxa"/>
            <w:tcBorders>
              <w:top w:val="single" w:color="D0DAF0" w:sz="4" w:space="0"/>
              <w:left w:val="single" w:color="548235" w:sz="20" w:space="0"/>
              <w:bottom w:val="single" w:color="D0DAF0" w:sz="4" w:space="0"/>
              <w:right w:val="single" w:color="D0DAF0" w:sz="4" w:space="0"/>
            </w:tcBorders>
            <w:shd w:val="clear" w:color="auto" w:fill="E2EFDA"/>
            <w:tcMar>
              <w:top w:w="100" w:type="dxa"/>
              <w:left w:w="120" w:type="dxa"/>
              <w:bottom w:w="100" w:type="dxa"/>
              <w:right w:w="100" w:type="dxa"/>
            </w:tcMar>
          </w:tcPr>
          <w:p w14:paraId="65EC1346">
            <w:r>
              <w:rPr>
                <w:rFonts w:ascii="Arial" w:hAnsi="Arial" w:eastAsia="Arial" w:cs="Arial"/>
                <w:b/>
                <w:bCs/>
                <w:color w:val="548235"/>
                <w:sz w:val="20"/>
                <w:szCs w:val="20"/>
              </w:rPr>
              <w:t>Low</w:t>
            </w:r>
          </w:p>
        </w:tc>
        <w:tc>
          <w:tcPr>
            <w:tcW w:w="4922" w:type="dxa"/>
            <w:tcBorders>
              <w:top w:val="single" w:color="D0DAF0" w:sz="4" w:space="0"/>
              <w:left w:val="single" w:color="D0DAF0" w:sz="4" w:space="0"/>
              <w:bottom w:val="single" w:color="D0DAF0" w:sz="4" w:space="0"/>
              <w:right w:val="single" w:color="D0DAF0" w:sz="4" w:space="0"/>
            </w:tcBorders>
            <w:shd w:val="clear" w:color="auto" w:fill="F7F9FF"/>
            <w:tcMar>
              <w:top w:w="100" w:type="dxa"/>
              <w:left w:w="120" w:type="dxa"/>
              <w:bottom w:w="100" w:type="dxa"/>
              <w:right w:w="120" w:type="dxa"/>
            </w:tcMar>
          </w:tcPr>
          <w:p w14:paraId="6E304836">
            <w:r>
              <w:rPr>
                <w:rFonts w:ascii="Arial" w:hAnsi="Arial" w:eastAsia="Arial" w:cs="Arial"/>
                <w:color w:val="595959"/>
                <w:sz w:val="19"/>
                <w:szCs w:val="19"/>
              </w:rPr>
              <w:t>Cosmetic or minor usability issues — for example, field label formatting, column ordering in staging table view.</w:t>
            </w:r>
          </w:p>
        </w:tc>
        <w:tc>
          <w:tcPr>
            <w:tcW w:w="3102" w:type="dxa"/>
            <w:tcBorders>
              <w:top w:val="single" w:color="D0DAF0" w:sz="4" w:space="0"/>
              <w:left w:val="single" w:color="D0DAF0" w:sz="4" w:space="0"/>
              <w:bottom w:val="single" w:color="D0DAF0" w:sz="4" w:space="0"/>
              <w:right w:val="single" w:color="D0DAF0" w:sz="4" w:space="0"/>
            </w:tcBorders>
            <w:shd w:val="clear" w:color="auto" w:fill="F7F9FF"/>
            <w:tcMar>
              <w:top w:w="100" w:type="dxa"/>
              <w:left w:w="120" w:type="dxa"/>
              <w:bottom w:w="100" w:type="dxa"/>
              <w:right w:w="120" w:type="dxa"/>
            </w:tcMar>
          </w:tcPr>
          <w:p w14:paraId="7E7FC642">
            <w:r>
              <w:rPr>
                <w:rFonts w:ascii="Arial" w:hAnsi="Arial" w:eastAsia="Arial" w:cs="Arial"/>
                <w:color w:val="595959"/>
                <w:sz w:val="19"/>
                <w:szCs w:val="19"/>
              </w:rPr>
              <w:t>May be deferred to a future enhancement cycle.</w:t>
            </w:r>
          </w:p>
        </w:tc>
      </w:tr>
    </w:tbl>
    <w:p w14:paraId="381EB385">
      <w:pPr>
        <w:spacing w:before="80" w:after="0"/>
      </w:pPr>
    </w:p>
    <w:p w14:paraId="68923A32">
      <w:pPr>
        <w:pStyle w:val="3"/>
        <w:spacing w:before="220" w:after="80"/>
        <w:rPr>
          <w:rFonts w:ascii="Arial" w:hAnsi="Arial" w:eastAsia="Arial" w:cs="Arial"/>
          <w:b/>
          <w:bCs/>
          <w:color w:val="2E75B6"/>
          <w:sz w:val="24"/>
          <w:szCs w:val="24"/>
        </w:rPr>
      </w:pPr>
      <w:r>
        <w:rPr>
          <w:rFonts w:ascii="Arial" w:hAnsi="Arial" w:eastAsia="Arial" w:cs="Arial"/>
          <w:b/>
          <w:bCs/>
          <w:color w:val="2E75B6"/>
          <w:sz w:val="24"/>
          <w:szCs w:val="24"/>
        </w:rPr>
        <w:t>6.2  Defect Log</w:t>
      </w:r>
    </w:p>
    <w:p w14:paraId="24E824DF"/>
    <w:p w14:paraId="38910AE9">
      <w:pPr>
        <w:spacing w:before="60" w:after="100" w:line="360" w:lineRule="auto"/>
        <w:jc w:val="both"/>
      </w:pPr>
      <w:r>
        <w:rPr>
          <w:rFonts w:ascii="Arial" w:hAnsi="Arial" w:eastAsia="Arial" w:cs="Arial"/>
          <w:color w:val="595959"/>
          <w:sz w:val="22"/>
          <w:szCs w:val="22"/>
        </w:rPr>
        <w:t>All defects identified during the demonstration session or UAT execution must be recorded in the following log by the QA / UAT Lead. Each entry must include a unique Defect ID (format: DEF-XXX), a clear description of the observed behaviour, reproducible steps, the assigned severity level, current status, the developer or administrator assigned to resolution, and the final resolution description once resolved.</w:t>
      </w:r>
    </w:p>
    <w:p w14:paraId="7ECAF188">
      <w:pPr>
        <w:spacing w:before="60" w:after="100" w:line="360" w:lineRule="auto"/>
        <w:jc w:val="both"/>
      </w:pPr>
      <w:r>
        <w:rPr>
          <w:rFonts w:ascii="Arial" w:hAnsi="Arial" w:eastAsia="Arial" w:cs="Arial"/>
          <w:color w:val="595959"/>
          <w:sz w:val="22"/>
          <w:szCs w:val="22"/>
        </w:rPr>
        <w:t>Status values: Open (logged, not yet investigated), In Progress (under investigation or being fixed), Resolved (fix applied, awaiting retest), Closed (retested and confirmed fixed), Deferred (agreed to defer to future phase, documented as known issue).</w:t>
      </w:r>
    </w:p>
    <w:p w14:paraId="43A62167">
      <w:pPr>
        <w:pStyle w:val="2"/>
        <w:numPr>
          <w:ilvl w:val="0"/>
          <w:numId w:val="2"/>
        </w:numPr>
        <w:pBdr>
          <w:left w:val="single" w:color="2E75B6" w:sz="28" w:space="8"/>
        </w:pBdr>
        <w:spacing w:before="340" w:after="120"/>
        <w:rPr>
          <w:rFonts w:ascii="Arial" w:hAnsi="Arial" w:eastAsia="Arial" w:cs="Arial"/>
          <w:b/>
          <w:bCs/>
          <w:color w:val="1F3864"/>
          <w:sz w:val="28"/>
          <w:szCs w:val="28"/>
        </w:rPr>
      </w:pPr>
      <w:r>
        <w:rPr>
          <w:rFonts w:ascii="Arial" w:hAnsi="Arial" w:eastAsia="Arial" w:cs="Arial"/>
          <w:b/>
          <w:bCs/>
          <w:color w:val="1F3864"/>
          <w:sz w:val="28"/>
          <w:szCs w:val="28"/>
        </w:rPr>
        <w:t>STAKEHOLDER FEEDBACK FORM</w:t>
      </w:r>
    </w:p>
    <w:p w14:paraId="3F70DF8E">
      <w:pPr>
        <w:numPr>
          <w:numId w:val="0"/>
        </w:numPr>
      </w:pPr>
    </w:p>
    <w:p w14:paraId="30ED3949">
      <w:pPr>
        <w:spacing w:before="60" w:after="100" w:line="360" w:lineRule="auto"/>
        <w:jc w:val="both"/>
      </w:pPr>
      <w:r>
        <w:rPr>
          <w:rFonts w:ascii="Arial" w:hAnsi="Arial" w:eastAsia="Arial" w:cs="Arial"/>
          <w:color w:val="595959"/>
          <w:sz w:val="22"/>
          <w:szCs w:val="22"/>
        </w:rPr>
        <w:t>This feedback form is to be completed by each stakeholder attendee following the demonstration session. It may be completed during the Q&amp;A segment or returned to the Project Manager within 24 hours of the session. The feedback collected here will inform the UAT process and any future enhancements.</w:t>
      </w:r>
    </w:p>
    <w:p w14:paraId="04AEE247">
      <w:pPr>
        <w:spacing w:before="60" w:after="100" w:line="360" w:lineRule="auto"/>
        <w:jc w:val="both"/>
      </w:pPr>
      <w:r>
        <w:rPr>
          <w:rFonts w:ascii="Arial" w:hAnsi="Arial" w:eastAsia="Arial" w:cs="Arial"/>
          <w:color w:val="595959"/>
          <w:sz w:val="22"/>
          <w:szCs w:val="22"/>
        </w:rPr>
        <w:t>Please rate each aspect of the solution using the scale provided (5 = Excellent, 1 = Poor). Use the Comments column for specific observations. Written feedback in the open-text fields below is particularly valuable for aspects that received a rating of 3 or below.</w:t>
      </w:r>
    </w:p>
    <w:p w14:paraId="0EE02159">
      <w:pPr>
        <w:pBdr>
          <w:bottom w:val="single" w:color="D0D8E8" w:sz="6" w:space="1"/>
        </w:pBdr>
        <w:spacing w:before="120" w:after="120"/>
      </w:pPr>
    </w:p>
    <w:p w14:paraId="1A91097B">
      <w:pPr>
        <w:pStyle w:val="2"/>
        <w:numPr>
          <w:ilvl w:val="0"/>
          <w:numId w:val="2"/>
        </w:numPr>
        <w:pBdr>
          <w:left w:val="single" w:color="2E75B6" w:sz="28" w:space="8"/>
        </w:pBdr>
        <w:spacing w:before="340" w:after="120"/>
        <w:ind w:left="0" w:leftChars="0" w:firstLine="0" w:firstLineChars="0"/>
        <w:rPr>
          <w:rFonts w:ascii="Arial" w:hAnsi="Arial" w:eastAsia="Arial" w:cs="Arial"/>
          <w:b/>
          <w:bCs/>
          <w:color w:val="1F3864"/>
          <w:sz w:val="28"/>
          <w:szCs w:val="28"/>
        </w:rPr>
      </w:pPr>
      <w:r>
        <w:rPr>
          <w:rFonts w:ascii="Arial" w:hAnsi="Arial" w:eastAsia="Arial" w:cs="Arial"/>
          <w:b/>
          <w:bCs/>
          <w:color w:val="1F3864"/>
          <w:sz w:val="28"/>
          <w:szCs w:val="28"/>
        </w:rPr>
        <w:t>PROJECT SIGN-OFF DOCUMENT</w:t>
      </w:r>
    </w:p>
    <w:p w14:paraId="6509508E">
      <w:pPr>
        <w:numPr>
          <w:numId w:val="0"/>
        </w:numPr>
        <w:ind w:leftChars="0"/>
      </w:pPr>
    </w:p>
    <w:p w14:paraId="091B9787">
      <w:pPr>
        <w:spacing w:before="60" w:after="100" w:line="360" w:lineRule="auto"/>
        <w:jc w:val="both"/>
        <w:rPr>
          <w:rFonts w:ascii="Arial" w:hAnsi="Arial" w:eastAsia="Arial" w:cs="Arial"/>
          <w:color w:val="595959"/>
          <w:sz w:val="22"/>
          <w:szCs w:val="22"/>
        </w:rPr>
      </w:pPr>
      <w:r>
        <w:rPr>
          <w:rFonts w:ascii="Arial" w:hAnsi="Arial" w:eastAsia="Arial" w:cs="Arial"/>
          <w:color w:val="595959"/>
          <w:sz w:val="22"/>
          <w:szCs w:val="22"/>
        </w:rPr>
        <w:t>This section constitutes the formal Project Acceptance Form for the Employee Data Import and Relationship Mapping Automation project. By signing this form, each approver confirms that they have observed the demonstration of the completed solution, reviewed the UAT results, and are satisfied that the solution meets the requirements defined in the Requirement Analysis document.</w:t>
      </w:r>
    </w:p>
    <w:p w14:paraId="7C2DC5EA">
      <w:pPr>
        <w:spacing w:before="60" w:after="100" w:line="360" w:lineRule="auto"/>
        <w:jc w:val="both"/>
        <w:rPr>
          <w:rFonts w:ascii="Arial" w:hAnsi="Arial" w:eastAsia="Arial" w:cs="Arial"/>
          <w:color w:val="595959"/>
          <w:sz w:val="22"/>
          <w:szCs w:val="22"/>
        </w:rPr>
      </w:pPr>
    </w:p>
    <w:p w14:paraId="580B8466">
      <w:pPr>
        <w:spacing w:before="60" w:after="100" w:line="360" w:lineRule="auto"/>
        <w:jc w:val="both"/>
      </w:pPr>
      <w:r>
        <w:rPr>
          <w:rFonts w:ascii="Arial" w:hAnsi="Arial" w:eastAsia="Arial" w:cs="Arial"/>
          <w:color w:val="595959"/>
          <w:sz w:val="22"/>
          <w:szCs w:val="22"/>
        </w:rPr>
        <w:t>This form may only be signed after all UAT success criteria defined in Section 5.4 have been confirmed as met by the QA / UAT Lead. A signed copy of this form should be retained in the project repository alongside the full project documentation series (Phases 1–7).</w:t>
      </w:r>
    </w:p>
    <w:p w14:paraId="6591B3BA">
      <w:pPr>
        <w:pBdr>
          <w:bottom w:val="single" w:color="D0D8E8" w:sz="6" w:space="1"/>
        </w:pBdr>
        <w:spacing w:before="120" w:after="120"/>
      </w:pPr>
    </w:p>
    <w:p w14:paraId="7759044A">
      <w:pPr>
        <w:pStyle w:val="2"/>
        <w:numPr>
          <w:ilvl w:val="0"/>
          <w:numId w:val="2"/>
        </w:numPr>
        <w:pBdr>
          <w:left w:val="single" w:color="2E75B6" w:sz="28" w:space="8"/>
        </w:pBdr>
        <w:spacing w:before="340" w:after="120"/>
        <w:ind w:left="0" w:leftChars="0" w:firstLine="0" w:firstLineChars="0"/>
        <w:rPr>
          <w:rFonts w:ascii="Arial" w:hAnsi="Arial" w:eastAsia="Arial" w:cs="Arial"/>
          <w:b/>
          <w:bCs/>
          <w:color w:val="1F3864"/>
          <w:sz w:val="28"/>
          <w:szCs w:val="28"/>
        </w:rPr>
      </w:pPr>
      <w:r>
        <w:rPr>
          <w:rFonts w:ascii="Arial" w:hAnsi="Arial" w:eastAsia="Arial" w:cs="Arial"/>
          <w:b/>
          <w:bCs/>
          <w:color w:val="1F3864"/>
          <w:sz w:val="28"/>
          <w:szCs w:val="28"/>
        </w:rPr>
        <w:t>DEMONSTRATION PHASE CHECKLIST</w:t>
      </w:r>
    </w:p>
    <w:p w14:paraId="0FB4756C">
      <w:pPr>
        <w:numPr>
          <w:numId w:val="0"/>
        </w:numPr>
        <w:ind w:leftChars="0"/>
      </w:pPr>
    </w:p>
    <w:p w14:paraId="40C46B4C">
      <w:pPr>
        <w:spacing w:before="60" w:after="100" w:line="360" w:lineRule="auto"/>
        <w:jc w:val="both"/>
        <w:rPr>
          <w:rFonts w:ascii="Arial" w:hAnsi="Arial" w:eastAsia="Arial" w:cs="Arial"/>
          <w:color w:val="595959"/>
          <w:sz w:val="22"/>
          <w:szCs w:val="22"/>
        </w:rPr>
      </w:pPr>
      <w:r>
        <w:rPr>
          <w:rFonts w:ascii="Arial" w:hAnsi="Arial" w:eastAsia="Arial" w:cs="Arial"/>
          <w:color w:val="595959"/>
          <w:sz w:val="22"/>
          <w:szCs w:val="22"/>
        </w:rPr>
        <w:t>The following checklist tracks the completion of all administrative and operational tasks required to plan, execute, and formally close the Demonstration Phase. The Project Manager is responsible for maintaining this checklist. Each task should be marked complete only after it has been verified — not when it has been initiated. All items must be checked before the Demonstration Phase can be formally closed.</w:t>
      </w:r>
    </w:p>
    <w:p w14:paraId="505D3C2E">
      <w:pPr>
        <w:spacing w:before="60" w:after="100" w:line="360" w:lineRule="auto"/>
        <w:jc w:val="both"/>
        <w:rPr>
          <w:rFonts w:ascii="Arial" w:hAnsi="Arial" w:eastAsia="Arial" w:cs="Arial"/>
          <w:color w:val="595959"/>
          <w:sz w:val="22"/>
          <w:szCs w:val="22"/>
        </w:rPr>
      </w:pPr>
    </w:p>
    <w:p w14:paraId="44E0A348">
      <w:pPr>
        <w:spacing w:before="60" w:after="100" w:line="360" w:lineRule="auto"/>
        <w:jc w:val="both"/>
        <w:rPr>
          <w:rFonts w:ascii="Arial" w:hAnsi="Arial" w:eastAsia="Arial" w:cs="Arial"/>
          <w:color w:val="595959"/>
          <w:sz w:val="22"/>
          <w:szCs w:val="22"/>
        </w:rPr>
      </w:pPr>
    </w:p>
    <w:p w14:paraId="1BC7CA4C">
      <w:pPr>
        <w:spacing w:before="60" w:after="100" w:line="360" w:lineRule="auto"/>
        <w:jc w:val="both"/>
        <w:rPr>
          <w:rFonts w:ascii="Arial" w:hAnsi="Arial" w:eastAsia="Arial" w:cs="Arial"/>
          <w:color w:val="595959"/>
          <w:sz w:val="22"/>
          <w:szCs w:val="22"/>
        </w:rPr>
      </w:pPr>
    </w:p>
    <w:p w14:paraId="11F8399E">
      <w:pPr>
        <w:pBdr>
          <w:bottom w:val="single" w:color="D0D8E8" w:sz="6" w:space="1"/>
        </w:pBdr>
        <w:spacing w:before="120" w:after="120"/>
      </w:pPr>
    </w:p>
    <w:p w14:paraId="57646987">
      <w:pPr>
        <w:pStyle w:val="2"/>
        <w:numPr>
          <w:ilvl w:val="0"/>
          <w:numId w:val="2"/>
        </w:numPr>
        <w:pBdr>
          <w:left w:val="single" w:color="2E75B6" w:sz="28" w:space="8"/>
        </w:pBdr>
        <w:spacing w:before="340" w:after="120"/>
        <w:ind w:left="0" w:leftChars="0" w:firstLine="0" w:firstLineChars="0"/>
        <w:rPr>
          <w:rFonts w:ascii="Arial" w:hAnsi="Arial" w:eastAsia="Arial" w:cs="Arial"/>
          <w:b/>
          <w:bCs/>
          <w:color w:val="1F3864"/>
          <w:sz w:val="28"/>
          <w:szCs w:val="28"/>
        </w:rPr>
      </w:pPr>
      <w:r>
        <w:rPr>
          <w:rFonts w:ascii="Arial" w:hAnsi="Arial" w:eastAsia="Arial" w:cs="Arial"/>
          <w:b/>
          <w:bCs/>
          <w:color w:val="1F3864"/>
          <w:sz w:val="28"/>
          <w:szCs w:val="28"/>
        </w:rPr>
        <w:t>CONCLUSION AND TRANSITION TO OPERATIONS</w:t>
      </w:r>
    </w:p>
    <w:p w14:paraId="57C5316E">
      <w:pPr>
        <w:numPr>
          <w:numId w:val="0"/>
        </w:numPr>
        <w:ind w:leftChars="0"/>
      </w:pPr>
    </w:p>
    <w:p w14:paraId="63E35CEB">
      <w:pPr>
        <w:spacing w:before="60" w:after="100" w:line="360" w:lineRule="auto"/>
        <w:jc w:val="both"/>
      </w:pPr>
      <w:r>
        <w:rPr>
          <w:rFonts w:ascii="Arial" w:hAnsi="Arial" w:eastAsia="Arial" w:cs="Arial"/>
          <w:color w:val="595959"/>
          <w:sz w:val="22"/>
          <w:szCs w:val="22"/>
        </w:rPr>
        <w:t>Upon successful completion of all activities in this Demonstration Phase document — including executed UAT, resolved defects, completed feedback forms, and a signed Project Acceptance Form — the project will formally transition from the delivery team to the operations and support team. This transition marks the end of the active project lifecycle and the beginning of the ongoing maintenance period governed by the Project Documentation Phase (Phase 6) document.</w:t>
      </w:r>
    </w:p>
    <w:p w14:paraId="35021715">
      <w:pPr>
        <w:spacing w:before="80" w:after="0"/>
      </w:pPr>
    </w:p>
    <w:p w14:paraId="3B911858">
      <w:pPr>
        <w:pStyle w:val="3"/>
        <w:numPr>
          <w:ilvl w:val="1"/>
          <w:numId w:val="2"/>
        </w:numPr>
        <w:spacing w:before="220" w:after="80"/>
        <w:rPr>
          <w:rFonts w:ascii="Arial" w:hAnsi="Arial" w:eastAsia="Arial" w:cs="Arial"/>
          <w:b/>
          <w:bCs/>
          <w:color w:val="2E75B6"/>
          <w:sz w:val="24"/>
          <w:szCs w:val="24"/>
        </w:rPr>
      </w:pPr>
      <w:r>
        <w:rPr>
          <w:rFonts w:ascii="Arial" w:hAnsi="Arial" w:eastAsia="Arial" w:cs="Arial"/>
          <w:b/>
          <w:bCs/>
          <w:color w:val="2E75B6"/>
          <w:sz w:val="24"/>
          <w:szCs w:val="24"/>
        </w:rPr>
        <w:t xml:space="preserve"> Handover Items</w:t>
      </w:r>
    </w:p>
    <w:p w14:paraId="15085222">
      <w:pPr>
        <w:numPr>
          <w:numId w:val="0"/>
        </w:numPr>
        <w:ind w:leftChars="0"/>
      </w:pPr>
    </w:p>
    <w:p w14:paraId="6CF5FD87">
      <w:pPr>
        <w:spacing w:before="60" w:after="100" w:line="360" w:lineRule="auto"/>
        <w:jc w:val="both"/>
      </w:pPr>
      <w:r>
        <w:rPr>
          <w:rFonts w:ascii="Arial" w:hAnsi="Arial" w:eastAsia="Arial" w:cs="Arial"/>
          <w:color w:val="595959"/>
          <w:sz w:val="22"/>
          <w:szCs w:val="22"/>
        </w:rPr>
        <w:t>The following items will be formally transferred to the IT Operations team upon project sign-off. The Project Manager is responsible for confirming receipt of each item with the IT Operations Manager before the project is archived.</w:t>
      </w:r>
    </w:p>
    <w:tbl>
      <w:tblPr>
        <w:tblStyle w:val="9"/>
        <w:tblpPr w:leftFromText="180" w:rightFromText="180" w:vertAnchor="text" w:horzAnchor="page" w:tblpX="1328" w:tblpY="246"/>
        <w:tblOverlap w:val="never"/>
        <w:tblW w:w="99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79"/>
        <w:gridCol w:w="3788"/>
        <w:gridCol w:w="1702"/>
        <w:gridCol w:w="1489"/>
      </w:tblGrid>
      <w:tr w14:paraId="145CC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58" w:hRule="atLeast"/>
          <w:tblHeader/>
        </w:trPr>
        <w:tc>
          <w:tcPr>
            <w:tcW w:w="2979" w:type="dxa"/>
            <w:tcBorders>
              <w:top w:val="nil"/>
              <w:left w:val="nil"/>
              <w:bottom w:val="nil"/>
              <w:right w:val="single" w:color="2E75B6" w:sz="4" w:space="0"/>
            </w:tcBorders>
            <w:shd w:val="clear" w:color="auto" w:fill="1F3864"/>
            <w:tcMar>
              <w:top w:w="80" w:type="dxa"/>
              <w:left w:w="120" w:type="dxa"/>
              <w:bottom w:w="80" w:type="dxa"/>
              <w:right w:w="120" w:type="dxa"/>
            </w:tcMar>
          </w:tcPr>
          <w:p w14:paraId="23C2A99E">
            <w:bookmarkStart w:id="0" w:name="_GoBack"/>
            <w:bookmarkEnd w:id="0"/>
            <w:r>
              <w:rPr>
                <w:rFonts w:ascii="Arial" w:hAnsi="Arial" w:eastAsia="Arial" w:cs="Arial"/>
                <w:b/>
                <w:bCs/>
                <w:color w:val="FFFFFF"/>
                <w:sz w:val="19"/>
                <w:szCs w:val="19"/>
              </w:rPr>
              <w:t>Handover Item</w:t>
            </w:r>
          </w:p>
        </w:tc>
        <w:tc>
          <w:tcPr>
            <w:tcW w:w="3788" w:type="dxa"/>
            <w:tcBorders>
              <w:top w:val="nil"/>
              <w:left w:val="nil"/>
              <w:bottom w:val="nil"/>
              <w:right w:val="single" w:color="2E75B6" w:sz="4" w:space="0"/>
            </w:tcBorders>
            <w:shd w:val="clear" w:color="auto" w:fill="1F3864"/>
            <w:tcMar>
              <w:top w:w="80" w:type="dxa"/>
              <w:left w:w="120" w:type="dxa"/>
              <w:bottom w:w="80" w:type="dxa"/>
              <w:right w:w="120" w:type="dxa"/>
            </w:tcMar>
          </w:tcPr>
          <w:p w14:paraId="78C02ABA">
            <w:r>
              <w:rPr>
                <w:rFonts w:ascii="Arial" w:hAnsi="Arial" w:eastAsia="Arial" w:cs="Arial"/>
                <w:b/>
                <w:bCs/>
                <w:color w:val="FFFFFF"/>
                <w:sz w:val="19"/>
                <w:szCs w:val="19"/>
              </w:rPr>
              <w:t>Description</w:t>
            </w:r>
          </w:p>
        </w:tc>
        <w:tc>
          <w:tcPr>
            <w:tcW w:w="1702" w:type="dxa"/>
            <w:tcBorders>
              <w:top w:val="nil"/>
              <w:left w:val="nil"/>
              <w:bottom w:val="nil"/>
              <w:right w:val="single" w:color="2E75B6" w:sz="4" w:space="0"/>
            </w:tcBorders>
            <w:shd w:val="clear" w:color="auto" w:fill="1F3864"/>
            <w:tcMar>
              <w:top w:w="80" w:type="dxa"/>
              <w:left w:w="120" w:type="dxa"/>
              <w:bottom w:w="80" w:type="dxa"/>
              <w:right w:w="120" w:type="dxa"/>
            </w:tcMar>
          </w:tcPr>
          <w:p w14:paraId="567615C3">
            <w:r>
              <w:rPr>
                <w:rFonts w:ascii="Arial" w:hAnsi="Arial" w:eastAsia="Arial" w:cs="Arial"/>
                <w:b/>
                <w:bCs/>
                <w:color w:val="FFFFFF"/>
                <w:sz w:val="19"/>
                <w:szCs w:val="19"/>
              </w:rPr>
              <w:t>Format</w:t>
            </w:r>
          </w:p>
        </w:tc>
        <w:tc>
          <w:tcPr>
            <w:tcW w:w="1489" w:type="dxa"/>
            <w:tcBorders>
              <w:top w:val="nil"/>
              <w:left w:val="nil"/>
              <w:bottom w:val="nil"/>
              <w:right w:val="nil"/>
            </w:tcBorders>
            <w:shd w:val="clear" w:color="auto" w:fill="1F3864"/>
            <w:tcMar>
              <w:top w:w="80" w:type="dxa"/>
              <w:left w:w="120" w:type="dxa"/>
              <w:bottom w:w="80" w:type="dxa"/>
              <w:right w:w="120" w:type="dxa"/>
            </w:tcMar>
          </w:tcPr>
          <w:p w14:paraId="1061675E">
            <w:r>
              <w:rPr>
                <w:rFonts w:ascii="Arial" w:hAnsi="Arial" w:eastAsia="Arial" w:cs="Arial"/>
                <w:b/>
                <w:bCs/>
                <w:color w:val="FFFFFF"/>
                <w:sz w:val="19"/>
                <w:szCs w:val="19"/>
              </w:rPr>
              <w:t>Status</w:t>
            </w:r>
          </w:p>
        </w:tc>
      </w:tr>
      <w:tr w14:paraId="286F6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4" w:hRule="atLeast"/>
        </w:trPr>
        <w:tc>
          <w:tcPr>
            <w:tcW w:w="2979"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742AAAFA">
            <w:r>
              <w:rPr>
                <w:rFonts w:ascii="Arial" w:hAnsi="Arial" w:eastAsia="Arial" w:cs="Arial"/>
                <w:b/>
                <w:bCs/>
                <w:color w:val="595959"/>
                <w:sz w:val="19"/>
                <w:szCs w:val="19"/>
              </w:rPr>
              <w:t>Project Documentation Package (Phase 6)</w:t>
            </w:r>
          </w:p>
        </w:tc>
        <w:tc>
          <w:tcPr>
            <w:tcW w:w="3788"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1D30578C">
            <w:r>
              <w:rPr>
                <w:rFonts w:ascii="Arial" w:hAnsi="Arial" w:eastAsia="Arial" w:cs="Arial"/>
                <w:b w:val="0"/>
                <w:bCs w:val="0"/>
                <w:color w:val="595959"/>
                <w:sz w:val="19"/>
                <w:szCs w:val="19"/>
              </w:rPr>
              <w:t>Complete maintenance reference including admin guide, user guides, troubleshooting, and technical specifications.</w:t>
            </w:r>
          </w:p>
        </w:tc>
        <w:tc>
          <w:tcPr>
            <w:tcW w:w="1702"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3B334B1D">
            <w:r>
              <w:rPr>
                <w:rFonts w:ascii="Arial" w:hAnsi="Arial" w:eastAsia="Arial" w:cs="Arial"/>
                <w:b w:val="0"/>
                <w:bCs w:val="0"/>
                <w:color w:val="595959"/>
                <w:sz w:val="19"/>
                <w:szCs w:val="19"/>
              </w:rPr>
              <w:t>Word Document</w:t>
            </w:r>
          </w:p>
        </w:tc>
        <w:tc>
          <w:tcPr>
            <w:tcW w:w="148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65387B92">
            <w:r>
              <w:rPr>
                <w:rFonts w:ascii="Arial" w:hAnsi="Arial" w:eastAsia="Arial" w:cs="Arial"/>
                <w:b w:val="0"/>
                <w:bCs w:val="0"/>
                <w:color w:val="595959"/>
                <w:sz w:val="19"/>
                <w:szCs w:val="19"/>
              </w:rPr>
              <w:t>Delivered</w:t>
            </w:r>
          </w:p>
        </w:tc>
      </w:tr>
      <w:tr w14:paraId="3745E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64" w:hRule="atLeast"/>
        </w:trPr>
        <w:tc>
          <w:tcPr>
            <w:tcW w:w="2979"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3A8F83DE">
            <w:r>
              <w:rPr>
                <w:rFonts w:ascii="Arial" w:hAnsi="Arial" w:eastAsia="Arial" w:cs="Arial"/>
                <w:b/>
                <w:bCs/>
                <w:color w:val="595959"/>
                <w:sz w:val="19"/>
                <w:szCs w:val="19"/>
              </w:rPr>
              <w:t>Full Project Phase Document Series (Phases 1–7)</w:t>
            </w:r>
          </w:p>
        </w:tc>
        <w:tc>
          <w:tcPr>
            <w:tcW w:w="3788"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05395A6B">
            <w:r>
              <w:rPr>
                <w:rFonts w:ascii="Arial" w:hAnsi="Arial" w:eastAsia="Arial" w:cs="Arial"/>
                <w:b w:val="0"/>
                <w:bCs w:val="0"/>
                <w:color w:val="595959"/>
                <w:sz w:val="19"/>
                <w:szCs w:val="19"/>
              </w:rPr>
              <w:t>Complete project record: Identification, Requirements, Planning, Development, Design, Documentation, Demonstration.</w:t>
            </w:r>
          </w:p>
        </w:tc>
        <w:tc>
          <w:tcPr>
            <w:tcW w:w="1702"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25D0048">
            <w:r>
              <w:rPr>
                <w:rFonts w:ascii="Arial" w:hAnsi="Arial" w:eastAsia="Arial" w:cs="Arial"/>
                <w:b w:val="0"/>
                <w:bCs w:val="0"/>
                <w:color w:val="595959"/>
                <w:sz w:val="19"/>
                <w:szCs w:val="19"/>
              </w:rPr>
              <w:t>Word Documents</w:t>
            </w:r>
          </w:p>
        </w:tc>
        <w:tc>
          <w:tcPr>
            <w:tcW w:w="148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5A6C1ED1">
            <w:r>
              <w:rPr>
                <w:rFonts w:ascii="Arial" w:hAnsi="Arial" w:eastAsia="Arial" w:cs="Arial"/>
                <w:b w:val="0"/>
                <w:bCs w:val="0"/>
                <w:color w:val="595959"/>
                <w:sz w:val="19"/>
                <w:szCs w:val="19"/>
              </w:rPr>
              <w:t>Delivered</w:t>
            </w:r>
          </w:p>
        </w:tc>
      </w:tr>
      <w:tr w14:paraId="194CF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0" w:hRule="atLeast"/>
        </w:trPr>
        <w:tc>
          <w:tcPr>
            <w:tcW w:w="2979"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45E2DA81">
            <w:r>
              <w:rPr>
                <w:rFonts w:ascii="Arial" w:hAnsi="Arial" w:eastAsia="Arial" w:cs="Arial"/>
                <w:b/>
                <w:bCs/>
                <w:color w:val="595959"/>
                <w:sz w:val="19"/>
                <w:szCs w:val="19"/>
              </w:rPr>
              <w:t>UAT Results Record</w:t>
            </w:r>
          </w:p>
        </w:tc>
        <w:tc>
          <w:tcPr>
            <w:tcW w:w="3788"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E354939">
            <w:r>
              <w:rPr>
                <w:rFonts w:ascii="Arial" w:hAnsi="Arial" w:eastAsia="Arial" w:cs="Arial"/>
                <w:b w:val="0"/>
                <w:bCs w:val="0"/>
                <w:color w:val="595959"/>
                <w:sz w:val="19"/>
                <w:szCs w:val="19"/>
              </w:rPr>
              <w:t>Completed test case table with actual results, tester names, and pass/fail status for all eight test cases.</w:t>
            </w:r>
          </w:p>
        </w:tc>
        <w:tc>
          <w:tcPr>
            <w:tcW w:w="1702"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404E169">
            <w:r>
              <w:rPr>
                <w:rFonts w:ascii="Arial" w:hAnsi="Arial" w:eastAsia="Arial" w:cs="Arial"/>
                <w:b w:val="0"/>
                <w:bCs w:val="0"/>
                <w:color w:val="595959"/>
                <w:sz w:val="19"/>
                <w:szCs w:val="19"/>
              </w:rPr>
              <w:t>This document (Section 5.2)</w:t>
            </w:r>
          </w:p>
        </w:tc>
        <w:tc>
          <w:tcPr>
            <w:tcW w:w="148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5D1572DF">
            <w:r>
              <w:rPr>
                <w:rFonts w:ascii="Arial" w:hAnsi="Arial" w:eastAsia="Arial" w:cs="Arial"/>
                <w:b w:val="0"/>
                <w:bCs w:val="0"/>
                <w:color w:val="595959"/>
                <w:sz w:val="19"/>
                <w:szCs w:val="19"/>
              </w:rPr>
              <w:t>To be completed</w:t>
            </w:r>
          </w:p>
        </w:tc>
      </w:tr>
      <w:tr w14:paraId="003B7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0" w:hRule="atLeast"/>
        </w:trPr>
        <w:tc>
          <w:tcPr>
            <w:tcW w:w="2979"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0105B221">
            <w:r>
              <w:rPr>
                <w:rFonts w:ascii="Arial" w:hAnsi="Arial" w:eastAsia="Arial" w:cs="Arial"/>
                <w:b/>
                <w:bCs/>
                <w:color w:val="595959"/>
                <w:sz w:val="19"/>
                <w:szCs w:val="19"/>
              </w:rPr>
              <w:t>Defect Log</w:t>
            </w:r>
          </w:p>
        </w:tc>
        <w:tc>
          <w:tcPr>
            <w:tcW w:w="3788"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36F644F">
            <w:r>
              <w:rPr>
                <w:rFonts w:ascii="Arial" w:hAnsi="Arial" w:eastAsia="Arial" w:cs="Arial"/>
                <w:b w:val="0"/>
                <w:bCs w:val="0"/>
                <w:color w:val="595959"/>
                <w:sz w:val="19"/>
                <w:szCs w:val="19"/>
              </w:rPr>
              <w:t>Final defect log with all raised defects, severity classifications, resolution status, and any agreed deferrals.</w:t>
            </w:r>
          </w:p>
        </w:tc>
        <w:tc>
          <w:tcPr>
            <w:tcW w:w="1702"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DA9BA9C">
            <w:r>
              <w:rPr>
                <w:rFonts w:ascii="Arial" w:hAnsi="Arial" w:eastAsia="Arial" w:cs="Arial"/>
                <w:b w:val="0"/>
                <w:bCs w:val="0"/>
                <w:color w:val="595959"/>
                <w:sz w:val="19"/>
                <w:szCs w:val="19"/>
              </w:rPr>
              <w:t>This document (Section 6.2)</w:t>
            </w:r>
          </w:p>
        </w:tc>
        <w:tc>
          <w:tcPr>
            <w:tcW w:w="148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8557269">
            <w:r>
              <w:rPr>
                <w:rFonts w:ascii="Arial" w:hAnsi="Arial" w:eastAsia="Arial" w:cs="Arial"/>
                <w:b w:val="0"/>
                <w:bCs w:val="0"/>
                <w:color w:val="595959"/>
                <w:sz w:val="19"/>
                <w:szCs w:val="19"/>
              </w:rPr>
              <w:t>To be completed</w:t>
            </w:r>
          </w:p>
        </w:tc>
      </w:tr>
      <w:tr w14:paraId="1025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00" w:hRule="atLeast"/>
        </w:trPr>
        <w:tc>
          <w:tcPr>
            <w:tcW w:w="2979" w:type="dxa"/>
            <w:tcBorders>
              <w:top w:val="single" w:color="D8E4F0" w:sz="4" w:space="0"/>
              <w:left w:val="single" w:color="2E75B6" w:sz="20" w:space="0"/>
              <w:bottom w:val="single" w:color="D8E4F0" w:sz="4" w:space="0"/>
              <w:right w:val="single" w:color="D8E4F0" w:sz="4" w:space="0"/>
            </w:tcBorders>
            <w:shd w:val="clear" w:color="auto" w:fill="F0F4FA"/>
            <w:tcMar>
              <w:top w:w="80" w:type="dxa"/>
              <w:left w:w="120" w:type="dxa"/>
              <w:bottom w:w="80" w:type="dxa"/>
              <w:right w:w="120" w:type="dxa"/>
            </w:tcMar>
          </w:tcPr>
          <w:p w14:paraId="767C09F2">
            <w:r>
              <w:rPr>
                <w:rFonts w:ascii="Arial" w:hAnsi="Arial" w:eastAsia="Arial" w:cs="Arial"/>
                <w:b/>
                <w:bCs/>
                <w:color w:val="595959"/>
                <w:sz w:val="19"/>
                <w:szCs w:val="19"/>
              </w:rPr>
              <w:t>Known Issues List</w:t>
            </w:r>
          </w:p>
        </w:tc>
        <w:tc>
          <w:tcPr>
            <w:tcW w:w="3788"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E01D484">
            <w:r>
              <w:rPr>
                <w:rFonts w:ascii="Arial" w:hAnsi="Arial" w:eastAsia="Arial" w:cs="Arial"/>
                <w:b w:val="0"/>
                <w:bCs w:val="0"/>
                <w:color w:val="595959"/>
                <w:sz w:val="19"/>
                <w:szCs w:val="19"/>
              </w:rPr>
              <w:t>Any Medium or Low severity defects formally deferred to a future phase, with agreed workarounds documented.</w:t>
            </w:r>
          </w:p>
        </w:tc>
        <w:tc>
          <w:tcPr>
            <w:tcW w:w="1702"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76D08CC9">
            <w:r>
              <w:rPr>
                <w:rFonts w:ascii="Arial" w:hAnsi="Arial" w:eastAsia="Arial" w:cs="Arial"/>
                <w:b w:val="0"/>
                <w:bCs w:val="0"/>
                <w:color w:val="595959"/>
                <w:sz w:val="19"/>
                <w:szCs w:val="19"/>
              </w:rPr>
              <w:t>Supplementary log if applicable</w:t>
            </w:r>
          </w:p>
        </w:tc>
        <w:tc>
          <w:tcPr>
            <w:tcW w:w="1489" w:type="dxa"/>
            <w:tcBorders>
              <w:top w:val="single" w:color="D8E4F0" w:sz="4" w:space="0"/>
              <w:left w:val="single" w:color="D8E4F0" w:sz="4" w:space="0"/>
              <w:bottom w:val="single" w:color="D8E4F0" w:sz="4" w:space="0"/>
              <w:right w:val="single" w:color="D8E4F0" w:sz="4" w:space="0"/>
            </w:tcBorders>
            <w:shd w:val="clear" w:color="auto" w:fill="F0F4FA"/>
            <w:tcMar>
              <w:top w:w="80" w:type="dxa"/>
              <w:left w:w="120" w:type="dxa"/>
              <w:bottom w:w="80" w:type="dxa"/>
              <w:right w:w="120" w:type="dxa"/>
            </w:tcMar>
          </w:tcPr>
          <w:p w14:paraId="121A075F">
            <w:r>
              <w:rPr>
                <w:rFonts w:ascii="Arial" w:hAnsi="Arial" w:eastAsia="Arial" w:cs="Arial"/>
                <w:b w:val="0"/>
                <w:bCs w:val="0"/>
                <w:color w:val="595959"/>
                <w:sz w:val="19"/>
                <w:szCs w:val="19"/>
              </w:rPr>
              <w:t>To be completed</w:t>
            </w:r>
          </w:p>
        </w:tc>
      </w:tr>
      <w:tr w14:paraId="51F6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46" w:hRule="atLeast"/>
        </w:trPr>
        <w:tc>
          <w:tcPr>
            <w:tcW w:w="2979" w:type="dxa"/>
            <w:tcBorders>
              <w:top w:val="single" w:color="D8E4F0" w:sz="4" w:space="0"/>
              <w:left w:val="single" w:color="2E75B6" w:sz="20" w:space="0"/>
              <w:bottom w:val="single" w:color="D8E4F0" w:sz="4" w:space="0"/>
              <w:right w:val="single" w:color="D8E4F0" w:sz="4" w:space="0"/>
            </w:tcBorders>
            <w:shd w:val="clear" w:color="auto" w:fill="FFFFFF"/>
            <w:tcMar>
              <w:top w:w="80" w:type="dxa"/>
              <w:left w:w="120" w:type="dxa"/>
              <w:bottom w:w="80" w:type="dxa"/>
              <w:right w:w="120" w:type="dxa"/>
            </w:tcMar>
          </w:tcPr>
          <w:p w14:paraId="2DF744B4">
            <w:r>
              <w:rPr>
                <w:rFonts w:ascii="Arial" w:hAnsi="Arial" w:eastAsia="Arial" w:cs="Arial"/>
                <w:b/>
                <w:bCs/>
                <w:color w:val="595959"/>
                <w:sz w:val="19"/>
                <w:szCs w:val="19"/>
              </w:rPr>
              <w:t>Stakeholder Feedback Forms</w:t>
            </w:r>
          </w:p>
        </w:tc>
        <w:tc>
          <w:tcPr>
            <w:tcW w:w="3788"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4970A678">
            <w:r>
              <w:rPr>
                <w:rFonts w:ascii="Arial" w:hAnsi="Arial" w:eastAsia="Arial" w:cs="Arial"/>
                <w:b w:val="0"/>
                <w:bCs w:val="0"/>
                <w:color w:val="595959"/>
                <w:sz w:val="19"/>
                <w:szCs w:val="19"/>
              </w:rPr>
              <w:t>Completed feedback forms from all mandatory demonstration attendees.</w:t>
            </w:r>
          </w:p>
        </w:tc>
        <w:tc>
          <w:tcPr>
            <w:tcW w:w="1702"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24F9A459">
            <w:r>
              <w:rPr>
                <w:rFonts w:ascii="Arial" w:hAnsi="Arial" w:eastAsia="Arial" w:cs="Arial"/>
                <w:b w:val="0"/>
                <w:bCs w:val="0"/>
                <w:color w:val="595959"/>
                <w:sz w:val="19"/>
                <w:szCs w:val="19"/>
              </w:rPr>
              <w:t>This document (Section 7)</w:t>
            </w:r>
          </w:p>
        </w:tc>
        <w:tc>
          <w:tcPr>
            <w:tcW w:w="1489" w:type="dxa"/>
            <w:tcBorders>
              <w:top w:val="single" w:color="D8E4F0" w:sz="4" w:space="0"/>
              <w:left w:val="single" w:color="D8E4F0" w:sz="4" w:space="0"/>
              <w:bottom w:val="single" w:color="D8E4F0" w:sz="4" w:space="0"/>
              <w:right w:val="single" w:color="D8E4F0" w:sz="4" w:space="0"/>
            </w:tcBorders>
            <w:shd w:val="clear" w:color="auto" w:fill="FFFFFF"/>
            <w:tcMar>
              <w:top w:w="80" w:type="dxa"/>
              <w:left w:w="120" w:type="dxa"/>
              <w:bottom w:w="80" w:type="dxa"/>
              <w:right w:w="120" w:type="dxa"/>
            </w:tcMar>
          </w:tcPr>
          <w:p w14:paraId="76BB1A40">
            <w:r>
              <w:rPr>
                <w:rFonts w:ascii="Arial" w:hAnsi="Arial" w:eastAsia="Arial" w:cs="Arial"/>
                <w:b w:val="0"/>
                <w:bCs w:val="0"/>
                <w:color w:val="595959"/>
                <w:sz w:val="19"/>
                <w:szCs w:val="19"/>
              </w:rPr>
              <w:t>To be completed</w:t>
            </w:r>
          </w:p>
        </w:tc>
      </w:tr>
    </w:tbl>
    <w:p w14:paraId="3BE5DDB6">
      <w:pPr>
        <w:spacing w:before="80" w:after="0"/>
      </w:pPr>
    </w:p>
    <w:p w14:paraId="2A7F8AB3">
      <w:pPr>
        <w:spacing w:before="80" w:after="0"/>
      </w:pPr>
    </w:p>
    <w:p w14:paraId="17B20959">
      <w:pPr>
        <w:spacing w:before="80" w:after="0"/>
      </w:pPr>
    </w:p>
    <w:p w14:paraId="3811AACD">
      <w:pPr>
        <w:pStyle w:val="3"/>
        <w:spacing w:before="220" w:after="80"/>
      </w:pPr>
      <w:r>
        <w:rPr>
          <w:rFonts w:ascii="Arial" w:hAnsi="Arial" w:eastAsia="Arial" w:cs="Arial"/>
          <w:b/>
          <w:bCs/>
          <w:color w:val="2E75B6"/>
          <w:sz w:val="24"/>
          <w:szCs w:val="24"/>
        </w:rPr>
        <w:t>10.2  Post-Transition Responsibilities</w:t>
      </w:r>
    </w:p>
    <w:p w14:paraId="35B0C9E9">
      <w:pPr>
        <w:spacing w:before="60" w:after="0" w:line="360" w:lineRule="auto"/>
        <w:jc w:val="both"/>
      </w:pPr>
    </w:p>
    <w:p w14:paraId="51A53367">
      <w:pPr>
        <w:pStyle w:val="14"/>
        <w:numPr>
          <w:ilvl w:val="0"/>
          <w:numId w:val="1"/>
        </w:numPr>
        <w:spacing w:before="40" w:after="60" w:line="360" w:lineRule="auto"/>
        <w:jc w:val="both"/>
      </w:pPr>
      <w:r>
        <w:rPr>
          <w:rFonts w:ascii="Arial" w:hAnsi="Arial" w:eastAsia="Arial" w:cs="Arial"/>
          <w:b/>
          <w:bCs/>
          <w:color w:val="1F3864"/>
          <w:sz w:val="22"/>
          <w:szCs w:val="22"/>
        </w:rPr>
        <w:t xml:space="preserve">Operational maintenance and monitoring: </w:t>
      </w:r>
      <w:r>
        <w:rPr>
          <w:rFonts w:ascii="Arial" w:hAnsi="Arial" w:eastAsia="Arial" w:cs="Arial"/>
          <w:color w:val="595959"/>
          <w:sz w:val="22"/>
          <w:szCs w:val="22"/>
        </w:rPr>
        <w:t>IT Operations team — refer to the routine maintenance schedule in Section 6.1 of the Project Documentation Phase document.</w:t>
      </w:r>
    </w:p>
    <w:p w14:paraId="2F889F3C">
      <w:pPr>
        <w:pStyle w:val="14"/>
        <w:numPr>
          <w:ilvl w:val="0"/>
          <w:numId w:val="1"/>
        </w:numPr>
        <w:spacing w:before="40" w:after="60" w:line="360" w:lineRule="auto"/>
        <w:jc w:val="both"/>
      </w:pPr>
      <w:r>
        <w:rPr>
          <w:rFonts w:ascii="Arial" w:hAnsi="Arial" w:eastAsia="Arial" w:cs="Arial"/>
          <w:b/>
          <w:bCs/>
          <w:color w:val="1F3864"/>
          <w:sz w:val="22"/>
          <w:szCs w:val="22"/>
        </w:rPr>
        <w:t xml:space="preserve">Incident and defect management: </w:t>
      </w:r>
      <w:r>
        <w:rPr>
          <w:rFonts w:ascii="Arial" w:hAnsi="Arial" w:eastAsia="Arial" w:cs="Arial"/>
          <w:color w:val="595959"/>
          <w:sz w:val="22"/>
          <w:szCs w:val="22"/>
        </w:rPr>
        <w:t>Any issues arising in production should be logged and triaged using the organisation's standard IT service management process and the troubleshooting guidance in Section 6.2 of the Project Documentation Phase document.</w:t>
      </w:r>
    </w:p>
    <w:p w14:paraId="1B3CE233">
      <w:pPr>
        <w:pStyle w:val="14"/>
        <w:numPr>
          <w:ilvl w:val="0"/>
          <w:numId w:val="1"/>
        </w:numPr>
        <w:spacing w:before="40" w:after="60" w:line="360" w:lineRule="auto"/>
        <w:jc w:val="both"/>
      </w:pPr>
      <w:r>
        <w:rPr>
          <w:rFonts w:ascii="Arial" w:hAnsi="Arial" w:eastAsia="Arial" w:cs="Arial"/>
          <w:b/>
          <w:bCs/>
          <w:color w:val="1F3864"/>
          <w:sz w:val="22"/>
          <w:szCs w:val="22"/>
        </w:rPr>
        <w:t xml:space="preserve">Future enhancements: </w:t>
      </w:r>
      <w:r>
        <w:rPr>
          <w:rFonts w:ascii="Arial" w:hAnsi="Arial" w:eastAsia="Arial" w:cs="Arial"/>
          <w:color w:val="595959"/>
          <w:sz w:val="22"/>
          <w:szCs w:val="22"/>
        </w:rPr>
        <w:t>Enhancement requests identified during UAT or post-go-live should be evaluated against the Enhancement Opportunities register in Section 6.3 of the Project Documentation Phase document and scoped as a new project if approved.</w:t>
      </w:r>
    </w:p>
    <w:p w14:paraId="692B0F41">
      <w:pPr>
        <w:pStyle w:val="14"/>
        <w:numPr>
          <w:ilvl w:val="0"/>
          <w:numId w:val="1"/>
        </w:numPr>
        <w:spacing w:before="40" w:after="60" w:line="360" w:lineRule="auto"/>
        <w:jc w:val="both"/>
      </w:pPr>
      <w:r>
        <w:rPr>
          <w:rFonts w:ascii="Arial" w:hAnsi="Arial" w:eastAsia="Arial" w:cs="Arial"/>
          <w:b/>
          <w:bCs/>
          <w:color w:val="1F3864"/>
          <w:sz w:val="22"/>
          <w:szCs w:val="22"/>
        </w:rPr>
        <w:t xml:space="preserve">User training: </w:t>
      </w:r>
      <w:r>
        <w:rPr>
          <w:rFonts w:ascii="Arial" w:hAnsi="Arial" w:eastAsia="Arial" w:cs="Arial"/>
          <w:color w:val="595959"/>
          <w:sz w:val="22"/>
          <w:szCs w:val="22"/>
        </w:rPr>
        <w:t>The Project Documentation Phase document (Section 5) contains the role-specific user guides for Data Administrators and Service Desk Agents. These should be made available to all users via the organisation's standard training or knowledge base platform.</w:t>
      </w:r>
    </w:p>
    <w:p w14:paraId="404EABF5">
      <w:pPr>
        <w:spacing w:before="120" w:after="0" w:line="360" w:lineRule="auto"/>
        <w:jc w:val="both"/>
      </w:pPr>
    </w:p>
    <w:p w14:paraId="12BF1664">
      <w:pPr>
        <w:spacing w:before="40" w:after="0"/>
        <w:jc w:val="both"/>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B5D9F5"/>
    <w:multiLevelType w:val="singleLevel"/>
    <w:tmpl w:val="F4B5D9F5"/>
    <w:lvl w:ilvl="0" w:tentative="0">
      <w:start w:val="1"/>
      <w:numFmt w:val="bullet"/>
      <w:lvlText w:val="•"/>
      <w:lvlJc w:val="left"/>
      <w:pPr>
        <w:spacing w:before="40" w:after="60"/>
        <w:ind w:left="720" w:hanging="360"/>
      </w:pPr>
    </w:lvl>
  </w:abstractNum>
  <w:abstractNum w:abstractNumId="1">
    <w:nsid w:val="41E06FB1"/>
    <w:multiLevelType w:val="multilevel"/>
    <w:tmpl w:val="41E06FB1"/>
    <w:lvl w:ilvl="0" w:tentative="0">
      <w:start w:val="7"/>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1392325C"/>
    <w:rsid w:val="541675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595959"/>
      <w:sz w:val="22"/>
      <w:szCs w:val="22"/>
    </w:rPr>
  </w:style>
  <w:style w:type="paragraph" w:styleId="2">
    <w:name w:val="heading 1"/>
    <w:next w:val="1"/>
    <w:qFormat/>
    <w:uiPriority w:val="0"/>
    <w:pPr>
      <w:spacing w:before="340" w:after="120"/>
      <w:outlineLvl w:val="0"/>
    </w:pPr>
    <w:rPr>
      <w:rFonts w:ascii="Arial" w:hAnsi="Arial" w:eastAsia="Arial" w:cs="Arial"/>
      <w:b/>
      <w:bCs/>
      <w:color w:val="1F3864"/>
      <w:sz w:val="28"/>
      <w:szCs w:val="28"/>
    </w:rPr>
  </w:style>
  <w:style w:type="paragraph" w:styleId="3">
    <w:name w:val="heading 2"/>
    <w:next w:val="1"/>
    <w:qFormat/>
    <w:uiPriority w:val="0"/>
    <w:pPr>
      <w:spacing w:before="220" w:after="80"/>
      <w:outlineLvl w:val="1"/>
    </w:pPr>
    <w:rPr>
      <w:rFonts w:ascii="Arial" w:hAnsi="Arial" w:eastAsia="Arial" w:cs="Arial"/>
      <w:b/>
      <w:bCs/>
      <w:color w:val="2E75B6"/>
      <w:sz w:val="24"/>
      <w:szCs w:val="24"/>
    </w:rPr>
  </w:style>
  <w:style w:type="paragraph" w:styleId="4">
    <w:name w:val="heading 3"/>
    <w:next w:val="1"/>
    <w:qFormat/>
    <w:uiPriority w:val="0"/>
    <w:pPr>
      <w:spacing w:before="180" w:after="60"/>
      <w:outlineLvl w:val="2"/>
    </w:pPr>
    <w:rPr>
      <w:rFonts w:ascii="Arial" w:hAnsi="Arial" w:eastAsia="Arial" w:cs="Arial"/>
      <w:b/>
      <w:bCs/>
      <w:color w:val="1F3864"/>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color w:val="595959"/>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color w:val="595959"/>
      <w:sz w:val="56"/>
      <w:szCs w:val="56"/>
    </w:rPr>
  </w:style>
  <w:style w:type="paragraph" w:styleId="14">
    <w:name w:val="List Paragraph"/>
    <w:qFormat/>
    <w:uiPriority w:val="0"/>
    <w:rPr>
      <w:rFonts w:ascii="Arial" w:hAnsi="Arial" w:eastAsia="Arial" w:cs="Arial"/>
      <w:color w:val="595959"/>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2026-03-09T00:00:00Z</dcterms:created>
  <dc:creator>Un-named</dc:creator>
  <cp:lastModifiedBy>WPS_1762942750</cp:lastModifiedBy>
  <dcterms:modified xsi:type="dcterms:W3CDTF">2026-03-09T00:22:01Z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30A9F90F6A8743B7864E98A01FA4530A_13</vt:lpwstr>
  </property>
</Properties>
</file>