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horzAnchor="page" w:tblpX="1737" w:tblpY="1180"/>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225E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F3864"/>
            <w:tcMar>
              <w:top w:w="360" w:type="dxa"/>
              <w:left w:w="360" w:type="dxa"/>
              <w:bottom w:w="360" w:type="dxa"/>
              <w:right w:w="360" w:type="dxa"/>
            </w:tcMar>
          </w:tcPr>
          <w:p w14:paraId="1DA34A21">
            <w:pPr>
              <w:spacing w:before="0" w:after="80"/>
            </w:pPr>
            <w:r>
              <w:rPr>
                <w:rFonts w:hint="default" w:cs="Arial"/>
                <w:b/>
                <w:bCs/>
                <w:color w:val="FFFFFF"/>
                <w:sz w:val="44"/>
                <w:szCs w:val="44"/>
                <w:lang w:val="en-US"/>
              </w:rPr>
              <w:t xml:space="preserve">5. </w:t>
            </w:r>
            <w:r>
              <w:rPr>
                <w:rFonts w:ascii="Arial" w:hAnsi="Arial" w:eastAsia="Arial" w:cs="Arial"/>
                <w:b/>
                <w:bCs/>
                <w:color w:val="FFFFFF"/>
                <w:sz w:val="44"/>
                <w:szCs w:val="44"/>
              </w:rPr>
              <w:t>PROJECT DESIGN PHASE</w:t>
            </w:r>
          </w:p>
          <w:p w14:paraId="5947AEE7">
            <w:pPr>
              <w:spacing w:before="0" w:after="0"/>
            </w:pPr>
            <w:r>
              <w:rPr>
                <w:rFonts w:ascii="Arial" w:hAnsi="Arial" w:eastAsia="Arial" w:cs="Arial"/>
                <w:i/>
                <w:iCs/>
                <w:color w:val="C8D8EE"/>
                <w:sz w:val="22"/>
                <w:szCs w:val="22"/>
              </w:rPr>
              <w:t>Automating Employee Data Import &amp; Relationship Mapping Using Import Sets and Dot Walking</w:t>
            </w:r>
          </w:p>
        </w:tc>
      </w:tr>
    </w:tbl>
    <w:p w14:paraId="2A3DDE08">
      <w:pPr>
        <w:pBdr>
          <w:bottom w:val="single" w:color="D0D8E8" w:sz="6" w:space="1"/>
        </w:pBdr>
        <w:spacing w:before="120" w:after="120"/>
      </w:pPr>
    </w:p>
    <w:p w14:paraId="77FF6485">
      <w:pPr>
        <w:pStyle w:val="2"/>
        <w:numPr>
          <w:ilvl w:val="0"/>
          <w:numId w:val="1"/>
        </w:numPr>
        <w:pBdr>
          <w:left w:val="single" w:color="2E75B6" w:sz="28" w:space="8"/>
        </w:pBdr>
        <w:spacing w:before="340" w:after="120"/>
        <w:rPr>
          <w:rFonts w:ascii="Arial" w:hAnsi="Arial" w:eastAsia="Arial" w:cs="Arial"/>
          <w:b/>
          <w:bCs/>
          <w:color w:val="1F3864"/>
          <w:sz w:val="28"/>
          <w:szCs w:val="28"/>
        </w:rPr>
      </w:pPr>
      <w:r>
        <w:rPr>
          <w:rFonts w:ascii="Arial" w:hAnsi="Arial" w:eastAsia="Arial" w:cs="Arial"/>
          <w:b/>
          <w:bCs/>
          <w:color w:val="1F3864"/>
          <w:sz w:val="28"/>
          <w:szCs w:val="28"/>
        </w:rPr>
        <w:t>DESIGN OBJECTIVES</w:t>
      </w:r>
    </w:p>
    <w:p w14:paraId="3DFA80AF">
      <w:pPr>
        <w:numPr>
          <w:numId w:val="0"/>
        </w:numPr>
      </w:pPr>
    </w:p>
    <w:p w14:paraId="2588C883">
      <w:pPr>
        <w:spacing w:before="60" w:after="100" w:line="360" w:lineRule="auto"/>
        <w:jc w:val="both"/>
        <w:rPr>
          <w:rFonts w:ascii="Arial" w:hAnsi="Arial" w:eastAsia="Arial" w:cs="Arial"/>
          <w:color w:val="595959"/>
          <w:sz w:val="22"/>
          <w:szCs w:val="22"/>
        </w:rPr>
      </w:pPr>
      <w:r>
        <w:rPr>
          <w:rFonts w:ascii="Arial" w:hAnsi="Arial" w:eastAsia="Arial" w:cs="Arial"/>
          <w:color w:val="595959"/>
          <w:sz w:val="22"/>
          <w:szCs w:val="22"/>
        </w:rPr>
        <w:t>This document constitutes the formal Design Phase output for the ServiceNow Automation Project. Its purpose is to translate the approved business requirements — as documented in the Requirement Analysis — into a precise technical blueprint that will govern all configuration and build activities performed during the subsequent Development Phase. The design specification herein defines the architectural structure, data models, component interactions, interface configurations, and governance constraints within which the solution will be constructed.</w:t>
      </w:r>
    </w:p>
    <w:p w14:paraId="4B90BDB5">
      <w:pPr>
        <w:spacing w:before="60" w:after="100" w:line="360" w:lineRule="auto"/>
        <w:jc w:val="both"/>
        <w:rPr>
          <w:rFonts w:ascii="Arial" w:hAnsi="Arial" w:eastAsia="Arial" w:cs="Arial"/>
          <w:color w:val="595959"/>
          <w:sz w:val="22"/>
          <w:szCs w:val="22"/>
        </w:rPr>
      </w:pPr>
    </w:p>
    <w:p w14:paraId="140A1BE0">
      <w:pPr>
        <w:pStyle w:val="14"/>
        <w:numPr>
          <w:ilvl w:val="0"/>
          <w:numId w:val="2"/>
        </w:numPr>
        <w:spacing w:before="40" w:after="60" w:line="360" w:lineRule="auto"/>
      </w:pPr>
      <w:r>
        <w:rPr>
          <w:rFonts w:ascii="Arial" w:hAnsi="Arial" w:eastAsia="Arial" w:cs="Arial"/>
          <w:color w:val="595959"/>
          <w:sz w:val="22"/>
          <w:szCs w:val="22"/>
        </w:rPr>
        <w:t>Simplicity over complexity: The design leverages exclusively native ServiceNow platform capabilities — Import Sets, Transform Maps, and form configuration — without introducing custom scripting, scoped applications, or external integrations that would increase maintenance burden.</w:t>
      </w:r>
    </w:p>
    <w:p w14:paraId="69D1427A">
      <w:pPr>
        <w:pStyle w:val="14"/>
        <w:numPr>
          <w:ilvl w:val="0"/>
          <w:numId w:val="2"/>
        </w:numPr>
        <w:spacing w:before="40" w:after="60" w:line="360" w:lineRule="auto"/>
      </w:pPr>
      <w:r>
        <w:rPr>
          <w:rFonts w:ascii="Arial" w:hAnsi="Arial" w:eastAsia="Arial" w:cs="Arial"/>
          <w:color w:val="595959"/>
          <w:sz w:val="22"/>
          <w:szCs w:val="22"/>
        </w:rPr>
        <w:t>Data integrity by design: All reference field relationships, particularly the employee-to-manager linkage, are resolved at transformation time via the platform's native reference resolution engine, ensuring that data relationships are structurally enforced at the record level rather than managed by convention.</w:t>
      </w:r>
    </w:p>
    <w:p w14:paraId="4E956A81">
      <w:pPr>
        <w:pStyle w:val="14"/>
        <w:numPr>
          <w:ilvl w:val="0"/>
          <w:numId w:val="2"/>
        </w:numPr>
        <w:spacing w:before="40" w:after="60" w:line="360" w:lineRule="auto"/>
      </w:pPr>
      <w:r>
        <w:rPr>
          <w:rFonts w:ascii="Arial" w:hAnsi="Arial" w:eastAsia="Arial" w:cs="Arial"/>
          <w:color w:val="595959"/>
          <w:sz w:val="22"/>
          <w:szCs w:val="22"/>
        </w:rPr>
        <w:t>Non-invasive presentation: The Incident form augmentation employs read-only dot-walked fields, ensuring that contextual user data is surfaced to service desk agents without introducing any write path to the [sys_user] table from the Incident form, preserving data governance boundaries.</w:t>
      </w:r>
    </w:p>
    <w:p w14:paraId="2109E529">
      <w:pPr>
        <w:pStyle w:val="14"/>
        <w:numPr>
          <w:ilvl w:val="0"/>
          <w:numId w:val="2"/>
        </w:numPr>
        <w:spacing w:before="40" w:after="60" w:line="360" w:lineRule="auto"/>
      </w:pPr>
      <w:r>
        <w:rPr>
          <w:rFonts w:ascii="Arial" w:hAnsi="Arial" w:eastAsia="Arial" w:cs="Arial"/>
          <w:color w:val="595959"/>
          <w:sz w:val="22"/>
          <w:szCs w:val="22"/>
        </w:rPr>
        <w:t>Reusability: All Transform Map configurations will be persistable and reusable across future import cycles, eliminating the need to rebuild the mapping configuration for each data load.</w:t>
      </w:r>
    </w:p>
    <w:p w14:paraId="2D2B0A45">
      <w:pPr>
        <w:pStyle w:val="14"/>
        <w:numPr>
          <w:numId w:val="0"/>
        </w:numPr>
        <w:spacing w:before="40" w:after="60" w:line="360" w:lineRule="auto"/>
        <w:rPr>
          <w:rFonts w:ascii="Arial" w:hAnsi="Arial" w:eastAsia="Arial" w:cs="Arial"/>
          <w:color w:val="595959"/>
          <w:sz w:val="22"/>
          <w:szCs w:val="22"/>
        </w:rPr>
      </w:pPr>
    </w:p>
    <w:p w14:paraId="7D810948">
      <w:pPr>
        <w:pStyle w:val="14"/>
        <w:numPr>
          <w:numId w:val="0"/>
        </w:numPr>
        <w:spacing w:before="40" w:after="60" w:line="360" w:lineRule="auto"/>
        <w:rPr>
          <w:rFonts w:ascii="Arial" w:hAnsi="Arial" w:eastAsia="Arial" w:cs="Arial"/>
          <w:color w:val="595959"/>
          <w:sz w:val="22"/>
          <w:szCs w:val="22"/>
        </w:rPr>
      </w:pPr>
    </w:p>
    <w:p w14:paraId="6D938AFE">
      <w:pPr>
        <w:spacing w:before="80" w:after="0"/>
      </w:pPr>
    </w:p>
    <w:p w14:paraId="1120AC27">
      <w:pPr>
        <w:pBdr>
          <w:bottom w:val="single" w:color="D0D8E8" w:sz="6" w:space="1"/>
        </w:pBdr>
        <w:spacing w:before="120" w:after="120"/>
      </w:pPr>
    </w:p>
    <w:p w14:paraId="2591D271">
      <w:pPr>
        <w:pStyle w:val="2"/>
        <w:pBdr>
          <w:left w:val="single" w:color="2E75B6" w:sz="28" w:space="8"/>
        </w:pBdr>
        <w:spacing w:before="340" w:after="120"/>
      </w:pPr>
      <w:r>
        <w:rPr>
          <w:rFonts w:ascii="Arial" w:hAnsi="Arial" w:eastAsia="Arial" w:cs="Arial"/>
          <w:b/>
          <w:bCs/>
          <w:color w:val="1F3864"/>
          <w:sz w:val="28"/>
          <w:szCs w:val="28"/>
        </w:rPr>
        <w:t>2. SOLUTION ARCHITECTURE OVERVIEW</w:t>
      </w:r>
    </w:p>
    <w:p w14:paraId="21FA2877">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2.1  Architectural Principles</w:t>
      </w:r>
    </w:p>
    <w:p w14:paraId="3B49769B"/>
    <w:p w14:paraId="0D3046BE">
      <w:pPr>
        <w:spacing w:before="60" w:after="100" w:line="360" w:lineRule="auto"/>
        <w:jc w:val="both"/>
      </w:pPr>
      <w:r>
        <w:rPr>
          <w:rFonts w:ascii="Arial" w:hAnsi="Arial" w:eastAsia="Arial" w:cs="Arial"/>
          <w:color w:val="595959"/>
          <w:sz w:val="22"/>
          <w:szCs w:val="22"/>
        </w:rPr>
        <w:t>The solution is designed as a three-layer ServiceNow-native architecture, operating entirely within the Global application scope. Each layer serves a distinct and bounded responsibility, and data flows unidirectionally through the layers — from ingestion through transformation to persistence and presentation. No layer bypasses another, and no layer introduces a write path in the reverse direction. The layered model is defined in the following table.</w:t>
      </w:r>
    </w:p>
    <w:tbl>
      <w:tblPr>
        <w:tblStyle w:val="9"/>
        <w:tblpPr w:leftFromText="180" w:rightFromText="180" w:vertAnchor="text" w:horzAnchor="page" w:tblpX="1493" w:tblpY="205"/>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1800"/>
        <w:gridCol w:w="7080"/>
      </w:tblGrid>
      <w:tr w14:paraId="78795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2980B9"/>
            <w:tcMar>
              <w:top w:w="120" w:type="dxa"/>
              <w:left w:w="60" w:type="dxa"/>
              <w:bottom w:w="120" w:type="dxa"/>
              <w:right w:w="60" w:type="dxa"/>
            </w:tcMar>
            <w:vAlign w:val="center"/>
          </w:tcPr>
          <w:p w14:paraId="04E7E0AA">
            <w:pPr>
              <w:spacing w:line="240" w:lineRule="auto"/>
              <w:jc w:val="center"/>
            </w:pPr>
            <w:r>
              <w:rPr>
                <w:rFonts w:ascii="Arial" w:hAnsi="Arial" w:eastAsia="Arial" w:cs="Arial"/>
                <w:b/>
                <w:bCs/>
                <w:color w:val="FFFFFF"/>
                <w:sz w:val="36"/>
                <w:szCs w:val="36"/>
              </w:rPr>
              <w:t>1</w:t>
            </w:r>
          </w:p>
        </w:tc>
        <w:tc>
          <w:tcPr>
            <w:tcW w:w="1800" w:type="dxa"/>
            <w:tcBorders>
              <w:top w:val="nil"/>
              <w:left w:val="single" w:color="FFFFFF" w:sz="4" w:space="0"/>
              <w:bottom w:val="nil"/>
              <w:right w:val="single" w:color="D0DCF0" w:sz="4" w:space="0"/>
            </w:tcBorders>
            <w:shd w:val="clear" w:color="auto" w:fill="E8F4FD"/>
            <w:tcMar>
              <w:top w:w="120" w:type="dxa"/>
              <w:left w:w="140" w:type="dxa"/>
              <w:bottom w:w="120" w:type="dxa"/>
              <w:right w:w="100" w:type="dxa"/>
            </w:tcMar>
            <w:vAlign w:val="center"/>
          </w:tcPr>
          <w:p w14:paraId="5ECDECB4">
            <w:pPr>
              <w:spacing w:before="0" w:after="40" w:line="240" w:lineRule="auto"/>
            </w:pPr>
            <w:r>
              <w:rPr>
                <w:rFonts w:ascii="Arial" w:hAnsi="Arial" w:eastAsia="Arial" w:cs="Arial"/>
                <w:b/>
                <w:bCs/>
                <w:color w:val="1F3864"/>
                <w:sz w:val="21"/>
                <w:szCs w:val="21"/>
              </w:rPr>
              <w:t>Data Ingestion Layer</w:t>
            </w:r>
          </w:p>
          <w:p w14:paraId="1A44C440">
            <w:pPr>
              <w:spacing w:before="0" w:after="0" w:line="240" w:lineRule="auto"/>
            </w:pPr>
            <w:r>
              <w:rPr>
                <w:rFonts w:ascii="Courier New" w:hAnsi="Courier New" w:eastAsia="Courier New" w:cs="Courier New"/>
                <w:b/>
                <w:bCs/>
                <w:color w:val="2980B9"/>
                <w:sz w:val="18"/>
                <w:szCs w:val="18"/>
              </w:rPr>
              <w:t>Import Sets</w:t>
            </w:r>
          </w:p>
        </w:tc>
        <w:tc>
          <w:tcPr>
            <w:tcW w:w="7080" w:type="dxa"/>
            <w:tcBorders>
              <w:top w:val="nil"/>
              <w:left w:val="single" w:color="D0DCF0" w:sz="4" w:space="0"/>
              <w:bottom w:val="nil"/>
              <w:right w:val="nil"/>
            </w:tcBorders>
            <w:shd w:val="clear" w:color="auto" w:fill="F7F9FD"/>
            <w:tcMar>
              <w:top w:w="120" w:type="dxa"/>
              <w:left w:w="160" w:type="dxa"/>
              <w:bottom w:w="120" w:type="dxa"/>
              <w:right w:w="160" w:type="dxa"/>
            </w:tcMar>
            <w:vAlign w:val="center"/>
          </w:tcPr>
          <w:p w14:paraId="1CEC5592">
            <w:pPr>
              <w:spacing w:line="240" w:lineRule="auto"/>
            </w:pPr>
            <w:r>
              <w:rPr>
                <w:rFonts w:ascii="Arial" w:hAnsi="Arial" w:eastAsia="Arial" w:cs="Arial"/>
                <w:color w:val="595959"/>
                <w:sz w:val="20"/>
                <w:szCs w:val="20"/>
              </w:rPr>
              <w:t>Receives raw external data from the manually uploaded CSV file and stages it in a dedicated temporary table ([u_import_employee]) without modification. This layer is solely responsible for data capture and structural preservation of the source payload. No transformation, validation, or target-table interaction occurs at this layer.</w:t>
            </w:r>
          </w:p>
        </w:tc>
      </w:tr>
      <w:tr w14:paraId="6B6A4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6A3D9A"/>
            <w:tcMar>
              <w:top w:w="120" w:type="dxa"/>
              <w:left w:w="60" w:type="dxa"/>
              <w:bottom w:w="120" w:type="dxa"/>
              <w:right w:w="60" w:type="dxa"/>
            </w:tcMar>
            <w:vAlign w:val="center"/>
          </w:tcPr>
          <w:p w14:paraId="5A83A1A7">
            <w:pPr>
              <w:spacing w:line="240" w:lineRule="auto"/>
              <w:jc w:val="center"/>
            </w:pPr>
            <w:r>
              <w:rPr>
                <w:rFonts w:ascii="Arial" w:hAnsi="Arial" w:eastAsia="Arial" w:cs="Arial"/>
                <w:b/>
                <w:bCs/>
                <w:color w:val="FFFFFF"/>
                <w:sz w:val="36"/>
                <w:szCs w:val="36"/>
              </w:rPr>
              <w:t>2</w:t>
            </w:r>
          </w:p>
        </w:tc>
        <w:tc>
          <w:tcPr>
            <w:tcW w:w="1800" w:type="dxa"/>
            <w:tcBorders>
              <w:top w:val="nil"/>
              <w:left w:val="single" w:color="FFFFFF" w:sz="4" w:space="0"/>
              <w:bottom w:val="nil"/>
              <w:right w:val="single" w:color="D0DCF0" w:sz="4" w:space="0"/>
            </w:tcBorders>
            <w:shd w:val="clear" w:color="auto" w:fill="EAE4F0"/>
            <w:tcMar>
              <w:top w:w="120" w:type="dxa"/>
              <w:left w:w="140" w:type="dxa"/>
              <w:bottom w:w="120" w:type="dxa"/>
              <w:right w:w="100" w:type="dxa"/>
            </w:tcMar>
            <w:vAlign w:val="center"/>
          </w:tcPr>
          <w:p w14:paraId="59467DE5">
            <w:pPr>
              <w:spacing w:before="0" w:after="40" w:line="240" w:lineRule="auto"/>
            </w:pPr>
            <w:r>
              <w:rPr>
                <w:rFonts w:ascii="Arial" w:hAnsi="Arial" w:eastAsia="Arial" w:cs="Arial"/>
                <w:b/>
                <w:bCs/>
                <w:color w:val="1F3864"/>
                <w:sz w:val="21"/>
                <w:szCs w:val="21"/>
              </w:rPr>
              <w:t>Transformation Layer</w:t>
            </w:r>
          </w:p>
          <w:p w14:paraId="6BD7539F">
            <w:pPr>
              <w:spacing w:before="0" w:after="0" w:line="240" w:lineRule="auto"/>
            </w:pPr>
            <w:r>
              <w:rPr>
                <w:rFonts w:ascii="Courier New" w:hAnsi="Courier New" w:eastAsia="Courier New" w:cs="Courier New"/>
                <w:b/>
                <w:bCs/>
                <w:color w:val="6A3D9A"/>
                <w:sz w:val="18"/>
                <w:szCs w:val="18"/>
              </w:rPr>
              <w:t>Transform Maps</w:t>
            </w:r>
          </w:p>
        </w:tc>
        <w:tc>
          <w:tcPr>
            <w:tcW w:w="7080" w:type="dxa"/>
            <w:tcBorders>
              <w:top w:val="nil"/>
              <w:left w:val="single" w:color="D0DCF0" w:sz="4" w:space="0"/>
              <w:bottom w:val="nil"/>
              <w:right w:val="nil"/>
            </w:tcBorders>
            <w:shd w:val="clear" w:color="auto" w:fill="F0F4FA"/>
            <w:tcMar>
              <w:top w:w="120" w:type="dxa"/>
              <w:left w:w="160" w:type="dxa"/>
              <w:bottom w:w="120" w:type="dxa"/>
              <w:right w:w="160" w:type="dxa"/>
            </w:tcMar>
            <w:vAlign w:val="center"/>
          </w:tcPr>
          <w:p w14:paraId="2AC68FE3">
            <w:pPr>
              <w:spacing w:line="240" w:lineRule="auto"/>
            </w:pPr>
            <w:r>
              <w:rPr>
                <w:rFonts w:ascii="Arial" w:hAnsi="Arial" w:eastAsia="Arial" w:cs="Arial"/>
                <w:color w:val="595959"/>
                <w:sz w:val="20"/>
                <w:szCs w:val="20"/>
              </w:rPr>
              <w:t>Applies field-level mapping rules to the staged data and writes the transformed records to the target [sys_user] table. This layer is responsible for all resolution logic, including the manager reference relationship, direct field copies, and coalesce-based duplicate prevention. The transformation is executed synchronously on demand by an administrator.</w:t>
            </w:r>
          </w:p>
        </w:tc>
      </w:tr>
      <w:tr w14:paraId="6954E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548235"/>
            <w:tcMar>
              <w:top w:w="120" w:type="dxa"/>
              <w:left w:w="60" w:type="dxa"/>
              <w:bottom w:w="120" w:type="dxa"/>
              <w:right w:w="60" w:type="dxa"/>
            </w:tcMar>
            <w:vAlign w:val="center"/>
          </w:tcPr>
          <w:p w14:paraId="1E6D3F18">
            <w:pPr>
              <w:spacing w:line="240" w:lineRule="auto"/>
              <w:jc w:val="center"/>
            </w:pPr>
            <w:r>
              <w:rPr>
                <w:rFonts w:ascii="Arial" w:hAnsi="Arial" w:eastAsia="Arial" w:cs="Arial"/>
                <w:b/>
                <w:bCs/>
                <w:color w:val="FFFFFF"/>
                <w:sz w:val="36"/>
                <w:szCs w:val="36"/>
              </w:rPr>
              <w:t>3</w:t>
            </w:r>
          </w:p>
        </w:tc>
        <w:tc>
          <w:tcPr>
            <w:tcW w:w="1800" w:type="dxa"/>
            <w:tcBorders>
              <w:top w:val="nil"/>
              <w:left w:val="single" w:color="FFFFFF" w:sz="4" w:space="0"/>
              <w:bottom w:val="nil"/>
              <w:right w:val="single" w:color="D0DCF0" w:sz="4" w:space="0"/>
            </w:tcBorders>
            <w:shd w:val="clear" w:color="auto" w:fill="E2EFDA"/>
            <w:tcMar>
              <w:top w:w="120" w:type="dxa"/>
              <w:left w:w="140" w:type="dxa"/>
              <w:bottom w:w="120" w:type="dxa"/>
              <w:right w:w="100" w:type="dxa"/>
            </w:tcMar>
            <w:vAlign w:val="center"/>
          </w:tcPr>
          <w:p w14:paraId="53FD51E7">
            <w:pPr>
              <w:spacing w:before="0" w:after="40" w:line="240" w:lineRule="auto"/>
            </w:pPr>
            <w:r>
              <w:rPr>
                <w:rFonts w:ascii="Arial" w:hAnsi="Arial" w:eastAsia="Arial" w:cs="Arial"/>
                <w:b/>
                <w:bCs/>
                <w:color w:val="1F3864"/>
                <w:sz w:val="21"/>
                <w:szCs w:val="21"/>
              </w:rPr>
              <w:t>Presentation Layer</w:t>
            </w:r>
          </w:p>
          <w:p w14:paraId="0CCE3941">
            <w:pPr>
              <w:spacing w:before="0" w:after="0" w:line="240" w:lineRule="auto"/>
            </w:pPr>
            <w:r>
              <w:rPr>
                <w:rFonts w:ascii="Courier New" w:hAnsi="Courier New" w:eastAsia="Courier New" w:cs="Courier New"/>
                <w:b/>
                <w:bCs/>
                <w:color w:val="548235"/>
                <w:sz w:val="18"/>
                <w:szCs w:val="18"/>
              </w:rPr>
              <w:t>Form Layout &amp; Dot-Walking</w:t>
            </w:r>
          </w:p>
        </w:tc>
        <w:tc>
          <w:tcPr>
            <w:tcW w:w="7080" w:type="dxa"/>
            <w:tcBorders>
              <w:top w:val="nil"/>
              <w:left w:val="single" w:color="D0DCF0" w:sz="4" w:space="0"/>
              <w:bottom w:val="nil"/>
              <w:right w:val="nil"/>
            </w:tcBorders>
            <w:shd w:val="clear" w:color="auto" w:fill="F7F9FD"/>
            <w:tcMar>
              <w:top w:w="120" w:type="dxa"/>
              <w:left w:w="160" w:type="dxa"/>
              <w:bottom w:w="120" w:type="dxa"/>
              <w:right w:w="160" w:type="dxa"/>
            </w:tcMar>
            <w:vAlign w:val="center"/>
          </w:tcPr>
          <w:p w14:paraId="5C88EC32">
            <w:pPr>
              <w:spacing w:line="240" w:lineRule="auto"/>
            </w:pPr>
            <w:r>
              <w:rPr>
                <w:rFonts w:ascii="Arial" w:hAnsi="Arial" w:eastAsia="Arial" w:cs="Arial"/>
                <w:color w:val="595959"/>
                <w:sz w:val="20"/>
                <w:szCs w:val="20"/>
              </w:rPr>
              <w:t>Surfaces related user data on the Incident form by traversing the reference relationship from the Incident's 'Assigned to' field into the [sys_user] record. This layer introduces no data writes and adds no new tables. All field values are derived dynamically at form render time via the platform's native dot-walking mechanism.</w:t>
            </w:r>
          </w:p>
        </w:tc>
      </w:tr>
    </w:tbl>
    <w:p w14:paraId="47D5793F">
      <w:pPr>
        <w:spacing w:before="100" w:after="0"/>
      </w:pPr>
    </w:p>
    <w:p w14:paraId="41C3176E">
      <w:pPr>
        <w:spacing w:before="80" w:after="0"/>
      </w:pPr>
    </w:p>
    <w:p w14:paraId="090A5C7B">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2.3  Component Interaction Summary</w:t>
      </w:r>
    </w:p>
    <w:p w14:paraId="06D0720E"/>
    <w:p w14:paraId="3BF7628B">
      <w:pPr>
        <w:spacing w:before="60" w:after="100" w:line="276" w:lineRule="auto"/>
        <w:jc w:val="both"/>
      </w:pPr>
      <w:r>
        <w:rPr>
          <w:rFonts w:ascii="Arial" w:hAnsi="Arial" w:eastAsia="Arial" w:cs="Arial"/>
          <w:color w:val="595959"/>
          <w:sz w:val="22"/>
          <w:szCs w:val="22"/>
        </w:rPr>
        <w:t>The following table summarises the interaction contracts between the three architectural layers. Each row defines the mechanism by which data crosses from one component to the next, the directionality of that interaction, and whether the interaction is synchronous or deferred.</w:t>
      </w:r>
    </w:p>
    <w:p w14:paraId="33CEC390">
      <w:pPr>
        <w:spacing w:before="80" w:after="0"/>
      </w:pPr>
    </w:p>
    <w:tbl>
      <w:tblPr>
        <w:tblStyle w:val="9"/>
        <w:tblpPr w:leftFromText="180" w:rightFromText="180" w:vertAnchor="text" w:horzAnchor="page" w:tblpX="1478" w:tblpY="286"/>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79"/>
        <w:gridCol w:w="2179"/>
        <w:gridCol w:w="2015"/>
        <w:gridCol w:w="1292"/>
        <w:gridCol w:w="1695"/>
      </w:tblGrid>
      <w:tr w14:paraId="719CB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nil"/>
              <w:left w:val="nil"/>
              <w:bottom w:val="nil"/>
              <w:right w:val="single" w:color="2E75B6" w:sz="4" w:space="0"/>
            </w:tcBorders>
            <w:shd w:val="clear" w:color="auto" w:fill="1F3864"/>
            <w:tcMar>
              <w:top w:w="80" w:type="dxa"/>
              <w:left w:w="120" w:type="dxa"/>
              <w:bottom w:w="80" w:type="dxa"/>
              <w:right w:w="120" w:type="dxa"/>
            </w:tcMar>
          </w:tcPr>
          <w:p w14:paraId="63116AB4">
            <w:r>
              <w:rPr>
                <w:rFonts w:ascii="Arial" w:hAnsi="Arial" w:eastAsia="Arial" w:cs="Arial"/>
                <w:b/>
                <w:bCs/>
                <w:color w:val="FFFFFF"/>
                <w:sz w:val="19"/>
                <w:szCs w:val="19"/>
              </w:rPr>
              <w:t>From Component</w:t>
            </w:r>
          </w:p>
        </w:tc>
        <w:tc>
          <w:tcPr>
            <w:tcW w:w="2000" w:type="dxa"/>
            <w:tcBorders>
              <w:top w:val="nil"/>
              <w:left w:val="nil"/>
              <w:bottom w:val="nil"/>
              <w:right w:val="single" w:color="2E75B6" w:sz="4" w:space="0"/>
            </w:tcBorders>
            <w:shd w:val="clear" w:color="auto" w:fill="1F3864"/>
            <w:tcMar>
              <w:top w:w="80" w:type="dxa"/>
              <w:left w:w="120" w:type="dxa"/>
              <w:bottom w:w="80" w:type="dxa"/>
              <w:right w:w="120" w:type="dxa"/>
            </w:tcMar>
          </w:tcPr>
          <w:p w14:paraId="3A77F0FD">
            <w:r>
              <w:rPr>
                <w:rFonts w:ascii="Arial" w:hAnsi="Arial" w:eastAsia="Arial" w:cs="Arial"/>
                <w:b/>
                <w:bCs/>
                <w:color w:val="FFFFFF"/>
                <w:sz w:val="19"/>
                <w:szCs w:val="19"/>
              </w:rPr>
              <w:t>To Component</w:t>
            </w:r>
          </w:p>
        </w:tc>
        <w:tc>
          <w:tcPr>
            <w:tcW w:w="2200" w:type="dxa"/>
            <w:tcBorders>
              <w:top w:val="nil"/>
              <w:left w:val="nil"/>
              <w:bottom w:val="nil"/>
              <w:right w:val="single" w:color="2E75B6" w:sz="4" w:space="0"/>
            </w:tcBorders>
            <w:shd w:val="clear" w:color="auto" w:fill="1F3864"/>
            <w:tcMar>
              <w:top w:w="80" w:type="dxa"/>
              <w:left w:w="120" w:type="dxa"/>
              <w:bottom w:w="80" w:type="dxa"/>
              <w:right w:w="120" w:type="dxa"/>
            </w:tcMar>
          </w:tcPr>
          <w:p w14:paraId="5648440D">
            <w:r>
              <w:rPr>
                <w:rFonts w:ascii="Arial" w:hAnsi="Arial" w:eastAsia="Arial" w:cs="Arial"/>
                <w:b/>
                <w:bCs/>
                <w:color w:val="FFFFFF"/>
                <w:sz w:val="19"/>
                <w:szCs w:val="19"/>
              </w:rPr>
              <w:t>Interaction Mechanism</w:t>
            </w:r>
          </w:p>
        </w:tc>
        <w:tc>
          <w:tcPr>
            <w:tcW w:w="1360" w:type="dxa"/>
            <w:tcBorders>
              <w:top w:val="nil"/>
              <w:left w:val="nil"/>
              <w:bottom w:val="nil"/>
              <w:right w:val="single" w:color="2E75B6" w:sz="4" w:space="0"/>
            </w:tcBorders>
            <w:shd w:val="clear" w:color="auto" w:fill="1F3864"/>
            <w:tcMar>
              <w:top w:w="80" w:type="dxa"/>
              <w:left w:w="120" w:type="dxa"/>
              <w:bottom w:w="80" w:type="dxa"/>
              <w:right w:w="120" w:type="dxa"/>
            </w:tcMar>
          </w:tcPr>
          <w:p w14:paraId="34412950">
            <w:r>
              <w:rPr>
                <w:rFonts w:ascii="Arial" w:hAnsi="Arial" w:eastAsia="Arial" w:cs="Arial"/>
                <w:b/>
                <w:bCs/>
                <w:color w:val="FFFFFF"/>
                <w:sz w:val="19"/>
                <w:szCs w:val="19"/>
              </w:rPr>
              <w:t>Direction</w:t>
            </w:r>
          </w:p>
        </w:tc>
        <w:tc>
          <w:tcPr>
            <w:tcW w:w="1800" w:type="dxa"/>
            <w:tcBorders>
              <w:top w:val="nil"/>
              <w:left w:val="nil"/>
              <w:bottom w:val="nil"/>
              <w:right w:val="nil"/>
            </w:tcBorders>
            <w:shd w:val="clear" w:color="auto" w:fill="1F3864"/>
            <w:tcMar>
              <w:top w:w="80" w:type="dxa"/>
              <w:left w:w="120" w:type="dxa"/>
              <w:bottom w:w="80" w:type="dxa"/>
              <w:right w:w="120" w:type="dxa"/>
            </w:tcMar>
          </w:tcPr>
          <w:p w14:paraId="278CA568">
            <w:r>
              <w:rPr>
                <w:rFonts w:ascii="Arial" w:hAnsi="Arial" w:eastAsia="Arial" w:cs="Arial"/>
                <w:b/>
                <w:bCs/>
                <w:color w:val="FFFFFF"/>
                <w:sz w:val="19"/>
                <w:szCs w:val="19"/>
              </w:rPr>
              <w:t>Trigger</w:t>
            </w:r>
          </w:p>
        </w:tc>
      </w:tr>
      <w:tr w14:paraId="10B43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5549B8CC">
            <w:r>
              <w:rPr>
                <w:rFonts w:ascii="Arial" w:hAnsi="Arial" w:eastAsia="Arial" w:cs="Arial"/>
                <w:b/>
                <w:bCs/>
                <w:color w:val="595959"/>
                <w:sz w:val="19"/>
                <w:szCs w:val="19"/>
              </w:rPr>
              <w:t>External CSV file</w:t>
            </w:r>
          </w:p>
        </w:tc>
        <w:tc>
          <w:tcPr>
            <w:tcW w:w="20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0E062A26">
            <w:r>
              <w:rPr>
                <w:rFonts w:ascii="Courier New" w:hAnsi="Courier New" w:eastAsia="Courier New" w:cs="Courier New"/>
                <w:b/>
                <w:bCs/>
                <w:color w:val="2E75B6"/>
                <w:sz w:val="19"/>
                <w:szCs w:val="19"/>
              </w:rPr>
              <w:t>u_import_employee</w:t>
            </w:r>
          </w:p>
        </w:tc>
        <w:tc>
          <w:tcPr>
            <w:tcW w:w="22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5E87CB1D">
            <w:r>
              <w:rPr>
                <w:rFonts w:ascii="Arial" w:hAnsi="Arial" w:eastAsia="Arial" w:cs="Arial"/>
                <w:b w:val="0"/>
                <w:bCs w:val="0"/>
                <w:color w:val="595959"/>
                <w:sz w:val="19"/>
                <w:szCs w:val="19"/>
              </w:rPr>
              <w:t>File upload via Import Sets Load Data form</w:t>
            </w:r>
          </w:p>
        </w:tc>
        <w:tc>
          <w:tcPr>
            <w:tcW w:w="136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073F744E">
            <w:r>
              <w:rPr>
                <w:rFonts w:ascii="Arial" w:hAnsi="Arial" w:eastAsia="Arial" w:cs="Arial"/>
                <w:b w:val="0"/>
                <w:bCs w:val="0"/>
                <w:color w:val="595959"/>
                <w:sz w:val="19"/>
                <w:szCs w:val="19"/>
              </w:rPr>
              <w:t>→  One-way</w:t>
            </w:r>
          </w:p>
        </w:tc>
        <w:tc>
          <w:tcPr>
            <w:tcW w:w="18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0B771B48">
            <w:r>
              <w:rPr>
                <w:rFonts w:ascii="Arial" w:hAnsi="Arial" w:eastAsia="Arial" w:cs="Arial"/>
                <w:b w:val="0"/>
                <w:bCs w:val="0"/>
                <w:color w:val="595959"/>
                <w:sz w:val="19"/>
                <w:szCs w:val="19"/>
              </w:rPr>
              <w:t>Manual — administrator</w:t>
            </w:r>
          </w:p>
        </w:tc>
      </w:tr>
      <w:tr w14:paraId="613DE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3ABD3219">
            <w:r>
              <w:rPr>
                <w:rFonts w:ascii="Courier New" w:hAnsi="Courier New" w:eastAsia="Courier New" w:cs="Courier New"/>
                <w:b/>
                <w:bCs/>
                <w:color w:val="2E75B6"/>
                <w:sz w:val="19"/>
                <w:szCs w:val="19"/>
              </w:rPr>
              <w:t>u_import_employee</w:t>
            </w:r>
          </w:p>
        </w:tc>
        <w:tc>
          <w:tcPr>
            <w:tcW w:w="200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7AB5D86E">
            <w:r>
              <w:rPr>
                <w:rFonts w:ascii="Courier New" w:hAnsi="Courier New" w:eastAsia="Courier New" w:cs="Courier New"/>
                <w:b/>
                <w:bCs/>
                <w:color w:val="2E75B6"/>
                <w:sz w:val="19"/>
                <w:szCs w:val="19"/>
              </w:rPr>
              <w:t>sys_user</w:t>
            </w:r>
          </w:p>
        </w:tc>
        <w:tc>
          <w:tcPr>
            <w:tcW w:w="220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44196F0F">
            <w:r>
              <w:rPr>
                <w:rFonts w:ascii="Arial" w:hAnsi="Arial" w:eastAsia="Arial" w:cs="Arial"/>
                <w:b w:val="0"/>
                <w:bCs w:val="0"/>
                <w:color w:val="595959"/>
                <w:sz w:val="19"/>
                <w:szCs w:val="19"/>
              </w:rPr>
              <w:t>Transform Map field mapping + reference resolution</w:t>
            </w:r>
          </w:p>
        </w:tc>
        <w:tc>
          <w:tcPr>
            <w:tcW w:w="136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1B8F789B">
            <w:r>
              <w:rPr>
                <w:rFonts w:ascii="Arial" w:hAnsi="Arial" w:eastAsia="Arial" w:cs="Arial"/>
                <w:b w:val="0"/>
                <w:bCs w:val="0"/>
                <w:color w:val="595959"/>
                <w:sz w:val="19"/>
                <w:szCs w:val="19"/>
              </w:rPr>
              <w:t>→  One-way</w:t>
            </w:r>
          </w:p>
        </w:tc>
        <w:tc>
          <w:tcPr>
            <w:tcW w:w="180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7A564358">
            <w:r>
              <w:rPr>
                <w:rFonts w:ascii="Arial" w:hAnsi="Arial" w:eastAsia="Arial" w:cs="Arial"/>
                <w:b w:val="0"/>
                <w:bCs w:val="0"/>
                <w:color w:val="595959"/>
                <w:sz w:val="19"/>
                <w:szCs w:val="19"/>
              </w:rPr>
              <w:t>Manual — Transform execution</w:t>
            </w:r>
          </w:p>
        </w:tc>
      </w:tr>
      <w:tr w14:paraId="64008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448FA55F">
            <w:r>
              <w:rPr>
                <w:rFonts w:ascii="Courier New" w:hAnsi="Courier New" w:eastAsia="Courier New" w:cs="Courier New"/>
                <w:b/>
                <w:bCs/>
                <w:color w:val="2E75B6"/>
                <w:sz w:val="19"/>
                <w:szCs w:val="19"/>
              </w:rPr>
              <w:t>sys_user</w:t>
            </w:r>
          </w:p>
        </w:tc>
        <w:tc>
          <w:tcPr>
            <w:tcW w:w="20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2B67E47D">
            <w:r>
              <w:rPr>
                <w:rFonts w:ascii="Arial" w:hAnsi="Arial" w:eastAsia="Arial" w:cs="Arial"/>
                <w:b w:val="0"/>
                <w:bCs w:val="0"/>
                <w:color w:val="595959"/>
                <w:sz w:val="19"/>
                <w:szCs w:val="19"/>
              </w:rPr>
              <w:t>Incident form</w:t>
            </w:r>
          </w:p>
        </w:tc>
        <w:tc>
          <w:tcPr>
            <w:tcW w:w="22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23160A96">
            <w:r>
              <w:rPr>
                <w:rFonts w:ascii="Arial" w:hAnsi="Arial" w:eastAsia="Arial" w:cs="Arial"/>
                <w:b w:val="0"/>
                <w:bCs w:val="0"/>
                <w:color w:val="595959"/>
                <w:sz w:val="19"/>
                <w:szCs w:val="19"/>
              </w:rPr>
              <w:t>Dot-walking via `assigned_to` reference field</w:t>
            </w:r>
          </w:p>
        </w:tc>
        <w:tc>
          <w:tcPr>
            <w:tcW w:w="136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746E345E">
            <w:r>
              <w:rPr>
                <w:rFonts w:ascii="Arial" w:hAnsi="Arial" w:eastAsia="Arial" w:cs="Arial"/>
                <w:b w:val="0"/>
                <w:bCs w:val="0"/>
                <w:color w:val="595959"/>
                <w:sz w:val="19"/>
                <w:szCs w:val="19"/>
              </w:rPr>
              <w:t>→  Read-only</w:t>
            </w:r>
          </w:p>
        </w:tc>
        <w:tc>
          <w:tcPr>
            <w:tcW w:w="18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0EE0B378">
            <w:r>
              <w:rPr>
                <w:rFonts w:ascii="Arial" w:hAnsi="Arial" w:eastAsia="Arial" w:cs="Arial"/>
                <w:b w:val="0"/>
                <w:bCs w:val="0"/>
                <w:color w:val="595959"/>
                <w:sz w:val="19"/>
                <w:szCs w:val="19"/>
              </w:rPr>
              <w:t>Automatic — on user field change</w:t>
            </w:r>
          </w:p>
        </w:tc>
      </w:tr>
    </w:tbl>
    <w:p w14:paraId="7489CEA9">
      <w:pPr>
        <w:spacing w:before="80" w:after="0"/>
      </w:pPr>
    </w:p>
    <w:p w14:paraId="246E6B71">
      <w:pPr>
        <w:pStyle w:val="2"/>
        <w:pBdr>
          <w:left w:val="single" w:color="2E75B6" w:sz="28" w:space="8"/>
        </w:pBdr>
        <w:spacing w:before="340" w:after="120"/>
      </w:pPr>
      <w:r>
        <w:rPr>
          <w:rFonts w:ascii="Arial" w:hAnsi="Arial" w:eastAsia="Arial" w:cs="Arial"/>
          <w:b/>
          <w:bCs/>
          <w:color w:val="1F3864"/>
          <w:sz w:val="28"/>
          <w:szCs w:val="28"/>
        </w:rPr>
        <w:t>3. DATA ARCHITECTURE &amp; MODEL DESIGN</w:t>
      </w:r>
    </w:p>
    <w:p w14:paraId="5754383A">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3.1  Source Data Schema (External CSV)</w:t>
      </w:r>
    </w:p>
    <w:p w14:paraId="7685E8B5"/>
    <w:p w14:paraId="63228741">
      <w:pPr>
        <w:spacing w:before="60" w:after="100" w:line="360" w:lineRule="auto"/>
        <w:jc w:val="both"/>
      </w:pPr>
      <w:r>
        <w:rPr>
          <w:rFonts w:ascii="Arial" w:hAnsi="Arial" w:eastAsia="Arial" w:cs="Arial"/>
          <w:color w:val="595959"/>
          <w:sz w:val="22"/>
          <w:szCs w:val="22"/>
        </w:rPr>
        <w:t>The external data source will be a CSV-formatted file conforming to the schema defined below. This schema represents the minimum required structure; additional columns in the source file will be ignored by the Transform Map unless explicitly mapped. The schema definition must be communicated to the Data Owner as the authoritative file specification and must not change between import cycles without a corresponding Transform Map update.</w:t>
      </w:r>
    </w:p>
    <w:p w14:paraId="4A9BBD4A">
      <w:pPr>
        <w:spacing w:before="80" w:after="0"/>
      </w:pPr>
    </w:p>
    <w:tbl>
      <w:tblPr>
        <w:tblStyle w:val="9"/>
        <w:tblpPr w:leftFromText="180" w:rightFromText="180" w:vertAnchor="text" w:horzAnchor="page" w:tblpX="1572" w:tblpY="412"/>
        <w:tblOverlap w:val="never"/>
        <w:tblW w:w="92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2"/>
        <w:gridCol w:w="1525"/>
        <w:gridCol w:w="977"/>
        <w:gridCol w:w="1064"/>
        <w:gridCol w:w="1448"/>
        <w:gridCol w:w="2662"/>
      </w:tblGrid>
      <w:tr w14:paraId="0A31C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19" w:hRule="atLeast"/>
          <w:tblHeader/>
        </w:trPr>
        <w:tc>
          <w:tcPr>
            <w:tcW w:w="1563" w:type="dxa"/>
            <w:tcBorders>
              <w:top w:val="nil"/>
              <w:left w:val="nil"/>
              <w:bottom w:val="nil"/>
              <w:right w:val="single" w:color="2E75B6" w:sz="4" w:space="0"/>
            </w:tcBorders>
            <w:shd w:val="clear" w:color="auto" w:fill="1F3864"/>
            <w:tcMar>
              <w:top w:w="80" w:type="dxa"/>
              <w:left w:w="120" w:type="dxa"/>
              <w:bottom w:w="80" w:type="dxa"/>
              <w:right w:w="120" w:type="dxa"/>
            </w:tcMar>
          </w:tcPr>
          <w:p w14:paraId="7A49535A">
            <w:r>
              <w:rPr>
                <w:rFonts w:ascii="Arial" w:hAnsi="Arial" w:eastAsia="Arial" w:cs="Arial"/>
                <w:b/>
                <w:bCs/>
                <w:color w:val="FFFFFF"/>
                <w:sz w:val="19"/>
                <w:szCs w:val="19"/>
              </w:rPr>
              <w:t>Column Header</w:t>
            </w:r>
          </w:p>
        </w:tc>
        <w:tc>
          <w:tcPr>
            <w:tcW w:w="1529" w:type="dxa"/>
            <w:tcBorders>
              <w:top w:val="nil"/>
              <w:left w:val="nil"/>
              <w:bottom w:val="nil"/>
              <w:right w:val="single" w:color="2E75B6" w:sz="4" w:space="0"/>
            </w:tcBorders>
            <w:shd w:val="clear" w:color="auto" w:fill="1F3864"/>
            <w:tcMar>
              <w:top w:w="80" w:type="dxa"/>
              <w:left w:w="120" w:type="dxa"/>
              <w:bottom w:w="80" w:type="dxa"/>
              <w:right w:w="120" w:type="dxa"/>
            </w:tcMar>
          </w:tcPr>
          <w:p w14:paraId="6D415406">
            <w:r>
              <w:rPr>
                <w:rFonts w:ascii="Arial" w:hAnsi="Arial" w:eastAsia="Arial" w:cs="Arial"/>
                <w:b/>
                <w:bCs/>
                <w:color w:val="FFFFFF"/>
                <w:sz w:val="19"/>
                <w:szCs w:val="19"/>
              </w:rPr>
              <w:t>Logical Data Type</w:t>
            </w:r>
          </w:p>
        </w:tc>
        <w:tc>
          <w:tcPr>
            <w:tcW w:w="978" w:type="dxa"/>
            <w:tcBorders>
              <w:top w:val="nil"/>
              <w:left w:val="nil"/>
              <w:bottom w:val="nil"/>
              <w:right w:val="single" w:color="2E75B6" w:sz="4" w:space="0"/>
            </w:tcBorders>
            <w:shd w:val="clear" w:color="auto" w:fill="1F3864"/>
            <w:tcMar>
              <w:top w:w="80" w:type="dxa"/>
              <w:left w:w="120" w:type="dxa"/>
              <w:bottom w:w="80" w:type="dxa"/>
              <w:right w:w="120" w:type="dxa"/>
            </w:tcMar>
          </w:tcPr>
          <w:p w14:paraId="5F2C0656">
            <w:r>
              <w:rPr>
                <w:rFonts w:ascii="Arial" w:hAnsi="Arial" w:eastAsia="Arial" w:cs="Arial"/>
                <w:b/>
                <w:bCs/>
                <w:color w:val="FFFFFF"/>
                <w:sz w:val="19"/>
                <w:szCs w:val="19"/>
              </w:rPr>
              <w:t>Max Length</w:t>
            </w:r>
          </w:p>
        </w:tc>
        <w:tc>
          <w:tcPr>
            <w:tcW w:w="1050" w:type="dxa"/>
            <w:tcBorders>
              <w:top w:val="nil"/>
              <w:left w:val="nil"/>
              <w:bottom w:val="nil"/>
              <w:right w:val="single" w:color="2E75B6" w:sz="4" w:space="0"/>
            </w:tcBorders>
            <w:shd w:val="clear" w:color="auto" w:fill="1F3864"/>
            <w:tcMar>
              <w:top w:w="80" w:type="dxa"/>
              <w:left w:w="120" w:type="dxa"/>
              <w:bottom w:w="80" w:type="dxa"/>
              <w:right w:w="120" w:type="dxa"/>
            </w:tcMar>
          </w:tcPr>
          <w:p w14:paraId="4A32024A">
            <w:r>
              <w:rPr>
                <w:rFonts w:ascii="Arial" w:hAnsi="Arial" w:eastAsia="Arial" w:cs="Arial"/>
                <w:b/>
                <w:bCs/>
                <w:color w:val="FFFFFF"/>
                <w:sz w:val="19"/>
                <w:szCs w:val="19"/>
              </w:rPr>
              <w:t>Required</w:t>
            </w:r>
          </w:p>
        </w:tc>
        <w:tc>
          <w:tcPr>
            <w:tcW w:w="1449" w:type="dxa"/>
            <w:tcBorders>
              <w:top w:val="nil"/>
              <w:left w:val="nil"/>
              <w:bottom w:val="nil"/>
              <w:right w:val="single" w:color="2E75B6" w:sz="4" w:space="0"/>
            </w:tcBorders>
            <w:shd w:val="clear" w:color="auto" w:fill="1F3864"/>
            <w:tcMar>
              <w:top w:w="80" w:type="dxa"/>
              <w:left w:w="120" w:type="dxa"/>
              <w:bottom w:w="80" w:type="dxa"/>
              <w:right w:w="120" w:type="dxa"/>
            </w:tcMar>
          </w:tcPr>
          <w:p w14:paraId="7475DA86">
            <w:r>
              <w:rPr>
                <w:rFonts w:ascii="Arial" w:hAnsi="Arial" w:eastAsia="Arial" w:cs="Arial"/>
                <w:b/>
                <w:bCs/>
                <w:color w:val="FFFFFF"/>
                <w:sz w:val="19"/>
                <w:szCs w:val="19"/>
              </w:rPr>
              <w:t>Uniqueness Constraint</w:t>
            </w:r>
          </w:p>
        </w:tc>
        <w:tc>
          <w:tcPr>
            <w:tcW w:w="2669" w:type="dxa"/>
            <w:tcBorders>
              <w:top w:val="nil"/>
              <w:left w:val="nil"/>
              <w:bottom w:val="nil"/>
              <w:right w:val="nil"/>
            </w:tcBorders>
            <w:shd w:val="clear" w:color="auto" w:fill="1F3864"/>
            <w:tcMar>
              <w:top w:w="80" w:type="dxa"/>
              <w:left w:w="120" w:type="dxa"/>
              <w:bottom w:w="80" w:type="dxa"/>
              <w:right w:w="120" w:type="dxa"/>
            </w:tcMar>
          </w:tcPr>
          <w:p w14:paraId="28D6C5E3">
            <w:r>
              <w:rPr>
                <w:rFonts w:ascii="Arial" w:hAnsi="Arial" w:eastAsia="Arial" w:cs="Arial"/>
                <w:b/>
                <w:bCs/>
                <w:color w:val="FFFFFF"/>
                <w:sz w:val="19"/>
                <w:szCs w:val="19"/>
              </w:rPr>
              <w:t>Notes</w:t>
            </w:r>
          </w:p>
        </w:tc>
      </w:tr>
      <w:tr w14:paraId="74796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23" w:hRule="atLeast"/>
        </w:trPr>
        <w:tc>
          <w:tcPr>
            <w:tcW w:w="1563"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02F2FCE2">
            <w:r>
              <w:rPr>
                <w:rFonts w:ascii="Courier New" w:hAnsi="Courier New" w:eastAsia="Courier New" w:cs="Courier New"/>
                <w:b/>
                <w:bCs/>
                <w:color w:val="2E75B6"/>
                <w:sz w:val="19"/>
                <w:szCs w:val="19"/>
              </w:rPr>
              <w:t>name</w:t>
            </w:r>
          </w:p>
        </w:tc>
        <w:tc>
          <w:tcPr>
            <w:tcW w:w="1529"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497C4864">
            <w:r>
              <w:rPr>
                <w:rFonts w:ascii="Arial" w:hAnsi="Arial" w:eastAsia="Arial" w:cs="Arial"/>
                <w:b w:val="0"/>
                <w:bCs w:val="0"/>
                <w:color w:val="595959"/>
                <w:sz w:val="19"/>
                <w:szCs w:val="19"/>
              </w:rPr>
              <w:t>String</w:t>
            </w:r>
          </w:p>
        </w:tc>
        <w:tc>
          <w:tcPr>
            <w:tcW w:w="978"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41FD64DC">
            <w:r>
              <w:rPr>
                <w:rFonts w:ascii="Arial" w:hAnsi="Arial" w:eastAsia="Arial" w:cs="Arial"/>
                <w:b w:val="0"/>
                <w:bCs w:val="0"/>
                <w:color w:val="595959"/>
                <w:sz w:val="19"/>
                <w:szCs w:val="19"/>
              </w:rPr>
              <w:t>100 chars</w:t>
            </w:r>
          </w:p>
        </w:tc>
        <w:tc>
          <w:tcPr>
            <w:tcW w:w="105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27618987">
            <w:r>
              <w:rPr>
                <w:rFonts w:ascii="Arial" w:hAnsi="Arial" w:eastAsia="Arial" w:cs="Arial"/>
                <w:b w:val="0"/>
                <w:bCs w:val="0"/>
                <w:color w:val="595959"/>
                <w:sz w:val="19"/>
                <w:szCs w:val="19"/>
              </w:rPr>
              <w:t>Yes</w:t>
            </w:r>
          </w:p>
        </w:tc>
        <w:tc>
          <w:tcPr>
            <w:tcW w:w="1449"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57005C5F">
            <w:r>
              <w:rPr>
                <w:rFonts w:ascii="Arial" w:hAnsi="Arial" w:eastAsia="Arial" w:cs="Arial"/>
                <w:b w:val="0"/>
                <w:bCs w:val="0"/>
                <w:color w:val="595959"/>
                <w:sz w:val="19"/>
                <w:szCs w:val="19"/>
              </w:rPr>
              <w:t>No</w:t>
            </w:r>
          </w:p>
        </w:tc>
        <w:tc>
          <w:tcPr>
            <w:tcW w:w="2669"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6F5DDAA1">
            <w:r>
              <w:rPr>
                <w:rFonts w:ascii="Arial" w:hAnsi="Arial" w:eastAsia="Arial" w:cs="Arial"/>
                <w:b w:val="0"/>
                <w:bCs w:val="0"/>
                <w:color w:val="595959"/>
                <w:sz w:val="19"/>
                <w:szCs w:val="19"/>
              </w:rPr>
              <w:t>Full display name. Must match the display name format used in [sys_user] for manager reference resolution to succeed.</w:t>
            </w:r>
          </w:p>
        </w:tc>
      </w:tr>
      <w:tr w14:paraId="7D77E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23" w:hRule="atLeast"/>
        </w:trPr>
        <w:tc>
          <w:tcPr>
            <w:tcW w:w="1563"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207230EE">
            <w:r>
              <w:rPr>
                <w:rFonts w:ascii="Courier New" w:hAnsi="Courier New" w:eastAsia="Courier New" w:cs="Courier New"/>
                <w:b/>
                <w:bCs/>
                <w:color w:val="2E75B6"/>
                <w:sz w:val="19"/>
                <w:szCs w:val="19"/>
              </w:rPr>
              <w:t>email</w:t>
            </w:r>
          </w:p>
        </w:tc>
        <w:tc>
          <w:tcPr>
            <w:tcW w:w="1529"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3B98216E">
            <w:r>
              <w:rPr>
                <w:rFonts w:ascii="Arial" w:hAnsi="Arial" w:eastAsia="Arial" w:cs="Arial"/>
                <w:b w:val="0"/>
                <w:bCs w:val="0"/>
                <w:color w:val="595959"/>
                <w:sz w:val="19"/>
                <w:szCs w:val="19"/>
              </w:rPr>
              <w:t>String</w:t>
            </w:r>
          </w:p>
        </w:tc>
        <w:tc>
          <w:tcPr>
            <w:tcW w:w="978"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5ABEAA75">
            <w:r>
              <w:rPr>
                <w:rFonts w:ascii="Arial" w:hAnsi="Arial" w:eastAsia="Arial" w:cs="Arial"/>
                <w:b w:val="0"/>
                <w:bCs w:val="0"/>
                <w:color w:val="595959"/>
                <w:sz w:val="19"/>
                <w:szCs w:val="19"/>
              </w:rPr>
              <w:t>100 chars</w:t>
            </w:r>
          </w:p>
        </w:tc>
        <w:tc>
          <w:tcPr>
            <w:tcW w:w="105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5CA99988">
            <w:r>
              <w:rPr>
                <w:rFonts w:ascii="Arial" w:hAnsi="Arial" w:eastAsia="Arial" w:cs="Arial"/>
                <w:b w:val="0"/>
                <w:bCs w:val="0"/>
                <w:color w:val="595959"/>
                <w:sz w:val="19"/>
                <w:szCs w:val="19"/>
              </w:rPr>
              <w:t>Yes</w:t>
            </w:r>
          </w:p>
        </w:tc>
        <w:tc>
          <w:tcPr>
            <w:tcW w:w="1449"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12CBC1BD">
            <w:r>
              <w:rPr>
                <w:rFonts w:ascii="Arial" w:hAnsi="Arial" w:eastAsia="Arial" w:cs="Arial"/>
                <w:b w:val="0"/>
                <w:bCs w:val="0"/>
                <w:color w:val="595959"/>
                <w:sz w:val="19"/>
                <w:szCs w:val="19"/>
              </w:rPr>
              <w:t>Yes (per batch)</w:t>
            </w:r>
          </w:p>
        </w:tc>
        <w:tc>
          <w:tcPr>
            <w:tcW w:w="2669"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660C4C3F">
            <w:r>
              <w:rPr>
                <w:rFonts w:ascii="Arial" w:hAnsi="Arial" w:eastAsia="Arial" w:cs="Arial"/>
                <w:b w:val="0"/>
                <w:bCs w:val="0"/>
                <w:color w:val="595959"/>
                <w:sz w:val="19"/>
                <w:szCs w:val="19"/>
              </w:rPr>
              <w:t>Corporate email address. Used as the coalesce (deduplication) key on re-import. Must be unique within the source file.</w:t>
            </w:r>
          </w:p>
        </w:tc>
      </w:tr>
      <w:tr w14:paraId="1E860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23" w:hRule="atLeast"/>
        </w:trPr>
        <w:tc>
          <w:tcPr>
            <w:tcW w:w="1563"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3377D8F7">
            <w:r>
              <w:rPr>
                <w:rFonts w:ascii="Courier New" w:hAnsi="Courier New" w:eastAsia="Courier New" w:cs="Courier New"/>
                <w:b/>
                <w:bCs/>
                <w:color w:val="2E75B6"/>
                <w:sz w:val="19"/>
                <w:szCs w:val="19"/>
              </w:rPr>
              <w:t>department</w:t>
            </w:r>
          </w:p>
        </w:tc>
        <w:tc>
          <w:tcPr>
            <w:tcW w:w="1529"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58DFFCD5">
            <w:r>
              <w:rPr>
                <w:rFonts w:ascii="Arial" w:hAnsi="Arial" w:eastAsia="Arial" w:cs="Arial"/>
                <w:b w:val="0"/>
                <w:bCs w:val="0"/>
                <w:color w:val="595959"/>
                <w:sz w:val="19"/>
                <w:szCs w:val="19"/>
              </w:rPr>
              <w:t>String</w:t>
            </w:r>
          </w:p>
        </w:tc>
        <w:tc>
          <w:tcPr>
            <w:tcW w:w="978"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41684A96">
            <w:r>
              <w:rPr>
                <w:rFonts w:ascii="Arial" w:hAnsi="Arial" w:eastAsia="Arial" w:cs="Arial"/>
                <w:b w:val="0"/>
                <w:bCs w:val="0"/>
                <w:color w:val="595959"/>
                <w:sz w:val="19"/>
                <w:szCs w:val="19"/>
              </w:rPr>
              <w:t>50 chars</w:t>
            </w:r>
          </w:p>
        </w:tc>
        <w:tc>
          <w:tcPr>
            <w:tcW w:w="105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6804908A">
            <w:r>
              <w:rPr>
                <w:rFonts w:ascii="Arial" w:hAnsi="Arial" w:eastAsia="Arial" w:cs="Arial"/>
                <w:b w:val="0"/>
                <w:bCs w:val="0"/>
                <w:color w:val="595959"/>
                <w:sz w:val="19"/>
                <w:szCs w:val="19"/>
              </w:rPr>
              <w:t>No</w:t>
            </w:r>
          </w:p>
        </w:tc>
        <w:tc>
          <w:tcPr>
            <w:tcW w:w="1449"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0AD19C50">
            <w:r>
              <w:rPr>
                <w:rFonts w:ascii="Arial" w:hAnsi="Arial" w:eastAsia="Arial" w:cs="Arial"/>
                <w:b w:val="0"/>
                <w:bCs w:val="0"/>
                <w:color w:val="595959"/>
                <w:sz w:val="19"/>
                <w:szCs w:val="19"/>
              </w:rPr>
              <w:t>No</w:t>
            </w:r>
          </w:p>
        </w:tc>
        <w:tc>
          <w:tcPr>
            <w:tcW w:w="2669"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75D17573">
            <w:r>
              <w:rPr>
                <w:rFonts w:ascii="Arial" w:hAnsi="Arial" w:eastAsia="Arial" w:cs="Arial"/>
                <w:b w:val="0"/>
                <w:bCs w:val="0"/>
                <w:color w:val="595959"/>
                <w:sz w:val="19"/>
                <w:szCs w:val="19"/>
              </w:rPr>
              <w:t>Department name. Must correspond to an existing Department record in the platform for the reference field to resolve.</w:t>
            </w:r>
          </w:p>
        </w:tc>
      </w:tr>
      <w:tr w14:paraId="7348B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23" w:hRule="atLeast"/>
        </w:trPr>
        <w:tc>
          <w:tcPr>
            <w:tcW w:w="1563"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3AA4186C">
            <w:r>
              <w:rPr>
                <w:rFonts w:ascii="Courier New" w:hAnsi="Courier New" w:eastAsia="Courier New" w:cs="Courier New"/>
                <w:b/>
                <w:bCs/>
                <w:color w:val="2E75B6"/>
                <w:sz w:val="19"/>
                <w:szCs w:val="19"/>
              </w:rPr>
              <w:t>manager</w:t>
            </w:r>
          </w:p>
        </w:tc>
        <w:tc>
          <w:tcPr>
            <w:tcW w:w="1529"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32934003">
            <w:r>
              <w:rPr>
                <w:rFonts w:ascii="Arial" w:hAnsi="Arial" w:eastAsia="Arial" w:cs="Arial"/>
                <w:b w:val="0"/>
                <w:bCs w:val="0"/>
                <w:color w:val="595959"/>
                <w:sz w:val="19"/>
                <w:szCs w:val="19"/>
              </w:rPr>
              <w:t>String</w:t>
            </w:r>
          </w:p>
        </w:tc>
        <w:tc>
          <w:tcPr>
            <w:tcW w:w="978"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737E060B">
            <w:r>
              <w:rPr>
                <w:rFonts w:ascii="Arial" w:hAnsi="Arial" w:eastAsia="Arial" w:cs="Arial"/>
                <w:b w:val="0"/>
                <w:bCs w:val="0"/>
                <w:color w:val="595959"/>
                <w:sz w:val="19"/>
                <w:szCs w:val="19"/>
              </w:rPr>
              <w:t>100 chars</w:t>
            </w:r>
          </w:p>
        </w:tc>
        <w:tc>
          <w:tcPr>
            <w:tcW w:w="105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30A91A87">
            <w:r>
              <w:rPr>
                <w:rFonts w:ascii="Arial" w:hAnsi="Arial" w:eastAsia="Arial" w:cs="Arial"/>
                <w:b w:val="0"/>
                <w:bCs w:val="0"/>
                <w:color w:val="595959"/>
                <w:sz w:val="19"/>
                <w:szCs w:val="19"/>
              </w:rPr>
              <w:t>No</w:t>
            </w:r>
          </w:p>
        </w:tc>
        <w:tc>
          <w:tcPr>
            <w:tcW w:w="1449"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2B2BE0B6">
            <w:r>
              <w:rPr>
                <w:rFonts w:ascii="Arial" w:hAnsi="Arial" w:eastAsia="Arial" w:cs="Arial"/>
                <w:b w:val="0"/>
                <w:bCs w:val="0"/>
                <w:color w:val="595959"/>
                <w:sz w:val="19"/>
                <w:szCs w:val="19"/>
              </w:rPr>
              <w:t>No</w:t>
            </w:r>
          </w:p>
        </w:tc>
        <w:tc>
          <w:tcPr>
            <w:tcW w:w="2669"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5F4FA13A">
            <w:r>
              <w:rPr>
                <w:rFonts w:ascii="Arial" w:hAnsi="Arial" w:eastAsia="Arial" w:cs="Arial"/>
                <w:b w:val="0"/>
                <w:bCs w:val="0"/>
                <w:color w:val="595959"/>
                <w:sz w:val="19"/>
                <w:szCs w:val="19"/>
              </w:rPr>
              <w:t>Full name of the reporting manager. Must match the name of an existing or co-imported [sys_user] record exactly.</w:t>
            </w:r>
          </w:p>
        </w:tc>
      </w:tr>
      <w:tr w14:paraId="4435A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71" w:hRule="atLeast"/>
        </w:trPr>
        <w:tc>
          <w:tcPr>
            <w:tcW w:w="1563"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3DE5A40B">
            <w:r>
              <w:rPr>
                <w:rFonts w:ascii="Courier New" w:hAnsi="Courier New" w:eastAsia="Courier New" w:cs="Courier New"/>
                <w:b/>
                <w:bCs/>
                <w:color w:val="2E75B6"/>
                <w:sz w:val="19"/>
                <w:szCs w:val="19"/>
              </w:rPr>
              <w:t>phone number</w:t>
            </w:r>
          </w:p>
        </w:tc>
        <w:tc>
          <w:tcPr>
            <w:tcW w:w="1529"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1194B8E6">
            <w:r>
              <w:rPr>
                <w:rFonts w:ascii="Arial" w:hAnsi="Arial" w:eastAsia="Arial" w:cs="Arial"/>
                <w:b w:val="0"/>
                <w:bCs w:val="0"/>
                <w:color w:val="595959"/>
                <w:sz w:val="19"/>
                <w:szCs w:val="19"/>
              </w:rPr>
              <w:t>String</w:t>
            </w:r>
          </w:p>
        </w:tc>
        <w:tc>
          <w:tcPr>
            <w:tcW w:w="978"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0FAF6025">
            <w:r>
              <w:rPr>
                <w:rFonts w:ascii="Arial" w:hAnsi="Arial" w:eastAsia="Arial" w:cs="Arial"/>
                <w:b w:val="0"/>
                <w:bCs w:val="0"/>
                <w:color w:val="595959"/>
                <w:sz w:val="19"/>
                <w:szCs w:val="19"/>
              </w:rPr>
              <w:t>20 chars</w:t>
            </w:r>
          </w:p>
        </w:tc>
        <w:tc>
          <w:tcPr>
            <w:tcW w:w="105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733BA8AB">
            <w:r>
              <w:rPr>
                <w:rFonts w:ascii="Arial" w:hAnsi="Arial" w:eastAsia="Arial" w:cs="Arial"/>
                <w:b w:val="0"/>
                <w:bCs w:val="0"/>
                <w:color w:val="595959"/>
                <w:sz w:val="19"/>
                <w:szCs w:val="19"/>
              </w:rPr>
              <w:t>No</w:t>
            </w:r>
          </w:p>
        </w:tc>
        <w:tc>
          <w:tcPr>
            <w:tcW w:w="1449"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0EA6A246">
            <w:r>
              <w:rPr>
                <w:rFonts w:ascii="Arial" w:hAnsi="Arial" w:eastAsia="Arial" w:cs="Arial"/>
                <w:b w:val="0"/>
                <w:bCs w:val="0"/>
                <w:color w:val="595959"/>
                <w:sz w:val="19"/>
                <w:szCs w:val="19"/>
              </w:rPr>
              <w:t>No</w:t>
            </w:r>
          </w:p>
        </w:tc>
        <w:tc>
          <w:tcPr>
            <w:tcW w:w="2669"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75506A88">
            <w:r>
              <w:rPr>
                <w:rFonts w:ascii="Arial" w:hAnsi="Arial" w:eastAsia="Arial" w:cs="Arial"/>
                <w:b w:val="0"/>
                <w:bCs w:val="0"/>
                <w:color w:val="595959"/>
                <w:sz w:val="19"/>
                <w:szCs w:val="19"/>
              </w:rPr>
              <w:t>Primary contact number. Stored as a string; no numeric validation is applied during import.</w:t>
            </w:r>
          </w:p>
        </w:tc>
      </w:tr>
    </w:tbl>
    <w:p w14:paraId="2372B4E7">
      <w:pPr>
        <w:spacing w:before="80" w:after="0"/>
      </w:pPr>
    </w:p>
    <w:p w14:paraId="6048881A">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3.2  Staging Table Schema ([u_import_employee])</w:t>
      </w:r>
    </w:p>
    <w:p w14:paraId="47A90D35"/>
    <w:p w14:paraId="4C443270">
      <w:pPr>
        <w:spacing w:before="60" w:after="100" w:line="360" w:lineRule="auto"/>
        <w:jc w:val="both"/>
      </w:pPr>
      <w:r>
        <w:rPr>
          <w:rFonts w:ascii="Arial" w:hAnsi="Arial" w:eastAsia="Arial" w:cs="Arial"/>
          <w:color w:val="595959"/>
          <w:sz w:val="22"/>
          <w:szCs w:val="22"/>
        </w:rPr>
        <w:t>The Import Set staging table will be auto-generated by the ServiceNow platform upon the first file upload via the Import Sets Load Data form. The platform derives the column names from the CSV file headers, applying a 'u_' prefix to each column name as part of the import_set_row extension pattern. The resulting physical schema is defined below.</w:t>
      </w:r>
    </w:p>
    <w:tbl>
      <w:tblPr>
        <w:tblStyle w:val="9"/>
        <w:tblpPr w:leftFromText="180" w:rightFromText="180" w:vertAnchor="text" w:horzAnchor="page" w:tblpX="1422" w:tblpY="85"/>
        <w:tblOverlap w:val="never"/>
        <w:tblW w:w="93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0"/>
        <w:gridCol w:w="2190"/>
        <w:gridCol w:w="1593"/>
        <w:gridCol w:w="995"/>
        <w:gridCol w:w="2349"/>
      </w:tblGrid>
      <w:tr w14:paraId="381E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86" w:hRule="atLeast"/>
          <w:tblHeader/>
        </w:trPr>
        <w:tc>
          <w:tcPr>
            <w:tcW w:w="2190" w:type="dxa"/>
            <w:tcBorders>
              <w:top w:val="nil"/>
              <w:left w:val="nil"/>
              <w:bottom w:val="nil"/>
              <w:right w:val="single" w:color="2E75B6" w:sz="4" w:space="0"/>
            </w:tcBorders>
            <w:shd w:val="clear" w:color="auto" w:fill="1F3864"/>
            <w:tcMar>
              <w:top w:w="80" w:type="dxa"/>
              <w:left w:w="120" w:type="dxa"/>
              <w:bottom w:w="80" w:type="dxa"/>
              <w:right w:w="120" w:type="dxa"/>
            </w:tcMar>
          </w:tcPr>
          <w:p w14:paraId="3F26DAEA">
            <w:r>
              <w:rPr>
                <w:rFonts w:ascii="Arial" w:hAnsi="Arial" w:eastAsia="Arial" w:cs="Arial"/>
                <w:b/>
                <w:bCs/>
                <w:color w:val="FFFFFF"/>
                <w:sz w:val="19"/>
                <w:szCs w:val="19"/>
              </w:rPr>
              <w:t>Physical Column Name</w:t>
            </w:r>
          </w:p>
        </w:tc>
        <w:tc>
          <w:tcPr>
            <w:tcW w:w="2190" w:type="dxa"/>
            <w:tcBorders>
              <w:top w:val="nil"/>
              <w:left w:val="nil"/>
              <w:bottom w:val="nil"/>
              <w:right w:val="single" w:color="2E75B6" w:sz="4" w:space="0"/>
            </w:tcBorders>
            <w:shd w:val="clear" w:color="auto" w:fill="1F3864"/>
            <w:tcMar>
              <w:top w:w="80" w:type="dxa"/>
              <w:left w:w="120" w:type="dxa"/>
              <w:bottom w:w="80" w:type="dxa"/>
              <w:right w:w="120" w:type="dxa"/>
            </w:tcMar>
          </w:tcPr>
          <w:p w14:paraId="58D817D8">
            <w:r>
              <w:rPr>
                <w:rFonts w:ascii="Arial" w:hAnsi="Arial" w:eastAsia="Arial" w:cs="Arial"/>
                <w:b/>
                <w:bCs/>
                <w:color w:val="FFFFFF"/>
                <w:sz w:val="19"/>
                <w:szCs w:val="19"/>
              </w:rPr>
              <w:t>Derived From (CSV Header)</w:t>
            </w:r>
          </w:p>
        </w:tc>
        <w:tc>
          <w:tcPr>
            <w:tcW w:w="1593" w:type="dxa"/>
            <w:tcBorders>
              <w:top w:val="nil"/>
              <w:left w:val="nil"/>
              <w:bottom w:val="nil"/>
              <w:right w:val="single" w:color="2E75B6" w:sz="4" w:space="0"/>
            </w:tcBorders>
            <w:shd w:val="clear" w:color="auto" w:fill="1F3864"/>
            <w:tcMar>
              <w:top w:w="80" w:type="dxa"/>
              <w:left w:w="120" w:type="dxa"/>
              <w:bottom w:w="80" w:type="dxa"/>
              <w:right w:w="120" w:type="dxa"/>
            </w:tcMar>
          </w:tcPr>
          <w:p w14:paraId="16CE051A">
            <w:r>
              <w:rPr>
                <w:rFonts w:ascii="Arial" w:hAnsi="Arial" w:eastAsia="Arial" w:cs="Arial"/>
                <w:b/>
                <w:bCs/>
                <w:color w:val="FFFFFF"/>
                <w:sz w:val="19"/>
                <w:szCs w:val="19"/>
              </w:rPr>
              <w:t>Platform Type</w:t>
            </w:r>
          </w:p>
        </w:tc>
        <w:tc>
          <w:tcPr>
            <w:tcW w:w="995" w:type="dxa"/>
            <w:tcBorders>
              <w:top w:val="nil"/>
              <w:left w:val="nil"/>
              <w:bottom w:val="nil"/>
              <w:right w:val="single" w:color="2E75B6" w:sz="4" w:space="0"/>
            </w:tcBorders>
            <w:shd w:val="clear" w:color="auto" w:fill="1F3864"/>
            <w:tcMar>
              <w:top w:w="80" w:type="dxa"/>
              <w:left w:w="120" w:type="dxa"/>
              <w:bottom w:w="80" w:type="dxa"/>
              <w:right w:w="120" w:type="dxa"/>
            </w:tcMar>
          </w:tcPr>
          <w:p w14:paraId="3138EF51">
            <w:r>
              <w:rPr>
                <w:rFonts w:ascii="Arial" w:hAnsi="Arial" w:eastAsia="Arial" w:cs="Arial"/>
                <w:b/>
                <w:bCs/>
                <w:color w:val="FFFFFF"/>
                <w:sz w:val="19"/>
                <w:szCs w:val="19"/>
              </w:rPr>
              <w:t>Nullable</w:t>
            </w:r>
          </w:p>
        </w:tc>
        <w:tc>
          <w:tcPr>
            <w:tcW w:w="2349" w:type="dxa"/>
            <w:tcBorders>
              <w:top w:val="nil"/>
              <w:left w:val="nil"/>
              <w:bottom w:val="nil"/>
              <w:right w:val="nil"/>
            </w:tcBorders>
            <w:shd w:val="clear" w:color="auto" w:fill="1F3864"/>
            <w:tcMar>
              <w:top w:w="80" w:type="dxa"/>
              <w:left w:w="120" w:type="dxa"/>
              <w:bottom w:w="80" w:type="dxa"/>
              <w:right w:w="120" w:type="dxa"/>
            </w:tcMar>
          </w:tcPr>
          <w:p w14:paraId="195D0592">
            <w:r>
              <w:rPr>
                <w:rFonts w:ascii="Arial" w:hAnsi="Arial" w:eastAsia="Arial" w:cs="Arial"/>
                <w:b/>
                <w:bCs/>
                <w:color w:val="FFFFFF"/>
                <w:sz w:val="19"/>
                <w:szCs w:val="19"/>
              </w:rPr>
              <w:t>Notes</w:t>
            </w:r>
          </w:p>
        </w:tc>
      </w:tr>
      <w:tr w14:paraId="556C1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726" w:hRule="atLeast"/>
        </w:trPr>
        <w:tc>
          <w:tcPr>
            <w:tcW w:w="2190"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2B168798">
            <w:r>
              <w:rPr>
                <w:rFonts w:ascii="Courier New" w:hAnsi="Courier New" w:eastAsia="Courier New" w:cs="Courier New"/>
                <w:b/>
                <w:bCs/>
                <w:color w:val="2E75B6"/>
                <w:sz w:val="19"/>
                <w:szCs w:val="19"/>
              </w:rPr>
              <w:t>u_name</w:t>
            </w:r>
          </w:p>
        </w:tc>
        <w:tc>
          <w:tcPr>
            <w:tcW w:w="219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6B481E8D">
            <w:r>
              <w:rPr>
                <w:rFonts w:ascii="Courier New" w:hAnsi="Courier New" w:eastAsia="Courier New" w:cs="Courier New"/>
                <w:b/>
                <w:bCs/>
                <w:color w:val="2E75B6"/>
                <w:sz w:val="19"/>
                <w:szCs w:val="19"/>
              </w:rPr>
              <w:t>name</w:t>
            </w:r>
          </w:p>
        </w:tc>
        <w:tc>
          <w:tcPr>
            <w:tcW w:w="1593"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39C72CC1">
            <w:r>
              <w:rPr>
                <w:rFonts w:ascii="Arial" w:hAnsi="Arial" w:eastAsia="Arial" w:cs="Arial"/>
                <w:b w:val="0"/>
                <w:bCs w:val="0"/>
                <w:color w:val="595959"/>
                <w:sz w:val="19"/>
                <w:szCs w:val="19"/>
              </w:rPr>
              <w:t>String</w:t>
            </w:r>
          </w:p>
        </w:tc>
        <w:tc>
          <w:tcPr>
            <w:tcW w:w="995"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06ED942F">
            <w:r>
              <w:rPr>
                <w:rFonts w:ascii="Arial" w:hAnsi="Arial" w:eastAsia="Arial" w:cs="Arial"/>
                <w:b w:val="0"/>
                <w:bCs w:val="0"/>
                <w:color w:val="595959"/>
                <w:sz w:val="19"/>
                <w:szCs w:val="19"/>
              </w:rPr>
              <w:t>Yes</w:t>
            </w:r>
          </w:p>
        </w:tc>
        <w:tc>
          <w:tcPr>
            <w:tcW w:w="2349"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745D6287">
            <w:r>
              <w:rPr>
                <w:rFonts w:ascii="Arial" w:hAnsi="Arial" w:eastAsia="Arial" w:cs="Arial"/>
                <w:b w:val="0"/>
                <w:bCs w:val="0"/>
                <w:color w:val="595959"/>
                <w:sz w:val="19"/>
                <w:szCs w:val="19"/>
              </w:rPr>
              <w:t>Auto-generated on table creation. Stores the raw source value unchanged.</w:t>
            </w:r>
          </w:p>
        </w:tc>
      </w:tr>
      <w:tr w14:paraId="1F124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65" w:hRule="atLeast"/>
        </w:trPr>
        <w:tc>
          <w:tcPr>
            <w:tcW w:w="2190"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56EB68E4">
            <w:r>
              <w:rPr>
                <w:rFonts w:ascii="Courier New" w:hAnsi="Courier New" w:eastAsia="Courier New" w:cs="Courier New"/>
                <w:b/>
                <w:bCs/>
                <w:color w:val="2E75B6"/>
                <w:sz w:val="19"/>
                <w:szCs w:val="19"/>
              </w:rPr>
              <w:t>u_email</w:t>
            </w:r>
          </w:p>
        </w:tc>
        <w:tc>
          <w:tcPr>
            <w:tcW w:w="219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5B780A3B">
            <w:r>
              <w:rPr>
                <w:rFonts w:ascii="Courier New" w:hAnsi="Courier New" w:eastAsia="Courier New" w:cs="Courier New"/>
                <w:b/>
                <w:bCs/>
                <w:color w:val="2E75B6"/>
                <w:sz w:val="19"/>
                <w:szCs w:val="19"/>
              </w:rPr>
              <w:t>email</w:t>
            </w:r>
          </w:p>
        </w:tc>
        <w:tc>
          <w:tcPr>
            <w:tcW w:w="1593"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55DABDC0">
            <w:r>
              <w:rPr>
                <w:rFonts w:ascii="Arial" w:hAnsi="Arial" w:eastAsia="Arial" w:cs="Arial"/>
                <w:b w:val="0"/>
                <w:bCs w:val="0"/>
                <w:color w:val="595959"/>
                <w:sz w:val="19"/>
                <w:szCs w:val="19"/>
              </w:rPr>
              <w:t>String</w:t>
            </w:r>
          </w:p>
        </w:tc>
        <w:tc>
          <w:tcPr>
            <w:tcW w:w="995"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4CA617F0">
            <w:r>
              <w:rPr>
                <w:rFonts w:ascii="Arial" w:hAnsi="Arial" w:eastAsia="Arial" w:cs="Arial"/>
                <w:b w:val="0"/>
                <w:bCs w:val="0"/>
                <w:color w:val="595959"/>
                <w:sz w:val="19"/>
                <w:szCs w:val="19"/>
              </w:rPr>
              <w:t>Yes</w:t>
            </w:r>
          </w:p>
        </w:tc>
        <w:tc>
          <w:tcPr>
            <w:tcW w:w="2349"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199564C0">
            <w:r>
              <w:rPr>
                <w:rFonts w:ascii="Arial" w:hAnsi="Arial" w:eastAsia="Arial" w:cs="Arial"/>
                <w:b w:val="0"/>
                <w:bCs w:val="0"/>
                <w:color w:val="595959"/>
                <w:sz w:val="19"/>
                <w:szCs w:val="19"/>
              </w:rPr>
              <w:t>Auto-generated. Will serve as the basis for the coalesce mapping.</w:t>
            </w:r>
          </w:p>
        </w:tc>
      </w:tr>
      <w:tr w14:paraId="3D2BB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65" w:hRule="atLeast"/>
        </w:trPr>
        <w:tc>
          <w:tcPr>
            <w:tcW w:w="2190"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3CFF95C1">
            <w:r>
              <w:rPr>
                <w:rFonts w:ascii="Courier New" w:hAnsi="Courier New" w:eastAsia="Courier New" w:cs="Courier New"/>
                <w:b/>
                <w:bCs/>
                <w:color w:val="2E75B6"/>
                <w:sz w:val="19"/>
                <w:szCs w:val="19"/>
              </w:rPr>
              <w:t>u_department</w:t>
            </w:r>
          </w:p>
        </w:tc>
        <w:tc>
          <w:tcPr>
            <w:tcW w:w="219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6B672C01">
            <w:r>
              <w:rPr>
                <w:rFonts w:ascii="Courier New" w:hAnsi="Courier New" w:eastAsia="Courier New" w:cs="Courier New"/>
                <w:b/>
                <w:bCs/>
                <w:color w:val="2E75B6"/>
                <w:sz w:val="19"/>
                <w:szCs w:val="19"/>
              </w:rPr>
              <w:t>department</w:t>
            </w:r>
          </w:p>
        </w:tc>
        <w:tc>
          <w:tcPr>
            <w:tcW w:w="1593"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0056934B">
            <w:r>
              <w:rPr>
                <w:rFonts w:ascii="Arial" w:hAnsi="Arial" w:eastAsia="Arial" w:cs="Arial"/>
                <w:b w:val="0"/>
                <w:bCs w:val="0"/>
                <w:color w:val="595959"/>
                <w:sz w:val="19"/>
                <w:szCs w:val="19"/>
              </w:rPr>
              <w:t>String</w:t>
            </w:r>
          </w:p>
        </w:tc>
        <w:tc>
          <w:tcPr>
            <w:tcW w:w="995"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684725CB">
            <w:r>
              <w:rPr>
                <w:rFonts w:ascii="Arial" w:hAnsi="Arial" w:eastAsia="Arial" w:cs="Arial"/>
                <w:b w:val="0"/>
                <w:bCs w:val="0"/>
                <w:color w:val="595959"/>
                <w:sz w:val="19"/>
                <w:szCs w:val="19"/>
              </w:rPr>
              <w:t>Yes</w:t>
            </w:r>
          </w:p>
        </w:tc>
        <w:tc>
          <w:tcPr>
            <w:tcW w:w="2349"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3E03B61F">
            <w:r>
              <w:rPr>
                <w:rFonts w:ascii="Arial" w:hAnsi="Arial" w:eastAsia="Arial" w:cs="Arial"/>
                <w:b w:val="0"/>
                <w:bCs w:val="0"/>
                <w:color w:val="595959"/>
                <w:sz w:val="19"/>
                <w:szCs w:val="19"/>
              </w:rPr>
              <w:t>Auto-generated. Stores the raw department string prior to resolution.</w:t>
            </w:r>
          </w:p>
        </w:tc>
      </w:tr>
      <w:tr w14:paraId="71434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50" w:hRule="atLeast"/>
        </w:trPr>
        <w:tc>
          <w:tcPr>
            <w:tcW w:w="2190"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35DF7639">
            <w:r>
              <w:rPr>
                <w:rFonts w:ascii="Courier New" w:hAnsi="Courier New" w:eastAsia="Courier New" w:cs="Courier New"/>
                <w:b/>
                <w:bCs/>
                <w:color w:val="2E75B6"/>
                <w:sz w:val="19"/>
                <w:szCs w:val="19"/>
              </w:rPr>
              <w:t>u_manager</w:t>
            </w:r>
          </w:p>
        </w:tc>
        <w:tc>
          <w:tcPr>
            <w:tcW w:w="219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0E2210E3">
            <w:r>
              <w:rPr>
                <w:rFonts w:ascii="Courier New" w:hAnsi="Courier New" w:eastAsia="Courier New" w:cs="Courier New"/>
                <w:b/>
                <w:bCs/>
                <w:color w:val="2E75B6"/>
                <w:sz w:val="19"/>
                <w:szCs w:val="19"/>
              </w:rPr>
              <w:t>manager</w:t>
            </w:r>
          </w:p>
        </w:tc>
        <w:tc>
          <w:tcPr>
            <w:tcW w:w="1593"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7B82E261">
            <w:r>
              <w:rPr>
                <w:rFonts w:ascii="Arial" w:hAnsi="Arial" w:eastAsia="Arial" w:cs="Arial"/>
                <w:b w:val="0"/>
                <w:bCs w:val="0"/>
                <w:color w:val="595959"/>
                <w:sz w:val="19"/>
                <w:szCs w:val="19"/>
              </w:rPr>
              <w:t>String</w:t>
            </w:r>
          </w:p>
        </w:tc>
        <w:tc>
          <w:tcPr>
            <w:tcW w:w="995"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26E4C6C2">
            <w:r>
              <w:rPr>
                <w:rFonts w:ascii="Arial" w:hAnsi="Arial" w:eastAsia="Arial" w:cs="Arial"/>
                <w:b w:val="0"/>
                <w:bCs w:val="0"/>
                <w:color w:val="595959"/>
                <w:sz w:val="19"/>
                <w:szCs w:val="19"/>
              </w:rPr>
              <w:t>Yes</w:t>
            </w:r>
          </w:p>
        </w:tc>
        <w:tc>
          <w:tcPr>
            <w:tcW w:w="2349"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4A06603E">
            <w:r>
              <w:rPr>
                <w:rFonts w:ascii="Arial" w:hAnsi="Arial" w:eastAsia="Arial" w:cs="Arial"/>
                <w:b w:val="0"/>
                <w:bCs w:val="0"/>
                <w:color w:val="595959"/>
                <w:sz w:val="19"/>
                <w:szCs w:val="19"/>
              </w:rPr>
              <w:t>Auto-generated. Stores the raw manager name text; resolution to a reference occurs in the Transformation Layer only.</w:t>
            </w:r>
          </w:p>
        </w:tc>
      </w:tr>
      <w:tr w14:paraId="331B1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105" w:hRule="atLeast"/>
        </w:trPr>
        <w:tc>
          <w:tcPr>
            <w:tcW w:w="2190"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461744BE">
            <w:r>
              <w:rPr>
                <w:rFonts w:ascii="Courier New" w:hAnsi="Courier New" w:eastAsia="Courier New" w:cs="Courier New"/>
                <w:b/>
                <w:bCs/>
                <w:color w:val="2E75B6"/>
                <w:sz w:val="19"/>
                <w:szCs w:val="19"/>
              </w:rPr>
              <w:t>u_phone_number</w:t>
            </w:r>
          </w:p>
        </w:tc>
        <w:tc>
          <w:tcPr>
            <w:tcW w:w="219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2A330E1D">
            <w:r>
              <w:rPr>
                <w:rFonts w:ascii="Courier New" w:hAnsi="Courier New" w:eastAsia="Courier New" w:cs="Courier New"/>
                <w:b/>
                <w:bCs/>
                <w:color w:val="2E75B6"/>
                <w:sz w:val="19"/>
                <w:szCs w:val="19"/>
              </w:rPr>
              <w:t>phone number</w:t>
            </w:r>
          </w:p>
        </w:tc>
        <w:tc>
          <w:tcPr>
            <w:tcW w:w="1593"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49BB1EC9">
            <w:r>
              <w:rPr>
                <w:rFonts w:ascii="Arial" w:hAnsi="Arial" w:eastAsia="Arial" w:cs="Arial"/>
                <w:b w:val="0"/>
                <w:bCs w:val="0"/>
                <w:color w:val="595959"/>
                <w:sz w:val="19"/>
                <w:szCs w:val="19"/>
              </w:rPr>
              <w:t>String</w:t>
            </w:r>
          </w:p>
        </w:tc>
        <w:tc>
          <w:tcPr>
            <w:tcW w:w="995"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1002A07D">
            <w:r>
              <w:rPr>
                <w:rFonts w:ascii="Arial" w:hAnsi="Arial" w:eastAsia="Arial" w:cs="Arial"/>
                <w:b w:val="0"/>
                <w:bCs w:val="0"/>
                <w:color w:val="595959"/>
                <w:sz w:val="19"/>
                <w:szCs w:val="19"/>
              </w:rPr>
              <w:t>Yes</w:t>
            </w:r>
          </w:p>
        </w:tc>
        <w:tc>
          <w:tcPr>
            <w:tcW w:w="2349"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25713F30">
            <w:r>
              <w:rPr>
                <w:rFonts w:ascii="Arial" w:hAnsi="Arial" w:eastAsia="Arial" w:cs="Arial"/>
                <w:b w:val="0"/>
                <w:bCs w:val="0"/>
                <w:color w:val="595959"/>
                <w:sz w:val="19"/>
                <w:szCs w:val="19"/>
              </w:rPr>
              <w:t>Auto-generated. Note: the space in the CSV header becomes an underscore in the physical column name.</w:t>
            </w:r>
          </w:p>
        </w:tc>
      </w:tr>
    </w:tbl>
    <w:p w14:paraId="4FF0E295">
      <w:pPr>
        <w:spacing w:before="60" w:after="0"/>
      </w:pPr>
    </w:p>
    <w:p w14:paraId="06E0694E">
      <w:pPr>
        <w:pStyle w:val="3"/>
        <w:spacing w:before="220" w:after="80"/>
      </w:pPr>
      <w:r>
        <w:rPr>
          <w:rFonts w:ascii="Arial" w:hAnsi="Arial" w:eastAsia="Arial" w:cs="Arial"/>
          <w:b/>
          <w:bCs/>
          <w:color w:val="2E75B6"/>
          <w:sz w:val="24"/>
          <w:szCs w:val="24"/>
        </w:rPr>
        <w:t>3.3  Target Table Schema ([sys_user] — Relevant Fields)</w:t>
      </w:r>
    </w:p>
    <w:tbl>
      <w:tblPr>
        <w:tblStyle w:val="9"/>
        <w:tblpPr w:leftFromText="180" w:rightFromText="180" w:vertAnchor="text" w:horzAnchor="page" w:tblpX="1610" w:tblpY="223"/>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9"/>
        <w:gridCol w:w="1534"/>
        <w:gridCol w:w="1837"/>
        <w:gridCol w:w="1075"/>
        <w:gridCol w:w="3345"/>
      </w:tblGrid>
      <w:tr w14:paraId="0A586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69" w:type="dxa"/>
            <w:tcBorders>
              <w:top w:val="nil"/>
              <w:left w:val="nil"/>
              <w:bottom w:val="nil"/>
              <w:right w:val="single" w:color="2E75B6" w:sz="4" w:space="0"/>
            </w:tcBorders>
            <w:shd w:val="clear" w:color="auto" w:fill="1F3864"/>
            <w:tcMar>
              <w:top w:w="80" w:type="dxa"/>
              <w:left w:w="120" w:type="dxa"/>
              <w:bottom w:w="80" w:type="dxa"/>
              <w:right w:w="120" w:type="dxa"/>
            </w:tcMar>
          </w:tcPr>
          <w:p w14:paraId="1119358F">
            <w:r>
              <w:rPr>
                <w:rFonts w:ascii="Arial" w:hAnsi="Arial" w:eastAsia="Arial" w:cs="Arial"/>
                <w:b/>
                <w:bCs/>
                <w:color w:val="FFFFFF"/>
                <w:sz w:val="19"/>
                <w:szCs w:val="19"/>
              </w:rPr>
              <w:t>Field Name</w:t>
            </w:r>
          </w:p>
        </w:tc>
        <w:tc>
          <w:tcPr>
            <w:tcW w:w="1534" w:type="dxa"/>
            <w:tcBorders>
              <w:top w:val="nil"/>
              <w:left w:val="nil"/>
              <w:bottom w:val="nil"/>
              <w:right w:val="single" w:color="2E75B6" w:sz="4" w:space="0"/>
            </w:tcBorders>
            <w:shd w:val="clear" w:color="auto" w:fill="1F3864"/>
            <w:tcMar>
              <w:top w:w="80" w:type="dxa"/>
              <w:left w:w="120" w:type="dxa"/>
              <w:bottom w:w="80" w:type="dxa"/>
              <w:right w:w="120" w:type="dxa"/>
            </w:tcMar>
          </w:tcPr>
          <w:p w14:paraId="1DBA7160">
            <w:r>
              <w:rPr>
                <w:rFonts w:ascii="Arial" w:hAnsi="Arial" w:eastAsia="Arial" w:cs="Arial"/>
                <w:b/>
                <w:bCs/>
                <w:color w:val="FFFFFF"/>
                <w:sz w:val="19"/>
                <w:szCs w:val="19"/>
              </w:rPr>
              <w:t>Platform Type</w:t>
            </w:r>
          </w:p>
        </w:tc>
        <w:tc>
          <w:tcPr>
            <w:tcW w:w="1837" w:type="dxa"/>
            <w:tcBorders>
              <w:top w:val="nil"/>
              <w:left w:val="nil"/>
              <w:bottom w:val="nil"/>
              <w:right w:val="single" w:color="2E75B6" w:sz="4" w:space="0"/>
            </w:tcBorders>
            <w:shd w:val="clear" w:color="auto" w:fill="1F3864"/>
            <w:tcMar>
              <w:top w:w="80" w:type="dxa"/>
              <w:left w:w="120" w:type="dxa"/>
              <w:bottom w:w="80" w:type="dxa"/>
              <w:right w:w="120" w:type="dxa"/>
            </w:tcMar>
          </w:tcPr>
          <w:p w14:paraId="173A7FA9">
            <w:r>
              <w:rPr>
                <w:rFonts w:ascii="Arial" w:hAnsi="Arial" w:eastAsia="Arial" w:cs="Arial"/>
                <w:b/>
                <w:bCs/>
                <w:color w:val="FFFFFF"/>
                <w:sz w:val="19"/>
                <w:szCs w:val="19"/>
              </w:rPr>
              <w:t>Source Mapping</w:t>
            </w:r>
          </w:p>
        </w:tc>
        <w:tc>
          <w:tcPr>
            <w:tcW w:w="1075" w:type="dxa"/>
            <w:tcBorders>
              <w:top w:val="nil"/>
              <w:left w:val="nil"/>
              <w:bottom w:val="nil"/>
              <w:right w:val="single" w:color="2E75B6" w:sz="4" w:space="0"/>
            </w:tcBorders>
            <w:shd w:val="clear" w:color="auto" w:fill="1F3864"/>
            <w:tcMar>
              <w:top w:w="80" w:type="dxa"/>
              <w:left w:w="120" w:type="dxa"/>
              <w:bottom w:w="80" w:type="dxa"/>
              <w:right w:w="120" w:type="dxa"/>
            </w:tcMar>
          </w:tcPr>
          <w:p w14:paraId="0980DFAA">
            <w:r>
              <w:rPr>
                <w:rFonts w:ascii="Arial" w:hAnsi="Arial" w:eastAsia="Arial" w:cs="Arial"/>
                <w:b/>
                <w:bCs/>
                <w:color w:val="FFFFFF"/>
                <w:sz w:val="19"/>
                <w:szCs w:val="19"/>
              </w:rPr>
              <w:t>Coalesce</w:t>
            </w:r>
          </w:p>
        </w:tc>
        <w:tc>
          <w:tcPr>
            <w:tcW w:w="3345" w:type="dxa"/>
            <w:tcBorders>
              <w:top w:val="nil"/>
              <w:left w:val="nil"/>
              <w:bottom w:val="nil"/>
              <w:right w:val="nil"/>
            </w:tcBorders>
            <w:shd w:val="clear" w:color="auto" w:fill="1F3864"/>
            <w:tcMar>
              <w:top w:w="80" w:type="dxa"/>
              <w:left w:w="120" w:type="dxa"/>
              <w:bottom w:w="80" w:type="dxa"/>
              <w:right w:w="120" w:type="dxa"/>
            </w:tcMar>
          </w:tcPr>
          <w:p w14:paraId="02A66D7B">
            <w:r>
              <w:rPr>
                <w:rFonts w:ascii="Arial" w:hAnsi="Arial" w:eastAsia="Arial" w:cs="Arial"/>
                <w:b/>
                <w:bCs/>
                <w:color w:val="FFFFFF"/>
                <w:sz w:val="19"/>
                <w:szCs w:val="19"/>
              </w:rPr>
              <w:t>Design Notes</w:t>
            </w:r>
          </w:p>
        </w:tc>
      </w:tr>
      <w:tr w14:paraId="48253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9"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10D2447E">
            <w:r>
              <w:rPr>
                <w:rFonts w:ascii="Courier New" w:hAnsi="Courier New" w:eastAsia="Courier New" w:cs="Courier New"/>
                <w:b/>
                <w:bCs/>
                <w:color w:val="2E75B6"/>
                <w:sz w:val="19"/>
                <w:szCs w:val="19"/>
              </w:rPr>
              <w:t>name</w:t>
            </w:r>
          </w:p>
        </w:tc>
        <w:tc>
          <w:tcPr>
            <w:tcW w:w="1534"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3A20D787">
            <w:r>
              <w:rPr>
                <w:rFonts w:ascii="Arial" w:hAnsi="Arial" w:eastAsia="Arial" w:cs="Arial"/>
                <w:b w:val="0"/>
                <w:bCs w:val="0"/>
                <w:color w:val="595959"/>
                <w:sz w:val="19"/>
                <w:szCs w:val="19"/>
              </w:rPr>
              <w:t>String</w:t>
            </w:r>
          </w:p>
        </w:tc>
        <w:tc>
          <w:tcPr>
            <w:tcW w:w="1837"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08EEE117">
            <w:r>
              <w:rPr>
                <w:rFonts w:ascii="Courier New" w:hAnsi="Courier New" w:eastAsia="Courier New" w:cs="Courier New"/>
                <w:b/>
                <w:bCs/>
                <w:color w:val="2E75B6"/>
                <w:sz w:val="19"/>
                <w:szCs w:val="19"/>
              </w:rPr>
              <w:t>u_name</w:t>
            </w:r>
          </w:p>
        </w:tc>
        <w:tc>
          <w:tcPr>
            <w:tcW w:w="1075"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36368327">
            <w:r>
              <w:rPr>
                <w:rFonts w:ascii="Arial" w:hAnsi="Arial" w:eastAsia="Arial" w:cs="Arial"/>
                <w:b w:val="0"/>
                <w:bCs w:val="0"/>
                <w:color w:val="595959"/>
                <w:sz w:val="19"/>
                <w:szCs w:val="19"/>
              </w:rPr>
              <w:t>No</w:t>
            </w:r>
          </w:p>
        </w:tc>
        <w:tc>
          <w:tcPr>
            <w:tcW w:w="3345"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3145150A">
            <w:r>
              <w:rPr>
                <w:rFonts w:ascii="Arial" w:hAnsi="Arial" w:eastAsia="Arial" w:cs="Arial"/>
                <w:b w:val="0"/>
                <w:bCs w:val="0"/>
                <w:color w:val="595959"/>
                <w:sz w:val="19"/>
                <w:szCs w:val="19"/>
              </w:rPr>
              <w:t>Direct copy from staging. Serves as the primary display name of the user record.</w:t>
            </w:r>
          </w:p>
        </w:tc>
      </w:tr>
      <w:tr w14:paraId="14D5D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9"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6D0F4305">
            <w:r>
              <w:rPr>
                <w:rFonts w:ascii="Courier New" w:hAnsi="Courier New" w:eastAsia="Courier New" w:cs="Courier New"/>
                <w:b/>
                <w:bCs/>
                <w:color w:val="2E75B6"/>
                <w:sz w:val="19"/>
                <w:szCs w:val="19"/>
              </w:rPr>
              <w:t>email</w:t>
            </w:r>
          </w:p>
        </w:tc>
        <w:tc>
          <w:tcPr>
            <w:tcW w:w="1534"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3F141DB5">
            <w:r>
              <w:rPr>
                <w:rFonts w:ascii="Arial" w:hAnsi="Arial" w:eastAsia="Arial" w:cs="Arial"/>
                <w:b w:val="0"/>
                <w:bCs w:val="0"/>
                <w:color w:val="595959"/>
                <w:sz w:val="19"/>
                <w:szCs w:val="19"/>
              </w:rPr>
              <w:t>String</w:t>
            </w:r>
          </w:p>
        </w:tc>
        <w:tc>
          <w:tcPr>
            <w:tcW w:w="1837"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4DF611A1">
            <w:r>
              <w:rPr>
                <w:rFonts w:ascii="Courier New" w:hAnsi="Courier New" w:eastAsia="Courier New" w:cs="Courier New"/>
                <w:b/>
                <w:bCs/>
                <w:color w:val="2E75B6"/>
                <w:sz w:val="19"/>
                <w:szCs w:val="19"/>
              </w:rPr>
              <w:t>u_email</w:t>
            </w:r>
          </w:p>
        </w:tc>
        <w:tc>
          <w:tcPr>
            <w:tcW w:w="1075"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73431AE5">
            <w:r>
              <w:rPr>
                <w:rFonts w:ascii="Arial" w:hAnsi="Arial" w:eastAsia="Arial" w:cs="Arial"/>
                <w:b w:val="0"/>
                <w:bCs w:val="0"/>
                <w:color w:val="595959"/>
                <w:sz w:val="19"/>
                <w:szCs w:val="19"/>
              </w:rPr>
              <w:t>Yes</w:t>
            </w:r>
          </w:p>
        </w:tc>
        <w:tc>
          <w:tcPr>
            <w:tcW w:w="3345"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4C933F18">
            <w:r>
              <w:rPr>
                <w:rFonts w:ascii="Arial" w:hAnsi="Arial" w:eastAsia="Arial" w:cs="Arial"/>
                <w:b w:val="0"/>
                <w:bCs w:val="0"/>
                <w:color w:val="595959"/>
                <w:sz w:val="19"/>
                <w:szCs w:val="19"/>
              </w:rPr>
              <w:t>Designated coalesce field. On re-import, the transform engine will update an existing record whose email matches rather than creating a duplicate.</w:t>
            </w:r>
          </w:p>
        </w:tc>
      </w:tr>
      <w:tr w14:paraId="7D501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9"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78C4007D">
            <w:r>
              <w:rPr>
                <w:rFonts w:ascii="Courier New" w:hAnsi="Courier New" w:eastAsia="Courier New" w:cs="Courier New"/>
                <w:b/>
                <w:bCs/>
                <w:color w:val="2E75B6"/>
                <w:sz w:val="19"/>
                <w:szCs w:val="19"/>
              </w:rPr>
              <w:t>department</w:t>
            </w:r>
          </w:p>
        </w:tc>
        <w:tc>
          <w:tcPr>
            <w:tcW w:w="1534"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46C0E336">
            <w:r>
              <w:rPr>
                <w:rFonts w:ascii="Arial" w:hAnsi="Arial" w:eastAsia="Arial" w:cs="Arial"/>
                <w:b w:val="0"/>
                <w:bCs w:val="0"/>
                <w:color w:val="595959"/>
                <w:sz w:val="19"/>
                <w:szCs w:val="19"/>
              </w:rPr>
              <w:t>Reference (sys_dept)</w:t>
            </w:r>
          </w:p>
        </w:tc>
        <w:tc>
          <w:tcPr>
            <w:tcW w:w="1837"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3B4BB4E1">
            <w:r>
              <w:rPr>
                <w:rFonts w:ascii="Arial" w:hAnsi="Arial" w:eastAsia="Arial" w:cs="Arial"/>
                <w:b w:val="0"/>
                <w:bCs w:val="0"/>
                <w:color w:val="595959"/>
                <w:sz w:val="19"/>
                <w:szCs w:val="19"/>
              </w:rPr>
              <w:t>u_department`</w:t>
            </w:r>
          </w:p>
        </w:tc>
        <w:tc>
          <w:tcPr>
            <w:tcW w:w="1075"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755D886A">
            <w:r>
              <w:rPr>
                <w:rFonts w:ascii="Arial" w:hAnsi="Arial" w:eastAsia="Arial" w:cs="Arial"/>
                <w:b w:val="0"/>
                <w:bCs w:val="0"/>
                <w:color w:val="595959"/>
                <w:sz w:val="19"/>
                <w:szCs w:val="19"/>
              </w:rPr>
              <w:t>No</w:t>
            </w:r>
          </w:p>
        </w:tc>
        <w:tc>
          <w:tcPr>
            <w:tcW w:w="3345"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7F7D4419">
            <w:r>
              <w:rPr>
                <w:rFonts w:ascii="Arial" w:hAnsi="Arial" w:eastAsia="Arial" w:cs="Arial"/>
                <w:b w:val="0"/>
                <w:bCs w:val="0"/>
                <w:color w:val="595959"/>
                <w:sz w:val="19"/>
                <w:szCs w:val="19"/>
              </w:rPr>
              <w:t>The raw string value from staging is resolved against the [cmn_department] table's Name field. If no match is found, the field will be left blank rather than creating an error.</w:t>
            </w:r>
          </w:p>
        </w:tc>
      </w:tr>
      <w:tr w14:paraId="08763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9"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4321EA97">
            <w:r>
              <w:rPr>
                <w:rFonts w:ascii="Courier New" w:hAnsi="Courier New" w:eastAsia="Courier New" w:cs="Courier New"/>
                <w:b/>
                <w:bCs/>
                <w:color w:val="2E75B6"/>
                <w:sz w:val="19"/>
                <w:szCs w:val="19"/>
              </w:rPr>
              <w:t>phone</w:t>
            </w:r>
          </w:p>
        </w:tc>
        <w:tc>
          <w:tcPr>
            <w:tcW w:w="1534"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3A1E49E0">
            <w:r>
              <w:rPr>
                <w:rFonts w:ascii="Arial" w:hAnsi="Arial" w:eastAsia="Arial" w:cs="Arial"/>
                <w:b w:val="0"/>
                <w:bCs w:val="0"/>
                <w:color w:val="595959"/>
                <w:sz w:val="19"/>
                <w:szCs w:val="19"/>
              </w:rPr>
              <w:t>String (Phone)</w:t>
            </w:r>
          </w:p>
        </w:tc>
        <w:tc>
          <w:tcPr>
            <w:tcW w:w="1837"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77B47AD6">
            <w:r>
              <w:rPr>
                <w:rFonts w:ascii="Courier New" w:hAnsi="Courier New" w:eastAsia="Courier New" w:cs="Courier New"/>
                <w:b/>
                <w:bCs/>
                <w:color w:val="2E75B6"/>
                <w:sz w:val="19"/>
                <w:szCs w:val="19"/>
              </w:rPr>
              <w:t>u_phone_number</w:t>
            </w:r>
          </w:p>
        </w:tc>
        <w:tc>
          <w:tcPr>
            <w:tcW w:w="1075"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79BB6CCC">
            <w:r>
              <w:rPr>
                <w:rFonts w:ascii="Arial" w:hAnsi="Arial" w:eastAsia="Arial" w:cs="Arial"/>
                <w:b w:val="0"/>
                <w:bCs w:val="0"/>
                <w:color w:val="595959"/>
                <w:sz w:val="19"/>
                <w:szCs w:val="19"/>
              </w:rPr>
              <w:t>No</w:t>
            </w:r>
          </w:p>
        </w:tc>
        <w:tc>
          <w:tcPr>
            <w:tcW w:w="3345"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4BA1F627">
            <w:r>
              <w:rPr>
                <w:rFonts w:ascii="Arial" w:hAnsi="Arial" w:eastAsia="Arial" w:cs="Arial"/>
                <w:b w:val="0"/>
                <w:bCs w:val="0"/>
                <w:color w:val="595959"/>
                <w:sz w:val="19"/>
                <w:szCs w:val="19"/>
              </w:rPr>
              <w:t>Direct copy. Note the field name difference: the target field is 'phone', not 'phone_number'. This requires explicit field mapping.</w:t>
            </w:r>
          </w:p>
        </w:tc>
      </w:tr>
      <w:tr w14:paraId="5627F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9"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40ED0E4E">
            <w:r>
              <w:rPr>
                <w:rFonts w:ascii="Courier New" w:hAnsi="Courier New" w:eastAsia="Courier New" w:cs="Courier New"/>
                <w:b/>
                <w:bCs/>
                <w:color w:val="2E75B6"/>
                <w:sz w:val="19"/>
                <w:szCs w:val="19"/>
              </w:rPr>
              <w:t>manager</w:t>
            </w:r>
          </w:p>
        </w:tc>
        <w:tc>
          <w:tcPr>
            <w:tcW w:w="1534"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6000BA3C">
            <w:r>
              <w:rPr>
                <w:rFonts w:ascii="Arial" w:hAnsi="Arial" w:eastAsia="Arial" w:cs="Arial"/>
                <w:b w:val="0"/>
                <w:bCs w:val="0"/>
                <w:color w:val="595959"/>
                <w:sz w:val="19"/>
                <w:szCs w:val="19"/>
              </w:rPr>
              <w:t>Reference (sys_user)</w:t>
            </w:r>
          </w:p>
        </w:tc>
        <w:tc>
          <w:tcPr>
            <w:tcW w:w="1837"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06A3262B">
            <w:r>
              <w:rPr>
                <w:rFonts w:ascii="Arial" w:hAnsi="Arial" w:eastAsia="Arial" w:cs="Arial"/>
                <w:b w:val="0"/>
                <w:bCs w:val="0"/>
                <w:color w:val="595959"/>
                <w:sz w:val="19"/>
                <w:szCs w:val="19"/>
              </w:rPr>
              <w:t>u_manager`</w:t>
            </w:r>
          </w:p>
        </w:tc>
        <w:tc>
          <w:tcPr>
            <w:tcW w:w="1075"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648E5102">
            <w:r>
              <w:rPr>
                <w:rFonts w:ascii="Arial" w:hAnsi="Arial" w:eastAsia="Arial" w:cs="Arial"/>
                <w:b w:val="0"/>
                <w:bCs w:val="0"/>
                <w:color w:val="595959"/>
                <w:sz w:val="19"/>
                <w:szCs w:val="19"/>
              </w:rPr>
              <w:t>No</w:t>
            </w:r>
          </w:p>
        </w:tc>
        <w:tc>
          <w:tcPr>
            <w:tcW w:w="3345"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4312F7B0">
            <w:r>
              <w:rPr>
                <w:rFonts w:ascii="Arial" w:hAnsi="Arial" w:eastAsia="Arial" w:cs="Arial"/>
                <w:b w:val="0"/>
                <w:bCs w:val="0"/>
                <w:color w:val="595959"/>
                <w:sz w:val="19"/>
                <w:szCs w:val="19"/>
              </w:rPr>
              <w:t>Self-referencing relationship field. The string value from staging is resolved against the [sys_user] Name field to establish the reference link. See Section 3.4 for the full resolution design.</w:t>
            </w:r>
          </w:p>
        </w:tc>
      </w:tr>
    </w:tbl>
    <w:p w14:paraId="74DFDFEA">
      <w:pPr>
        <w:spacing w:before="80" w:after="0"/>
      </w:pPr>
    </w:p>
    <w:p w14:paraId="1658A4F0">
      <w:pPr>
        <w:pStyle w:val="4"/>
        <w:spacing w:before="180" w:after="60"/>
      </w:pPr>
      <w:r>
        <w:rPr>
          <w:rFonts w:ascii="Arial" w:hAnsi="Arial" w:eastAsia="Arial" w:cs="Arial"/>
          <w:b/>
          <w:bCs/>
          <w:color w:val="1F3864"/>
          <w:sz w:val="22"/>
          <w:szCs w:val="22"/>
        </w:rPr>
        <w:t>3.4.2  Reference Resolution Sequence</w:t>
      </w:r>
    </w:p>
    <w:tbl>
      <w:tblPr>
        <w:tblStyle w:val="9"/>
        <w:tblpPr w:leftFromText="180" w:rightFromText="180" w:vertAnchor="text" w:horzAnchor="page" w:tblpX="1513" w:tblpY="251"/>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8800"/>
      </w:tblGrid>
      <w:tr w14:paraId="3A536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nil"/>
              <w:left w:val="nil"/>
              <w:bottom w:val="single" w:color="FFFFFF" w:sz="4" w:space="0"/>
              <w:right w:val="nil"/>
            </w:tcBorders>
            <w:shd w:val="clear" w:color="auto" w:fill="2E75B6"/>
            <w:tcMar>
              <w:top w:w="80" w:type="dxa"/>
              <w:left w:w="80" w:type="dxa"/>
              <w:bottom w:w="80" w:type="dxa"/>
              <w:right w:w="80" w:type="dxa"/>
            </w:tcMar>
            <w:vAlign w:val="center"/>
          </w:tcPr>
          <w:p w14:paraId="1C638C9C">
            <w:pPr>
              <w:jc w:val="center"/>
            </w:pPr>
            <w:r>
              <w:rPr>
                <w:rFonts w:ascii="Arial" w:hAnsi="Arial" w:eastAsia="Arial" w:cs="Arial"/>
                <w:b/>
                <w:bCs/>
                <w:color w:val="FFFFFF"/>
                <w:sz w:val="24"/>
                <w:szCs w:val="24"/>
              </w:rPr>
              <w:t>1</w:t>
            </w:r>
          </w:p>
        </w:tc>
        <w:tc>
          <w:tcPr>
            <w:tcW w:w="8800" w:type="dxa"/>
            <w:tcBorders>
              <w:top w:val="single" w:color="D0DCF0" w:sz="4" w:space="0"/>
              <w:left w:val="single" w:color="D0DCF0" w:sz="4" w:space="0"/>
              <w:bottom w:val="single" w:color="D0DCF0" w:sz="4" w:space="0"/>
              <w:right w:val="nil"/>
            </w:tcBorders>
            <w:shd w:val="clear" w:color="auto" w:fill="D9E2F3"/>
            <w:tcMar>
              <w:top w:w="80" w:type="dxa"/>
              <w:left w:w="160" w:type="dxa"/>
              <w:bottom w:w="80" w:type="dxa"/>
              <w:right w:w="160" w:type="dxa"/>
            </w:tcMar>
          </w:tcPr>
          <w:p w14:paraId="050F3059">
            <w:pPr>
              <w:spacing w:before="0" w:after="30"/>
            </w:pPr>
            <w:r>
              <w:rPr>
                <w:rFonts w:ascii="Arial" w:hAnsi="Arial" w:eastAsia="Arial" w:cs="Arial"/>
                <w:b/>
                <w:bCs/>
                <w:color w:val="1F3864"/>
                <w:sz w:val="20"/>
                <w:szCs w:val="20"/>
              </w:rPr>
              <w:t>Read source value</w:t>
            </w:r>
          </w:p>
          <w:p w14:paraId="6DF93987">
            <w:pPr>
              <w:spacing w:before="0" w:after="0"/>
            </w:pPr>
            <w:r>
              <w:rPr>
                <w:rFonts w:ascii="Arial" w:hAnsi="Arial" w:eastAsia="Arial" w:cs="Arial"/>
                <w:i/>
                <w:iCs/>
                <w:color w:val="595959"/>
                <w:sz w:val="19"/>
                <w:szCs w:val="19"/>
              </w:rPr>
              <w:t>The transform engine reads the raw text from the u_manager column of the current staging row (e.g., 'Bob Smith').</w:t>
            </w:r>
          </w:p>
        </w:tc>
      </w:tr>
      <w:tr w14:paraId="0BD5A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nil"/>
              <w:left w:val="nil"/>
              <w:bottom w:val="single" w:color="FFFFFF" w:sz="4" w:space="0"/>
              <w:right w:val="nil"/>
            </w:tcBorders>
            <w:shd w:val="clear" w:color="auto" w:fill="2E75B6"/>
            <w:tcMar>
              <w:top w:w="80" w:type="dxa"/>
              <w:left w:w="80" w:type="dxa"/>
              <w:bottom w:w="80" w:type="dxa"/>
              <w:right w:w="80" w:type="dxa"/>
            </w:tcMar>
            <w:vAlign w:val="center"/>
          </w:tcPr>
          <w:p w14:paraId="3264EDFA">
            <w:pPr>
              <w:jc w:val="center"/>
            </w:pPr>
            <w:r>
              <w:rPr>
                <w:rFonts w:ascii="Arial" w:hAnsi="Arial" w:eastAsia="Arial" w:cs="Arial"/>
                <w:b/>
                <w:bCs/>
                <w:color w:val="FFFFFF"/>
                <w:sz w:val="24"/>
                <w:szCs w:val="24"/>
              </w:rPr>
              <w:t>2</w:t>
            </w:r>
          </w:p>
        </w:tc>
        <w:tc>
          <w:tcPr>
            <w:tcW w:w="8800" w:type="dxa"/>
            <w:tcBorders>
              <w:top w:val="single" w:color="D0DCF0" w:sz="4" w:space="0"/>
              <w:left w:val="single" w:color="D0DCF0" w:sz="4" w:space="0"/>
              <w:bottom w:val="single" w:color="D0DCF0" w:sz="4" w:space="0"/>
              <w:right w:val="nil"/>
            </w:tcBorders>
            <w:shd w:val="clear" w:color="auto" w:fill="EEF3FA"/>
            <w:tcMar>
              <w:top w:w="80" w:type="dxa"/>
              <w:left w:w="160" w:type="dxa"/>
              <w:bottom w:w="80" w:type="dxa"/>
              <w:right w:w="160" w:type="dxa"/>
            </w:tcMar>
          </w:tcPr>
          <w:p w14:paraId="331FFB0C">
            <w:pPr>
              <w:spacing w:before="0" w:after="30"/>
            </w:pPr>
            <w:r>
              <w:rPr>
                <w:rFonts w:ascii="Arial" w:hAnsi="Arial" w:eastAsia="Arial" w:cs="Arial"/>
                <w:b/>
                <w:bCs/>
                <w:color w:val="1F3864"/>
                <w:sz w:val="20"/>
                <w:szCs w:val="20"/>
              </w:rPr>
              <w:t>Query [sys_user] by display value</w:t>
            </w:r>
          </w:p>
          <w:p w14:paraId="67A1933E">
            <w:pPr>
              <w:spacing w:before="0" w:after="0"/>
            </w:pPr>
            <w:r>
              <w:rPr>
                <w:rFonts w:ascii="Arial" w:hAnsi="Arial" w:eastAsia="Arial" w:cs="Arial"/>
                <w:i/>
                <w:iCs/>
                <w:color w:val="595959"/>
                <w:sz w:val="19"/>
                <w:szCs w:val="19"/>
              </w:rPr>
              <w:t>The engine executes an internal lookup against [sys_user] where name = 'Bob Smith' (using the reference field's display value field).</w:t>
            </w:r>
          </w:p>
        </w:tc>
      </w:tr>
      <w:tr w14:paraId="4A1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nil"/>
              <w:left w:val="nil"/>
              <w:bottom w:val="single" w:color="FFFFFF" w:sz="4" w:space="0"/>
              <w:right w:val="nil"/>
            </w:tcBorders>
            <w:shd w:val="clear" w:color="auto" w:fill="2E75B6"/>
            <w:tcMar>
              <w:top w:w="80" w:type="dxa"/>
              <w:left w:w="80" w:type="dxa"/>
              <w:bottom w:w="80" w:type="dxa"/>
              <w:right w:w="80" w:type="dxa"/>
            </w:tcMar>
            <w:vAlign w:val="center"/>
          </w:tcPr>
          <w:p w14:paraId="17AD148B">
            <w:pPr>
              <w:jc w:val="center"/>
            </w:pPr>
            <w:r>
              <w:rPr>
                <w:rFonts w:ascii="Arial" w:hAnsi="Arial" w:eastAsia="Arial" w:cs="Arial"/>
                <w:b/>
                <w:bCs/>
                <w:color w:val="FFFFFF"/>
                <w:sz w:val="24"/>
                <w:szCs w:val="24"/>
              </w:rPr>
              <w:t>3</w:t>
            </w:r>
          </w:p>
        </w:tc>
        <w:tc>
          <w:tcPr>
            <w:tcW w:w="8800" w:type="dxa"/>
            <w:tcBorders>
              <w:top w:val="single" w:color="D0DCF0" w:sz="4" w:space="0"/>
              <w:left w:val="single" w:color="D0DCF0" w:sz="4" w:space="0"/>
              <w:bottom w:val="single" w:color="D0DCF0" w:sz="4" w:space="0"/>
              <w:right w:val="nil"/>
            </w:tcBorders>
            <w:shd w:val="clear" w:color="auto" w:fill="D9E2F3"/>
            <w:tcMar>
              <w:top w:w="80" w:type="dxa"/>
              <w:left w:w="160" w:type="dxa"/>
              <w:bottom w:w="80" w:type="dxa"/>
              <w:right w:w="160" w:type="dxa"/>
            </w:tcMar>
          </w:tcPr>
          <w:p w14:paraId="6426D18C">
            <w:pPr>
              <w:spacing w:before="0" w:after="30"/>
            </w:pPr>
            <w:r>
              <w:rPr>
                <w:rFonts w:ascii="Arial" w:hAnsi="Arial" w:eastAsia="Arial" w:cs="Arial"/>
                <w:b/>
                <w:bCs/>
                <w:color w:val="1F3864"/>
                <w:sz w:val="20"/>
                <w:szCs w:val="20"/>
              </w:rPr>
              <w:t>Evaluate match result</w:t>
            </w:r>
          </w:p>
          <w:p w14:paraId="58FD50B6">
            <w:pPr>
              <w:spacing w:before="0" w:after="0"/>
            </w:pPr>
            <w:r>
              <w:rPr>
                <w:rFonts w:ascii="Arial" w:hAnsi="Arial" w:eastAsia="Arial" w:cs="Arial"/>
                <w:i/>
                <w:iCs/>
                <w:color w:val="595959"/>
                <w:sz w:val="19"/>
                <w:szCs w:val="19"/>
              </w:rPr>
              <w:t>If exactly one matching record is found, the sys_id of that record is used. If zero or multiple matches are found, the field is left unresolved.</w:t>
            </w:r>
          </w:p>
        </w:tc>
      </w:tr>
      <w:tr w14:paraId="2AEC3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nil"/>
              <w:left w:val="nil"/>
              <w:bottom w:val="single" w:color="FFFFFF" w:sz="4" w:space="0"/>
              <w:right w:val="nil"/>
            </w:tcBorders>
            <w:shd w:val="clear" w:color="auto" w:fill="2E75B6"/>
            <w:tcMar>
              <w:top w:w="80" w:type="dxa"/>
              <w:left w:w="80" w:type="dxa"/>
              <w:bottom w:w="80" w:type="dxa"/>
              <w:right w:w="80" w:type="dxa"/>
            </w:tcMar>
            <w:vAlign w:val="center"/>
          </w:tcPr>
          <w:p w14:paraId="32DCC445">
            <w:pPr>
              <w:jc w:val="center"/>
            </w:pPr>
            <w:r>
              <w:rPr>
                <w:rFonts w:ascii="Arial" w:hAnsi="Arial" w:eastAsia="Arial" w:cs="Arial"/>
                <w:b/>
                <w:bCs/>
                <w:color w:val="FFFFFF"/>
                <w:sz w:val="24"/>
                <w:szCs w:val="24"/>
              </w:rPr>
              <w:t>4</w:t>
            </w:r>
          </w:p>
        </w:tc>
        <w:tc>
          <w:tcPr>
            <w:tcW w:w="8800" w:type="dxa"/>
            <w:tcBorders>
              <w:top w:val="single" w:color="D0DCF0" w:sz="4" w:space="0"/>
              <w:left w:val="single" w:color="D0DCF0" w:sz="4" w:space="0"/>
              <w:bottom w:val="single" w:color="D0DCF0" w:sz="4" w:space="0"/>
              <w:right w:val="nil"/>
            </w:tcBorders>
            <w:shd w:val="clear" w:color="auto" w:fill="EEF3FA"/>
            <w:tcMar>
              <w:top w:w="80" w:type="dxa"/>
              <w:left w:w="160" w:type="dxa"/>
              <w:bottom w:w="80" w:type="dxa"/>
              <w:right w:w="160" w:type="dxa"/>
            </w:tcMar>
          </w:tcPr>
          <w:p w14:paraId="29EC2372">
            <w:pPr>
              <w:spacing w:before="0" w:after="30"/>
            </w:pPr>
            <w:r>
              <w:rPr>
                <w:rFonts w:ascii="Arial" w:hAnsi="Arial" w:eastAsia="Arial" w:cs="Arial"/>
                <w:b/>
                <w:bCs/>
                <w:color w:val="1F3864"/>
                <w:sz w:val="20"/>
                <w:szCs w:val="20"/>
              </w:rPr>
              <w:t>Write reference to target record</w:t>
            </w:r>
          </w:p>
          <w:p w14:paraId="27EFDB73">
            <w:pPr>
              <w:spacing w:before="0" w:after="0"/>
            </w:pPr>
            <w:r>
              <w:rPr>
                <w:rFonts w:ascii="Arial" w:hAnsi="Arial" w:eastAsia="Arial" w:cs="Arial"/>
                <w:i/>
                <w:iCs/>
                <w:color w:val="595959"/>
                <w:sz w:val="19"/>
                <w:szCs w:val="19"/>
              </w:rPr>
              <w:t>The resolved sys_id is written to the manager reference field on the employee's newly created or updated [sys_user] record.</w:t>
            </w:r>
          </w:p>
        </w:tc>
      </w:tr>
      <w:tr w14:paraId="49912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nil"/>
              <w:left w:val="nil"/>
              <w:bottom w:val="nil"/>
              <w:right w:val="nil"/>
            </w:tcBorders>
            <w:shd w:val="clear" w:color="auto" w:fill="548235"/>
            <w:tcMar>
              <w:top w:w="80" w:type="dxa"/>
              <w:left w:w="80" w:type="dxa"/>
              <w:bottom w:w="80" w:type="dxa"/>
              <w:right w:w="80" w:type="dxa"/>
            </w:tcMar>
            <w:vAlign w:val="center"/>
          </w:tcPr>
          <w:p w14:paraId="53D560AA">
            <w:pPr>
              <w:jc w:val="center"/>
            </w:pPr>
            <w:r>
              <w:rPr>
                <w:rFonts w:ascii="Arial" w:hAnsi="Arial" w:eastAsia="Arial" w:cs="Arial"/>
                <w:b/>
                <w:bCs/>
                <w:color w:val="FFFFFF"/>
                <w:sz w:val="24"/>
                <w:szCs w:val="24"/>
              </w:rPr>
              <w:t>5</w:t>
            </w:r>
          </w:p>
        </w:tc>
        <w:tc>
          <w:tcPr>
            <w:tcW w:w="8800" w:type="dxa"/>
            <w:tcBorders>
              <w:top w:val="single" w:color="D0DCF0" w:sz="4" w:space="0"/>
              <w:left w:val="single" w:color="D0DCF0" w:sz="4" w:space="0"/>
              <w:bottom w:val="single" w:color="D0DCF0" w:sz="4" w:space="0"/>
              <w:right w:val="nil"/>
            </w:tcBorders>
            <w:shd w:val="clear" w:color="auto" w:fill="D9E2F3"/>
            <w:tcMar>
              <w:top w:w="80" w:type="dxa"/>
              <w:left w:w="160" w:type="dxa"/>
              <w:bottom w:w="80" w:type="dxa"/>
              <w:right w:w="160" w:type="dxa"/>
            </w:tcMar>
          </w:tcPr>
          <w:p w14:paraId="1C6F1983">
            <w:pPr>
              <w:spacing w:before="0" w:after="30"/>
            </w:pPr>
            <w:r>
              <w:rPr>
                <w:rFonts w:ascii="Arial" w:hAnsi="Arial" w:eastAsia="Arial" w:cs="Arial"/>
                <w:b/>
                <w:bCs/>
                <w:color w:val="1F3864"/>
                <w:sz w:val="20"/>
                <w:szCs w:val="20"/>
              </w:rPr>
              <w:t>Resolution confirmed</w:t>
            </w:r>
          </w:p>
          <w:p w14:paraId="6B83F664">
            <w:pPr>
              <w:spacing w:before="0" w:after="0"/>
            </w:pPr>
            <w:r>
              <w:rPr>
                <w:rFonts w:ascii="Arial" w:hAnsi="Arial" w:eastAsia="Arial" w:cs="Arial"/>
                <w:i/>
                <w:iCs/>
                <w:color w:val="595959"/>
                <w:sz w:val="19"/>
                <w:szCs w:val="19"/>
              </w:rPr>
              <w:t>The employee record's manager field now holds a navigable reference link to the manager's [sys_user] record. The relationship is structurally enforced at the database level.</w:t>
            </w:r>
          </w:p>
        </w:tc>
      </w:tr>
    </w:tbl>
    <w:p w14:paraId="28546A86">
      <w:pPr>
        <w:spacing w:before="60" w:after="0"/>
      </w:pPr>
    </w:p>
    <w:p w14:paraId="6A2D38DE">
      <w:pPr>
        <w:spacing w:before="80" w:after="0"/>
      </w:pPr>
    </w:p>
    <w:p w14:paraId="04D047BD">
      <w:pPr>
        <w:pBdr>
          <w:bottom w:val="single" w:color="D0D8E8" w:sz="6" w:space="1"/>
        </w:pBdr>
        <w:spacing w:before="120" w:after="120"/>
      </w:pPr>
    </w:p>
    <w:p w14:paraId="749C4AF3">
      <w:pPr>
        <w:pStyle w:val="2"/>
        <w:pBdr>
          <w:left w:val="single" w:color="2E75B6" w:sz="28" w:space="8"/>
        </w:pBdr>
        <w:spacing w:before="340" w:after="120"/>
      </w:pPr>
      <w:r>
        <w:rPr>
          <w:rFonts w:ascii="Arial" w:hAnsi="Arial" w:eastAsia="Arial" w:cs="Arial"/>
          <w:b/>
          <w:bCs/>
          <w:color w:val="1F3864"/>
          <w:sz w:val="28"/>
          <w:szCs w:val="28"/>
        </w:rPr>
        <w:t>4. COMPONENT DESIGN SPECIFICATIONS</w:t>
      </w:r>
    </w:p>
    <w:p w14:paraId="48F77D38">
      <w:pPr>
        <w:pStyle w:val="3"/>
        <w:spacing w:before="220" w:after="80"/>
      </w:pPr>
      <w:r>
        <w:rPr>
          <w:rFonts w:ascii="Arial" w:hAnsi="Arial" w:eastAsia="Arial" w:cs="Arial"/>
          <w:b/>
          <w:bCs/>
          <w:color w:val="2E75B6"/>
          <w:sz w:val="24"/>
          <w:szCs w:val="24"/>
        </w:rPr>
        <w:t>4.1  Import Set Table Design</w:t>
      </w:r>
    </w:p>
    <w:p w14:paraId="733103CF">
      <w:pPr>
        <w:spacing w:before="60" w:after="100" w:line="276" w:lineRule="auto"/>
        <w:jc w:val="both"/>
      </w:pPr>
      <w:r>
        <w:rPr>
          <w:rFonts w:ascii="Arial" w:hAnsi="Arial" w:eastAsia="Arial" w:cs="Arial"/>
          <w:color w:val="595959"/>
          <w:sz w:val="22"/>
          <w:szCs w:val="22"/>
        </w:rPr>
        <w:t>The Import Set staging table will be auto-generated by the platform during the initial file upload. The following specification defines the expected configuration state of this component following successful table creation.</w:t>
      </w:r>
    </w:p>
    <w:p w14:paraId="24E95A84">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6660"/>
      </w:tblGrid>
      <w:tr w14:paraId="45AE0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4" w:space="0"/>
              <w:left w:val="single" w:color="2E75B6" w:sz="4" w:space="0"/>
              <w:bottom w:val="single" w:color="CCCCCC" w:sz="4" w:space="0"/>
              <w:right w:val="single" w:color="CCCCCC" w:sz="4" w:space="0"/>
            </w:tcBorders>
            <w:shd w:val="clear" w:color="auto" w:fill="D9E2F3"/>
            <w:tcMar>
              <w:top w:w="80" w:type="dxa"/>
              <w:left w:w="120" w:type="dxa"/>
              <w:bottom w:w="80" w:type="dxa"/>
              <w:right w:w="120" w:type="dxa"/>
            </w:tcMar>
          </w:tcPr>
          <w:p w14:paraId="6930A73A">
            <w:r>
              <w:rPr>
                <w:rFonts w:ascii="Arial" w:hAnsi="Arial" w:eastAsia="Arial" w:cs="Arial"/>
                <w:b/>
                <w:bCs/>
                <w:color w:val="1F3864"/>
                <w:sz w:val="20"/>
                <w:szCs w:val="20"/>
              </w:rPr>
              <w:t>Component Type</w:t>
            </w:r>
          </w:p>
        </w:tc>
        <w:tc>
          <w:tcPr>
            <w:tcW w:w="6660" w:type="dxa"/>
            <w:tcBorders>
              <w:top w:val="single" w:color="CCCCCC" w:sz="4" w:space="0"/>
              <w:left w:val="single" w:color="CCCCCC" w:sz="4" w:space="0"/>
              <w:bottom w:val="single" w:color="CCCCCC" w:sz="4" w:space="0"/>
              <w:right w:val="single" w:color="CCCCCC" w:sz="4" w:space="0"/>
            </w:tcBorders>
            <w:shd w:val="clear" w:color="auto" w:fill="F7F9FD"/>
            <w:tcMar>
              <w:top w:w="80" w:type="dxa"/>
              <w:left w:w="120" w:type="dxa"/>
              <w:bottom w:w="80" w:type="dxa"/>
              <w:right w:w="120" w:type="dxa"/>
            </w:tcMar>
          </w:tcPr>
          <w:p w14:paraId="289FCD6D">
            <w:r>
              <w:rPr>
                <w:rFonts w:ascii="Arial" w:hAnsi="Arial" w:eastAsia="Arial" w:cs="Arial"/>
                <w:color w:val="595959"/>
                <w:sz w:val="20"/>
                <w:szCs w:val="20"/>
              </w:rPr>
              <w:t>Import Set Table (user-created, auto-generated from CSV)</w:t>
            </w:r>
          </w:p>
        </w:tc>
      </w:tr>
      <w:tr w14:paraId="0373E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4" w:space="0"/>
              <w:left w:val="single" w:color="2E75B6" w:sz="4" w:space="0"/>
              <w:bottom w:val="single" w:color="CCCCCC" w:sz="4" w:space="0"/>
              <w:right w:val="single" w:color="CCCCCC" w:sz="4" w:space="0"/>
            </w:tcBorders>
            <w:shd w:val="clear" w:color="auto" w:fill="D9E2F3"/>
            <w:tcMar>
              <w:top w:w="80" w:type="dxa"/>
              <w:left w:w="120" w:type="dxa"/>
              <w:bottom w:w="80" w:type="dxa"/>
              <w:right w:w="120" w:type="dxa"/>
            </w:tcMar>
          </w:tcPr>
          <w:p w14:paraId="514CF00F">
            <w:r>
              <w:rPr>
                <w:rFonts w:ascii="Arial" w:hAnsi="Arial" w:eastAsia="Arial" w:cs="Arial"/>
                <w:b/>
                <w:bCs/>
                <w:color w:val="1F3864"/>
                <w:sz w:val="20"/>
                <w:szCs w:val="20"/>
              </w:rPr>
              <w:t>Physical Table Name</w:t>
            </w:r>
          </w:p>
        </w:tc>
        <w:tc>
          <w:tcPr>
            <w:tcW w:w="6660" w:type="dxa"/>
            <w:tcBorders>
              <w:top w:val="single" w:color="CCCCCC" w:sz="4" w:space="0"/>
              <w:left w:val="single" w:color="CCCCCC" w:sz="4" w:space="0"/>
              <w:bottom w:val="single" w:color="CCCCCC" w:sz="4" w:space="0"/>
              <w:right w:val="single" w:color="CCCCCC" w:sz="4" w:space="0"/>
            </w:tcBorders>
            <w:shd w:val="clear" w:color="auto" w:fill="F7F9FD"/>
            <w:tcMar>
              <w:top w:w="80" w:type="dxa"/>
              <w:left w:w="120" w:type="dxa"/>
              <w:bottom w:w="80" w:type="dxa"/>
              <w:right w:w="120" w:type="dxa"/>
            </w:tcMar>
          </w:tcPr>
          <w:p w14:paraId="6561A67D">
            <w:r>
              <w:rPr>
                <w:rFonts w:ascii="Arial" w:hAnsi="Arial" w:eastAsia="Arial" w:cs="Arial"/>
                <w:color w:val="595959"/>
                <w:sz w:val="20"/>
                <w:szCs w:val="20"/>
              </w:rPr>
              <w:t>u_import_employee</w:t>
            </w:r>
          </w:p>
        </w:tc>
      </w:tr>
      <w:tr w14:paraId="68AD4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4" w:space="0"/>
              <w:left w:val="single" w:color="2E75B6" w:sz="4" w:space="0"/>
              <w:bottom w:val="single" w:color="CCCCCC" w:sz="4" w:space="0"/>
              <w:right w:val="single" w:color="CCCCCC" w:sz="4" w:space="0"/>
            </w:tcBorders>
            <w:shd w:val="clear" w:color="auto" w:fill="D9E2F3"/>
            <w:tcMar>
              <w:top w:w="80" w:type="dxa"/>
              <w:left w:w="120" w:type="dxa"/>
              <w:bottom w:w="80" w:type="dxa"/>
              <w:right w:w="120" w:type="dxa"/>
            </w:tcMar>
          </w:tcPr>
          <w:p w14:paraId="2DCE0019">
            <w:r>
              <w:rPr>
                <w:rFonts w:ascii="Arial" w:hAnsi="Arial" w:eastAsia="Arial" w:cs="Arial"/>
                <w:b/>
                <w:bCs/>
                <w:color w:val="1F3864"/>
                <w:sz w:val="20"/>
                <w:szCs w:val="20"/>
              </w:rPr>
              <w:t>Display Label</w:t>
            </w:r>
          </w:p>
        </w:tc>
        <w:tc>
          <w:tcPr>
            <w:tcW w:w="6660" w:type="dxa"/>
            <w:tcBorders>
              <w:top w:val="single" w:color="CCCCCC" w:sz="4" w:space="0"/>
              <w:left w:val="single" w:color="CCCCCC" w:sz="4" w:space="0"/>
              <w:bottom w:val="single" w:color="CCCCCC" w:sz="4" w:space="0"/>
              <w:right w:val="single" w:color="CCCCCC" w:sz="4" w:space="0"/>
            </w:tcBorders>
            <w:shd w:val="clear" w:color="auto" w:fill="F7F9FD"/>
            <w:tcMar>
              <w:top w:w="80" w:type="dxa"/>
              <w:left w:w="120" w:type="dxa"/>
              <w:bottom w:w="80" w:type="dxa"/>
              <w:right w:w="120" w:type="dxa"/>
            </w:tcMar>
          </w:tcPr>
          <w:p w14:paraId="0F2A5CAB">
            <w:r>
              <w:rPr>
                <w:rFonts w:ascii="Arial" w:hAnsi="Arial" w:eastAsia="Arial" w:cs="Arial"/>
                <w:color w:val="595959"/>
                <w:sz w:val="20"/>
                <w:szCs w:val="20"/>
              </w:rPr>
              <w:t>import employee</w:t>
            </w:r>
          </w:p>
        </w:tc>
      </w:tr>
      <w:tr w14:paraId="61088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4" w:space="0"/>
              <w:left w:val="single" w:color="2E75B6" w:sz="4" w:space="0"/>
              <w:bottom w:val="single" w:color="CCCCCC" w:sz="4" w:space="0"/>
              <w:right w:val="single" w:color="CCCCCC" w:sz="4" w:space="0"/>
            </w:tcBorders>
            <w:shd w:val="clear" w:color="auto" w:fill="D9E2F3"/>
            <w:tcMar>
              <w:top w:w="80" w:type="dxa"/>
              <w:left w:w="120" w:type="dxa"/>
              <w:bottom w:w="80" w:type="dxa"/>
              <w:right w:w="120" w:type="dxa"/>
            </w:tcMar>
          </w:tcPr>
          <w:p w14:paraId="7AFF982D">
            <w:r>
              <w:rPr>
                <w:rFonts w:ascii="Arial" w:hAnsi="Arial" w:eastAsia="Arial" w:cs="Arial"/>
                <w:b/>
                <w:bCs/>
                <w:color w:val="1F3864"/>
                <w:sz w:val="20"/>
                <w:szCs w:val="20"/>
              </w:rPr>
              <w:t>Extends</w:t>
            </w:r>
          </w:p>
        </w:tc>
        <w:tc>
          <w:tcPr>
            <w:tcW w:w="6660" w:type="dxa"/>
            <w:tcBorders>
              <w:top w:val="single" w:color="CCCCCC" w:sz="4" w:space="0"/>
              <w:left w:val="single" w:color="CCCCCC" w:sz="4" w:space="0"/>
              <w:bottom w:val="single" w:color="CCCCCC" w:sz="4" w:space="0"/>
              <w:right w:val="single" w:color="CCCCCC" w:sz="4" w:space="0"/>
            </w:tcBorders>
            <w:shd w:val="clear" w:color="auto" w:fill="F7F9FD"/>
            <w:tcMar>
              <w:top w:w="80" w:type="dxa"/>
              <w:left w:w="120" w:type="dxa"/>
              <w:bottom w:w="80" w:type="dxa"/>
              <w:right w:w="120" w:type="dxa"/>
            </w:tcMar>
          </w:tcPr>
          <w:p w14:paraId="22807DAB">
            <w:r>
              <w:rPr>
                <w:rFonts w:ascii="Arial" w:hAnsi="Arial" w:eastAsia="Arial" w:cs="Arial"/>
                <w:color w:val="595959"/>
                <w:sz w:val="20"/>
                <w:szCs w:val="20"/>
              </w:rPr>
              <w:t>import_set_row  (base ServiceNow import staging parent table)</w:t>
            </w:r>
          </w:p>
        </w:tc>
      </w:tr>
      <w:tr w14:paraId="1C6A5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4" w:space="0"/>
              <w:left w:val="single" w:color="2E75B6" w:sz="4" w:space="0"/>
              <w:bottom w:val="single" w:color="CCCCCC" w:sz="4" w:space="0"/>
              <w:right w:val="single" w:color="CCCCCC" w:sz="4" w:space="0"/>
            </w:tcBorders>
            <w:shd w:val="clear" w:color="auto" w:fill="D9E2F3"/>
            <w:tcMar>
              <w:top w:w="80" w:type="dxa"/>
              <w:left w:w="120" w:type="dxa"/>
              <w:bottom w:w="80" w:type="dxa"/>
              <w:right w:w="120" w:type="dxa"/>
            </w:tcMar>
          </w:tcPr>
          <w:p w14:paraId="5441FB12">
            <w:r>
              <w:rPr>
                <w:rFonts w:ascii="Arial" w:hAnsi="Arial" w:eastAsia="Arial" w:cs="Arial"/>
                <w:b/>
                <w:bCs/>
                <w:color w:val="1F3864"/>
                <w:sz w:val="20"/>
                <w:szCs w:val="20"/>
              </w:rPr>
              <w:t>Application Scope</w:t>
            </w:r>
          </w:p>
        </w:tc>
        <w:tc>
          <w:tcPr>
            <w:tcW w:w="6660" w:type="dxa"/>
            <w:tcBorders>
              <w:top w:val="single" w:color="CCCCCC" w:sz="4" w:space="0"/>
              <w:left w:val="single" w:color="CCCCCC" w:sz="4" w:space="0"/>
              <w:bottom w:val="single" w:color="CCCCCC" w:sz="4" w:space="0"/>
              <w:right w:val="single" w:color="CCCCCC" w:sz="4" w:space="0"/>
            </w:tcBorders>
            <w:shd w:val="clear" w:color="auto" w:fill="F7F9FD"/>
            <w:tcMar>
              <w:top w:w="80" w:type="dxa"/>
              <w:left w:w="120" w:type="dxa"/>
              <w:bottom w:w="80" w:type="dxa"/>
              <w:right w:w="120" w:type="dxa"/>
            </w:tcMar>
          </w:tcPr>
          <w:p w14:paraId="5FA62212">
            <w:r>
              <w:rPr>
                <w:rFonts w:ascii="Arial" w:hAnsi="Arial" w:eastAsia="Arial" w:cs="Arial"/>
                <w:color w:val="595959"/>
                <w:sz w:val="20"/>
                <w:szCs w:val="20"/>
              </w:rPr>
              <w:t>Global</w:t>
            </w:r>
          </w:p>
        </w:tc>
      </w:tr>
      <w:tr w14:paraId="6D4CE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4" w:space="0"/>
              <w:left w:val="single" w:color="2E75B6" w:sz="4" w:space="0"/>
              <w:bottom w:val="single" w:color="CCCCCC" w:sz="4" w:space="0"/>
              <w:right w:val="single" w:color="CCCCCC" w:sz="4" w:space="0"/>
            </w:tcBorders>
            <w:shd w:val="clear" w:color="auto" w:fill="D9E2F3"/>
            <w:tcMar>
              <w:top w:w="80" w:type="dxa"/>
              <w:left w:w="120" w:type="dxa"/>
              <w:bottom w:w="80" w:type="dxa"/>
              <w:right w:w="120" w:type="dxa"/>
            </w:tcMar>
          </w:tcPr>
          <w:p w14:paraId="6971C3A6">
            <w:r>
              <w:rPr>
                <w:rFonts w:ascii="Arial" w:hAnsi="Arial" w:eastAsia="Arial" w:cs="Arial"/>
                <w:b/>
                <w:bCs/>
                <w:color w:val="1F3864"/>
                <w:sz w:val="20"/>
                <w:szCs w:val="20"/>
              </w:rPr>
              <w:t>Persistence</w:t>
            </w:r>
          </w:p>
        </w:tc>
        <w:tc>
          <w:tcPr>
            <w:tcW w:w="6660" w:type="dxa"/>
            <w:tcBorders>
              <w:top w:val="single" w:color="CCCCCC" w:sz="4" w:space="0"/>
              <w:left w:val="single" w:color="CCCCCC" w:sz="4" w:space="0"/>
              <w:bottom w:val="single" w:color="CCCCCC" w:sz="4" w:space="0"/>
              <w:right w:val="single" w:color="CCCCCC" w:sz="4" w:space="0"/>
            </w:tcBorders>
            <w:shd w:val="clear" w:color="auto" w:fill="F7F9FD"/>
            <w:tcMar>
              <w:top w:w="80" w:type="dxa"/>
              <w:left w:w="120" w:type="dxa"/>
              <w:bottom w:w="80" w:type="dxa"/>
              <w:right w:w="120" w:type="dxa"/>
            </w:tcMar>
          </w:tcPr>
          <w:p w14:paraId="144E8EDC">
            <w:r>
              <w:rPr>
                <w:rFonts w:ascii="Arial" w:hAnsi="Arial" w:eastAsia="Arial" w:cs="Arial"/>
                <w:color w:val="595959"/>
                <w:sz w:val="20"/>
                <w:szCs w:val="20"/>
              </w:rPr>
              <w:t>Retained after transformation. Not auto-purged. Serves as an audit record of each import batch.</w:t>
            </w:r>
          </w:p>
        </w:tc>
      </w:tr>
      <w:tr w14:paraId="05D95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4" w:space="0"/>
              <w:left w:val="single" w:color="2E75B6" w:sz="4" w:space="0"/>
              <w:bottom w:val="single" w:color="CCCCCC" w:sz="4" w:space="0"/>
              <w:right w:val="single" w:color="CCCCCC" w:sz="4" w:space="0"/>
            </w:tcBorders>
            <w:shd w:val="clear" w:color="auto" w:fill="D9E2F3"/>
            <w:tcMar>
              <w:top w:w="80" w:type="dxa"/>
              <w:left w:w="120" w:type="dxa"/>
              <w:bottom w:w="80" w:type="dxa"/>
              <w:right w:w="120" w:type="dxa"/>
            </w:tcMar>
          </w:tcPr>
          <w:p w14:paraId="2D257032">
            <w:r>
              <w:rPr>
                <w:rFonts w:ascii="Arial" w:hAnsi="Arial" w:eastAsia="Arial" w:cs="Arial"/>
                <w:b/>
                <w:bCs/>
                <w:color w:val="1F3864"/>
                <w:sz w:val="20"/>
                <w:szCs w:val="20"/>
              </w:rPr>
              <w:t>Record Count</w:t>
            </w:r>
          </w:p>
        </w:tc>
        <w:tc>
          <w:tcPr>
            <w:tcW w:w="6660" w:type="dxa"/>
            <w:tcBorders>
              <w:top w:val="single" w:color="CCCCCC" w:sz="4" w:space="0"/>
              <w:left w:val="single" w:color="CCCCCC" w:sz="4" w:space="0"/>
              <w:bottom w:val="single" w:color="CCCCCC" w:sz="4" w:space="0"/>
              <w:right w:val="single" w:color="CCCCCC" w:sz="4" w:space="0"/>
            </w:tcBorders>
            <w:shd w:val="clear" w:color="auto" w:fill="F7F9FD"/>
            <w:tcMar>
              <w:top w:w="80" w:type="dxa"/>
              <w:left w:w="120" w:type="dxa"/>
              <w:bottom w:w="80" w:type="dxa"/>
              <w:right w:w="120" w:type="dxa"/>
            </w:tcMar>
          </w:tcPr>
          <w:p w14:paraId="23DA9BA0">
            <w:r>
              <w:rPr>
                <w:rFonts w:ascii="Arial" w:hAnsi="Arial" w:eastAsia="Arial" w:cs="Arial"/>
                <w:color w:val="595959"/>
                <w:sz w:val="20"/>
                <w:szCs w:val="20"/>
              </w:rPr>
              <w:t>One row per employee in the source CSV file. Minimum four records for acceptance criteria.</w:t>
            </w:r>
          </w:p>
        </w:tc>
      </w:tr>
      <w:tr w14:paraId="49204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4" w:space="0"/>
              <w:left w:val="single" w:color="2E75B6" w:sz="4" w:space="0"/>
              <w:bottom w:val="single" w:color="CCCCCC" w:sz="4" w:space="0"/>
              <w:right w:val="single" w:color="CCCCCC" w:sz="4" w:space="0"/>
            </w:tcBorders>
            <w:shd w:val="clear" w:color="auto" w:fill="D9E2F3"/>
            <w:tcMar>
              <w:top w:w="80" w:type="dxa"/>
              <w:left w:w="120" w:type="dxa"/>
              <w:bottom w:w="80" w:type="dxa"/>
              <w:right w:w="120" w:type="dxa"/>
            </w:tcMar>
          </w:tcPr>
          <w:p w14:paraId="682DF01E">
            <w:r>
              <w:rPr>
                <w:rFonts w:ascii="Arial" w:hAnsi="Arial" w:eastAsia="Arial" w:cs="Arial"/>
                <w:b/>
                <w:bCs/>
                <w:color w:val="1F3864"/>
                <w:sz w:val="20"/>
                <w:szCs w:val="20"/>
              </w:rPr>
              <w:t>Column Generation</w:t>
            </w:r>
          </w:p>
        </w:tc>
        <w:tc>
          <w:tcPr>
            <w:tcW w:w="6660" w:type="dxa"/>
            <w:tcBorders>
              <w:top w:val="single" w:color="CCCCCC" w:sz="4" w:space="0"/>
              <w:left w:val="single" w:color="CCCCCC" w:sz="4" w:space="0"/>
              <w:bottom w:val="single" w:color="CCCCCC" w:sz="4" w:space="0"/>
              <w:right w:val="single" w:color="CCCCCC" w:sz="4" w:space="0"/>
            </w:tcBorders>
            <w:shd w:val="clear" w:color="auto" w:fill="F7F9FD"/>
            <w:tcMar>
              <w:top w:w="80" w:type="dxa"/>
              <w:left w:w="120" w:type="dxa"/>
              <w:bottom w:w="80" w:type="dxa"/>
              <w:right w:w="120" w:type="dxa"/>
            </w:tcMar>
          </w:tcPr>
          <w:p w14:paraId="6AFACB92">
            <w:r>
              <w:rPr>
                <w:rFonts w:ascii="Arial" w:hAnsi="Arial" w:eastAsia="Arial" w:cs="Arial"/>
                <w:color w:val="595959"/>
                <w:sz w:val="20"/>
                <w:szCs w:val="20"/>
              </w:rPr>
              <w:t>Columns auto-derived from CSV headers. Each header becomes a field prefixed with 'u_'.</w:t>
            </w:r>
          </w:p>
        </w:tc>
      </w:tr>
    </w:tbl>
    <w:p w14:paraId="241622E4">
      <w:pPr>
        <w:spacing w:before="80" w:after="0"/>
      </w:pPr>
    </w:p>
    <w:p w14:paraId="3B68BC55">
      <w:pPr>
        <w:pStyle w:val="3"/>
        <w:spacing w:before="220" w:after="80"/>
      </w:pPr>
      <w:r>
        <w:rPr>
          <w:rFonts w:ascii="Arial" w:hAnsi="Arial" w:eastAsia="Arial" w:cs="Arial"/>
          <w:b/>
          <w:bCs/>
          <w:color w:val="2E75B6"/>
          <w:sz w:val="24"/>
          <w:szCs w:val="24"/>
        </w:rPr>
        <w:t>4.2  Transform Map Design</w:t>
      </w:r>
    </w:p>
    <w:p w14:paraId="7E437A7A">
      <w:pPr>
        <w:spacing w:before="60" w:after="100" w:line="276" w:lineRule="auto"/>
        <w:jc w:val="both"/>
      </w:pPr>
      <w:r>
        <w:rPr>
          <w:rFonts w:ascii="Arial" w:hAnsi="Arial" w:eastAsia="Arial" w:cs="Arial"/>
          <w:color w:val="595959"/>
          <w:sz w:val="22"/>
          <w:szCs w:val="22"/>
        </w:rPr>
        <w:t>The Transform Map is the central orchestrating component of the Transformation Layer. The following specification defines its complete configuration, including all field mapping rules and the coalesce strategy.</w:t>
      </w:r>
    </w:p>
    <w:p w14:paraId="46DFC8F0">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6660"/>
      </w:tblGrid>
      <w:tr w14:paraId="0CC2E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4" w:space="0"/>
              <w:left w:val="single" w:color="2E75B6" w:sz="4" w:space="0"/>
              <w:bottom w:val="single" w:color="CCCCCC" w:sz="4" w:space="0"/>
              <w:right w:val="single" w:color="CCCCCC" w:sz="4" w:space="0"/>
            </w:tcBorders>
            <w:shd w:val="clear" w:color="auto" w:fill="D9E2F3"/>
            <w:tcMar>
              <w:top w:w="80" w:type="dxa"/>
              <w:left w:w="120" w:type="dxa"/>
              <w:bottom w:w="80" w:type="dxa"/>
              <w:right w:w="120" w:type="dxa"/>
            </w:tcMar>
          </w:tcPr>
          <w:p w14:paraId="09E853D5">
            <w:r>
              <w:rPr>
                <w:rFonts w:ascii="Arial" w:hAnsi="Arial" w:eastAsia="Arial" w:cs="Arial"/>
                <w:b/>
                <w:bCs/>
                <w:color w:val="1F3864"/>
                <w:sz w:val="20"/>
                <w:szCs w:val="20"/>
              </w:rPr>
              <w:t>Component Type</w:t>
            </w:r>
          </w:p>
        </w:tc>
        <w:tc>
          <w:tcPr>
            <w:tcW w:w="6660" w:type="dxa"/>
            <w:tcBorders>
              <w:top w:val="single" w:color="CCCCCC" w:sz="4" w:space="0"/>
              <w:left w:val="single" w:color="CCCCCC" w:sz="4" w:space="0"/>
              <w:bottom w:val="single" w:color="CCCCCC" w:sz="4" w:space="0"/>
              <w:right w:val="single" w:color="CCCCCC" w:sz="4" w:space="0"/>
            </w:tcBorders>
            <w:shd w:val="clear" w:color="auto" w:fill="F7F9FD"/>
            <w:tcMar>
              <w:top w:w="80" w:type="dxa"/>
              <w:left w:w="120" w:type="dxa"/>
              <w:bottom w:w="80" w:type="dxa"/>
              <w:right w:w="120" w:type="dxa"/>
            </w:tcMar>
          </w:tcPr>
          <w:p w14:paraId="366CBF0F">
            <w:r>
              <w:rPr>
                <w:rFonts w:ascii="Arial" w:hAnsi="Arial" w:eastAsia="Arial" w:cs="Arial"/>
                <w:color w:val="595959"/>
                <w:sz w:val="20"/>
                <w:szCs w:val="20"/>
              </w:rPr>
              <w:t>Transform Map</w:t>
            </w:r>
          </w:p>
        </w:tc>
      </w:tr>
      <w:tr w14:paraId="7F5F4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4" w:space="0"/>
              <w:left w:val="single" w:color="2E75B6" w:sz="4" w:space="0"/>
              <w:bottom w:val="single" w:color="CCCCCC" w:sz="4" w:space="0"/>
              <w:right w:val="single" w:color="CCCCCC" w:sz="4" w:space="0"/>
            </w:tcBorders>
            <w:shd w:val="clear" w:color="auto" w:fill="D9E2F3"/>
            <w:tcMar>
              <w:top w:w="80" w:type="dxa"/>
              <w:left w:w="120" w:type="dxa"/>
              <w:bottom w:w="80" w:type="dxa"/>
              <w:right w:w="120" w:type="dxa"/>
            </w:tcMar>
          </w:tcPr>
          <w:p w14:paraId="4A289771">
            <w:r>
              <w:rPr>
                <w:rFonts w:ascii="Arial" w:hAnsi="Arial" w:eastAsia="Arial" w:cs="Arial"/>
                <w:b/>
                <w:bCs/>
                <w:color w:val="1F3864"/>
                <w:sz w:val="20"/>
                <w:szCs w:val="20"/>
              </w:rPr>
              <w:t>Name</w:t>
            </w:r>
          </w:p>
        </w:tc>
        <w:tc>
          <w:tcPr>
            <w:tcW w:w="6660" w:type="dxa"/>
            <w:tcBorders>
              <w:top w:val="single" w:color="CCCCCC" w:sz="4" w:space="0"/>
              <w:left w:val="single" w:color="CCCCCC" w:sz="4" w:space="0"/>
              <w:bottom w:val="single" w:color="CCCCCC" w:sz="4" w:space="0"/>
              <w:right w:val="single" w:color="CCCCCC" w:sz="4" w:space="0"/>
            </w:tcBorders>
            <w:shd w:val="clear" w:color="auto" w:fill="F7F9FD"/>
            <w:tcMar>
              <w:top w:w="80" w:type="dxa"/>
              <w:left w:w="120" w:type="dxa"/>
              <w:bottom w:w="80" w:type="dxa"/>
              <w:right w:w="120" w:type="dxa"/>
            </w:tcMar>
          </w:tcPr>
          <w:p w14:paraId="0A90B498">
            <w:r>
              <w:rPr>
                <w:rFonts w:ascii="Arial" w:hAnsi="Arial" w:eastAsia="Arial" w:cs="Arial"/>
                <w:color w:val="595959"/>
                <w:sz w:val="20"/>
                <w:szCs w:val="20"/>
              </w:rPr>
              <w:t>Employee Import Transform</w:t>
            </w:r>
          </w:p>
        </w:tc>
      </w:tr>
      <w:tr w14:paraId="0E0A4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4" w:space="0"/>
              <w:left w:val="single" w:color="2E75B6" w:sz="4" w:space="0"/>
              <w:bottom w:val="single" w:color="CCCCCC" w:sz="4" w:space="0"/>
              <w:right w:val="single" w:color="CCCCCC" w:sz="4" w:space="0"/>
            </w:tcBorders>
            <w:shd w:val="clear" w:color="auto" w:fill="D9E2F3"/>
            <w:tcMar>
              <w:top w:w="80" w:type="dxa"/>
              <w:left w:w="120" w:type="dxa"/>
              <w:bottom w:w="80" w:type="dxa"/>
              <w:right w:w="120" w:type="dxa"/>
            </w:tcMar>
          </w:tcPr>
          <w:p w14:paraId="37358D63">
            <w:r>
              <w:rPr>
                <w:rFonts w:ascii="Arial" w:hAnsi="Arial" w:eastAsia="Arial" w:cs="Arial"/>
                <w:b/>
                <w:bCs/>
                <w:color w:val="1F3864"/>
                <w:sz w:val="20"/>
                <w:szCs w:val="20"/>
              </w:rPr>
              <w:t>Source Table</w:t>
            </w:r>
          </w:p>
        </w:tc>
        <w:tc>
          <w:tcPr>
            <w:tcW w:w="6660" w:type="dxa"/>
            <w:tcBorders>
              <w:top w:val="single" w:color="CCCCCC" w:sz="4" w:space="0"/>
              <w:left w:val="single" w:color="CCCCCC" w:sz="4" w:space="0"/>
              <w:bottom w:val="single" w:color="CCCCCC" w:sz="4" w:space="0"/>
              <w:right w:val="single" w:color="CCCCCC" w:sz="4" w:space="0"/>
            </w:tcBorders>
            <w:shd w:val="clear" w:color="auto" w:fill="F7F9FD"/>
            <w:tcMar>
              <w:top w:w="80" w:type="dxa"/>
              <w:left w:w="120" w:type="dxa"/>
              <w:bottom w:w="80" w:type="dxa"/>
              <w:right w:w="120" w:type="dxa"/>
            </w:tcMar>
          </w:tcPr>
          <w:p w14:paraId="1A61A940">
            <w:r>
              <w:rPr>
                <w:rFonts w:ascii="Arial" w:hAnsi="Arial" w:eastAsia="Arial" w:cs="Arial"/>
                <w:color w:val="595959"/>
                <w:sz w:val="20"/>
                <w:szCs w:val="20"/>
              </w:rPr>
              <w:t>u_import_employee  (Import Set staging table)</w:t>
            </w:r>
          </w:p>
        </w:tc>
      </w:tr>
      <w:tr w14:paraId="329F4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4" w:space="0"/>
              <w:left w:val="single" w:color="2E75B6" w:sz="4" w:space="0"/>
              <w:bottom w:val="single" w:color="CCCCCC" w:sz="4" w:space="0"/>
              <w:right w:val="single" w:color="CCCCCC" w:sz="4" w:space="0"/>
            </w:tcBorders>
            <w:shd w:val="clear" w:color="auto" w:fill="D9E2F3"/>
            <w:tcMar>
              <w:top w:w="80" w:type="dxa"/>
              <w:left w:w="120" w:type="dxa"/>
              <w:bottom w:w="80" w:type="dxa"/>
              <w:right w:w="120" w:type="dxa"/>
            </w:tcMar>
          </w:tcPr>
          <w:p w14:paraId="100B8E18">
            <w:r>
              <w:rPr>
                <w:rFonts w:ascii="Arial" w:hAnsi="Arial" w:eastAsia="Arial" w:cs="Arial"/>
                <w:b/>
                <w:bCs/>
                <w:color w:val="1F3864"/>
                <w:sz w:val="20"/>
                <w:szCs w:val="20"/>
              </w:rPr>
              <w:t>Target Table</w:t>
            </w:r>
          </w:p>
        </w:tc>
        <w:tc>
          <w:tcPr>
            <w:tcW w:w="6660" w:type="dxa"/>
            <w:tcBorders>
              <w:top w:val="single" w:color="CCCCCC" w:sz="4" w:space="0"/>
              <w:left w:val="single" w:color="CCCCCC" w:sz="4" w:space="0"/>
              <w:bottom w:val="single" w:color="CCCCCC" w:sz="4" w:space="0"/>
              <w:right w:val="single" w:color="CCCCCC" w:sz="4" w:space="0"/>
            </w:tcBorders>
            <w:shd w:val="clear" w:color="auto" w:fill="F7F9FD"/>
            <w:tcMar>
              <w:top w:w="80" w:type="dxa"/>
              <w:left w:w="120" w:type="dxa"/>
              <w:bottom w:w="80" w:type="dxa"/>
              <w:right w:w="120" w:type="dxa"/>
            </w:tcMar>
          </w:tcPr>
          <w:p w14:paraId="33D177D0">
            <w:r>
              <w:rPr>
                <w:rFonts w:ascii="Arial" w:hAnsi="Arial" w:eastAsia="Arial" w:cs="Arial"/>
                <w:color w:val="595959"/>
                <w:sz w:val="20"/>
                <w:szCs w:val="20"/>
              </w:rPr>
              <w:t>sys_user  (Core User table)</w:t>
            </w:r>
          </w:p>
        </w:tc>
      </w:tr>
      <w:tr w14:paraId="381DF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4" w:space="0"/>
              <w:left w:val="single" w:color="2E75B6" w:sz="4" w:space="0"/>
              <w:bottom w:val="single" w:color="CCCCCC" w:sz="4" w:space="0"/>
              <w:right w:val="single" w:color="CCCCCC" w:sz="4" w:space="0"/>
            </w:tcBorders>
            <w:shd w:val="clear" w:color="auto" w:fill="D9E2F3"/>
            <w:tcMar>
              <w:top w:w="80" w:type="dxa"/>
              <w:left w:w="120" w:type="dxa"/>
              <w:bottom w:w="80" w:type="dxa"/>
              <w:right w:w="120" w:type="dxa"/>
            </w:tcMar>
          </w:tcPr>
          <w:p w14:paraId="07A2394D">
            <w:r>
              <w:rPr>
                <w:rFonts w:ascii="Arial" w:hAnsi="Arial" w:eastAsia="Arial" w:cs="Arial"/>
                <w:b/>
                <w:bCs/>
                <w:color w:val="1F3864"/>
                <w:sz w:val="20"/>
                <w:szCs w:val="20"/>
              </w:rPr>
              <w:t>Run Order</w:t>
            </w:r>
          </w:p>
        </w:tc>
        <w:tc>
          <w:tcPr>
            <w:tcW w:w="6660" w:type="dxa"/>
            <w:tcBorders>
              <w:top w:val="single" w:color="CCCCCC" w:sz="4" w:space="0"/>
              <w:left w:val="single" w:color="CCCCCC" w:sz="4" w:space="0"/>
              <w:bottom w:val="single" w:color="CCCCCC" w:sz="4" w:space="0"/>
              <w:right w:val="single" w:color="CCCCCC" w:sz="4" w:space="0"/>
            </w:tcBorders>
            <w:shd w:val="clear" w:color="auto" w:fill="F7F9FD"/>
            <w:tcMar>
              <w:top w:w="80" w:type="dxa"/>
              <w:left w:w="120" w:type="dxa"/>
              <w:bottom w:w="80" w:type="dxa"/>
              <w:right w:w="120" w:type="dxa"/>
            </w:tcMar>
          </w:tcPr>
          <w:p w14:paraId="3BA4E7ED">
            <w:r>
              <w:rPr>
                <w:rFonts w:ascii="Arial" w:hAnsi="Arial" w:eastAsia="Arial" w:cs="Arial"/>
                <w:color w:val="595959"/>
                <w:sz w:val="20"/>
                <w:szCs w:val="20"/>
              </w:rPr>
              <w:t>100  (platform default — no ordering adjustment required)</w:t>
            </w:r>
          </w:p>
        </w:tc>
      </w:tr>
      <w:tr w14:paraId="0AC77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4" w:space="0"/>
              <w:left w:val="single" w:color="2E75B6" w:sz="4" w:space="0"/>
              <w:bottom w:val="single" w:color="CCCCCC" w:sz="4" w:space="0"/>
              <w:right w:val="single" w:color="CCCCCC" w:sz="4" w:space="0"/>
            </w:tcBorders>
            <w:shd w:val="clear" w:color="auto" w:fill="D9E2F3"/>
            <w:tcMar>
              <w:top w:w="80" w:type="dxa"/>
              <w:left w:w="120" w:type="dxa"/>
              <w:bottom w:w="80" w:type="dxa"/>
              <w:right w:w="120" w:type="dxa"/>
            </w:tcMar>
          </w:tcPr>
          <w:p w14:paraId="4B5EED50">
            <w:r>
              <w:rPr>
                <w:rFonts w:ascii="Arial" w:hAnsi="Arial" w:eastAsia="Arial" w:cs="Arial"/>
                <w:b/>
                <w:bCs/>
                <w:color w:val="1F3864"/>
                <w:sz w:val="20"/>
                <w:szCs w:val="20"/>
              </w:rPr>
              <w:t>Application Scope</w:t>
            </w:r>
          </w:p>
        </w:tc>
        <w:tc>
          <w:tcPr>
            <w:tcW w:w="6660" w:type="dxa"/>
            <w:tcBorders>
              <w:top w:val="single" w:color="CCCCCC" w:sz="4" w:space="0"/>
              <w:left w:val="single" w:color="CCCCCC" w:sz="4" w:space="0"/>
              <w:bottom w:val="single" w:color="CCCCCC" w:sz="4" w:space="0"/>
              <w:right w:val="single" w:color="CCCCCC" w:sz="4" w:space="0"/>
            </w:tcBorders>
            <w:shd w:val="clear" w:color="auto" w:fill="F7F9FD"/>
            <w:tcMar>
              <w:top w:w="80" w:type="dxa"/>
              <w:left w:w="120" w:type="dxa"/>
              <w:bottom w:w="80" w:type="dxa"/>
              <w:right w:w="120" w:type="dxa"/>
            </w:tcMar>
          </w:tcPr>
          <w:p w14:paraId="29A8F30B">
            <w:r>
              <w:rPr>
                <w:rFonts w:ascii="Arial" w:hAnsi="Arial" w:eastAsia="Arial" w:cs="Arial"/>
                <w:color w:val="595959"/>
                <w:sz w:val="20"/>
                <w:szCs w:val="20"/>
              </w:rPr>
              <w:t>Global</w:t>
            </w:r>
          </w:p>
        </w:tc>
      </w:tr>
      <w:tr w14:paraId="0E04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4" w:space="0"/>
              <w:left w:val="single" w:color="2E75B6" w:sz="4" w:space="0"/>
              <w:bottom w:val="single" w:color="CCCCCC" w:sz="4" w:space="0"/>
              <w:right w:val="single" w:color="CCCCCC" w:sz="4" w:space="0"/>
            </w:tcBorders>
            <w:shd w:val="clear" w:color="auto" w:fill="D9E2F3"/>
            <w:tcMar>
              <w:top w:w="80" w:type="dxa"/>
              <w:left w:w="120" w:type="dxa"/>
              <w:bottom w:w="80" w:type="dxa"/>
              <w:right w:w="120" w:type="dxa"/>
            </w:tcMar>
          </w:tcPr>
          <w:p w14:paraId="12134AB2">
            <w:r>
              <w:rPr>
                <w:rFonts w:ascii="Arial" w:hAnsi="Arial" w:eastAsia="Arial" w:cs="Arial"/>
                <w:b/>
                <w:bCs/>
                <w:color w:val="1F3864"/>
                <w:sz w:val="20"/>
                <w:szCs w:val="20"/>
              </w:rPr>
              <w:t>Active</w:t>
            </w:r>
          </w:p>
        </w:tc>
        <w:tc>
          <w:tcPr>
            <w:tcW w:w="6660" w:type="dxa"/>
            <w:tcBorders>
              <w:top w:val="single" w:color="CCCCCC" w:sz="4" w:space="0"/>
              <w:left w:val="single" w:color="CCCCCC" w:sz="4" w:space="0"/>
              <w:bottom w:val="single" w:color="CCCCCC" w:sz="4" w:space="0"/>
              <w:right w:val="single" w:color="CCCCCC" w:sz="4" w:space="0"/>
            </w:tcBorders>
            <w:shd w:val="clear" w:color="auto" w:fill="F7F9FD"/>
            <w:tcMar>
              <w:top w:w="80" w:type="dxa"/>
              <w:left w:w="120" w:type="dxa"/>
              <w:bottom w:w="80" w:type="dxa"/>
              <w:right w:w="120" w:type="dxa"/>
            </w:tcMar>
          </w:tcPr>
          <w:p w14:paraId="44E8D7F8">
            <w:r>
              <w:rPr>
                <w:rFonts w:ascii="Arial" w:hAnsi="Arial" w:eastAsia="Arial" w:cs="Arial"/>
                <w:color w:val="595959"/>
                <w:sz w:val="20"/>
                <w:szCs w:val="20"/>
              </w:rPr>
              <w:t>True</w:t>
            </w:r>
          </w:p>
        </w:tc>
      </w:tr>
    </w:tbl>
    <w:p w14:paraId="5E47EB0B">
      <w:pPr>
        <w:spacing w:before="80" w:after="0"/>
      </w:pPr>
    </w:p>
    <w:p w14:paraId="482D6965">
      <w:pPr>
        <w:pStyle w:val="3"/>
        <w:spacing w:before="220" w:after="80"/>
      </w:pPr>
      <w:r>
        <w:rPr>
          <w:rFonts w:ascii="Arial" w:hAnsi="Arial" w:eastAsia="Arial" w:cs="Arial"/>
          <w:b/>
          <w:bCs/>
          <w:color w:val="2E75B6"/>
          <w:sz w:val="24"/>
          <w:szCs w:val="24"/>
        </w:rPr>
        <w:t>4.3  Dot-Walking Configuration Design</w:t>
      </w:r>
    </w:p>
    <w:p w14:paraId="6CFC95CB">
      <w:pPr>
        <w:spacing w:before="60" w:after="100" w:line="276" w:lineRule="auto"/>
        <w:jc w:val="both"/>
      </w:pPr>
      <w:r>
        <w:rPr>
          <w:rFonts w:ascii="Arial" w:hAnsi="Arial" w:eastAsia="Arial" w:cs="Arial"/>
          <w:color w:val="595959"/>
          <w:sz w:val="22"/>
          <w:szCs w:val="22"/>
        </w:rPr>
        <w:t>The dot-walking design extends the native reference traversal capability of the ServiceNow platform to surface related data from the [sys_user] table directly on the Incident form. No new fields are added to either the [incident] or [sys_user] tables; instead, the form layout is configured to include virtual dot-walked display fields that are dynamically populated at render time.</w:t>
      </w:r>
    </w:p>
    <w:p w14:paraId="38165ED3">
      <w:pPr>
        <w:spacing w:before="80" w:after="0"/>
      </w:pPr>
    </w:p>
    <w:p w14:paraId="7C132191">
      <w:pPr>
        <w:pStyle w:val="2"/>
        <w:pBdr>
          <w:left w:val="single" w:color="2E75B6" w:sz="28" w:space="8"/>
        </w:pBdr>
        <w:spacing w:before="340" w:after="120"/>
      </w:pPr>
      <w:r>
        <w:rPr>
          <w:rFonts w:ascii="Arial" w:hAnsi="Arial" w:eastAsia="Arial" w:cs="Arial"/>
          <w:b/>
          <w:bCs/>
          <w:color w:val="1F3864"/>
          <w:sz w:val="28"/>
          <w:szCs w:val="28"/>
        </w:rPr>
        <w:t>5. USER INTERFACE DESIGN</w:t>
      </w:r>
    </w:p>
    <w:p w14:paraId="15882B61">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5.1  Incident Form Layout Design</w:t>
      </w:r>
    </w:p>
    <w:p w14:paraId="3B7F1876"/>
    <w:p w14:paraId="15ABB308">
      <w:pPr>
        <w:spacing w:before="60" w:after="100" w:line="360" w:lineRule="auto"/>
        <w:jc w:val="both"/>
        <w:rPr>
          <w:rFonts w:ascii="Arial" w:hAnsi="Arial" w:eastAsia="Arial" w:cs="Arial"/>
          <w:color w:val="595959"/>
          <w:sz w:val="22"/>
          <w:szCs w:val="22"/>
        </w:rPr>
      </w:pPr>
      <w:r>
        <w:rPr>
          <w:rFonts w:ascii="Arial" w:hAnsi="Arial" w:eastAsia="Arial" w:cs="Arial"/>
          <w:color w:val="595959"/>
          <w:sz w:val="22"/>
          <w:szCs w:val="22"/>
        </w:rPr>
        <w:t>The Incident form will be augmented with three read-only fields positioned in the Assignment Information section. The following wireframe description specifies the intended form layout following the configuration change. This representation conveys the structural intent of the design without prescribing an exact visual position, as form rendering may vary slightly across ServiceNow interface themes.</w:t>
      </w:r>
    </w:p>
    <w:p w14:paraId="1B1DAD51">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5.2  User Experience Flow Design</w:t>
      </w:r>
    </w:p>
    <w:p w14:paraId="1F443C92"/>
    <w:p w14:paraId="12E7194F">
      <w:pPr>
        <w:spacing w:before="60" w:after="100" w:line="360" w:lineRule="auto"/>
        <w:jc w:val="both"/>
      </w:pPr>
      <w:r>
        <w:rPr>
          <w:rFonts w:ascii="Arial" w:hAnsi="Arial" w:eastAsia="Arial" w:cs="Arial"/>
          <w:color w:val="595959"/>
          <w:sz w:val="22"/>
          <w:szCs w:val="22"/>
        </w:rPr>
        <w:t>The following sequence describes the interaction model for a service desk agent using the configured Incident form. This flow requires no additional agent training beyond awareness that the three fields are auto-populated — no manual data entry in those fields is expected or possible.</w:t>
      </w:r>
    </w:p>
    <w:p w14:paraId="42DA5EAA">
      <w:pPr>
        <w:spacing w:before="80" w:after="0"/>
      </w:pPr>
    </w:p>
    <w:tbl>
      <w:tblPr>
        <w:tblStyle w:val="9"/>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80"/>
        <w:gridCol w:w="9119"/>
      </w:tblGrid>
      <w:tr w14:paraId="4AE64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04" w:hRule="atLeast"/>
        </w:trPr>
        <w:tc>
          <w:tcPr>
            <w:tcW w:w="580" w:type="dxa"/>
            <w:tcBorders>
              <w:top w:val="nil"/>
              <w:left w:val="nil"/>
              <w:bottom w:val="single" w:color="FFFFFF" w:sz="4" w:space="0"/>
              <w:right w:val="nil"/>
            </w:tcBorders>
            <w:shd w:val="clear" w:color="auto" w:fill="2E75B6"/>
            <w:tcMar>
              <w:top w:w="80" w:type="dxa"/>
              <w:left w:w="80" w:type="dxa"/>
              <w:bottom w:w="80" w:type="dxa"/>
              <w:right w:w="80" w:type="dxa"/>
            </w:tcMar>
            <w:vAlign w:val="center"/>
          </w:tcPr>
          <w:p w14:paraId="49D6FA97">
            <w:pPr>
              <w:jc w:val="center"/>
            </w:pPr>
            <w:r>
              <w:rPr>
                <w:rFonts w:ascii="Arial" w:hAnsi="Arial" w:eastAsia="Arial" w:cs="Arial"/>
                <w:b/>
                <w:bCs/>
                <w:color w:val="FFFFFF"/>
                <w:sz w:val="24"/>
                <w:szCs w:val="24"/>
              </w:rPr>
              <w:t>1</w:t>
            </w:r>
          </w:p>
        </w:tc>
        <w:tc>
          <w:tcPr>
            <w:tcW w:w="9119" w:type="dxa"/>
            <w:tcBorders>
              <w:top w:val="single" w:color="D0DCF0" w:sz="4" w:space="0"/>
              <w:left w:val="single" w:color="D0DCF0" w:sz="4" w:space="0"/>
              <w:bottom w:val="single" w:color="D0DCF0" w:sz="4" w:space="0"/>
              <w:right w:val="nil"/>
            </w:tcBorders>
            <w:shd w:val="clear" w:color="auto" w:fill="D9E2F3"/>
            <w:tcMar>
              <w:top w:w="80" w:type="dxa"/>
              <w:left w:w="160" w:type="dxa"/>
              <w:bottom w:w="80" w:type="dxa"/>
              <w:right w:w="160" w:type="dxa"/>
            </w:tcMar>
          </w:tcPr>
          <w:p w14:paraId="6DEB50CD">
            <w:pPr>
              <w:spacing w:before="0" w:after="30"/>
            </w:pPr>
            <w:r>
              <w:rPr>
                <w:rFonts w:ascii="Arial" w:hAnsi="Arial" w:eastAsia="Arial" w:cs="Arial"/>
                <w:b/>
                <w:bCs/>
                <w:color w:val="1F3864"/>
                <w:sz w:val="20"/>
                <w:szCs w:val="20"/>
              </w:rPr>
              <w:t>Agent opens a new Incident record</w:t>
            </w:r>
          </w:p>
          <w:p w14:paraId="7FD2FE1D">
            <w:pPr>
              <w:spacing w:before="0" w:after="0"/>
            </w:pPr>
            <w:r>
              <w:rPr>
                <w:rFonts w:ascii="Arial" w:hAnsi="Arial" w:eastAsia="Arial" w:cs="Arial"/>
                <w:i/>
                <w:iCs/>
                <w:color w:val="595959"/>
                <w:sz w:val="19"/>
                <w:szCs w:val="19"/>
              </w:rPr>
              <w:t>The Incident form loads in its default view. The three dot-walked fields are visible but empty, as no user has been assigned yet.</w:t>
            </w:r>
          </w:p>
        </w:tc>
      </w:tr>
      <w:tr w14:paraId="711D6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04" w:hRule="atLeast"/>
        </w:trPr>
        <w:tc>
          <w:tcPr>
            <w:tcW w:w="580" w:type="dxa"/>
            <w:tcBorders>
              <w:top w:val="nil"/>
              <w:left w:val="nil"/>
              <w:bottom w:val="single" w:color="FFFFFF" w:sz="4" w:space="0"/>
              <w:right w:val="nil"/>
            </w:tcBorders>
            <w:shd w:val="clear" w:color="auto" w:fill="2E75B6"/>
            <w:tcMar>
              <w:top w:w="80" w:type="dxa"/>
              <w:left w:w="80" w:type="dxa"/>
              <w:bottom w:w="80" w:type="dxa"/>
              <w:right w:w="80" w:type="dxa"/>
            </w:tcMar>
            <w:vAlign w:val="center"/>
          </w:tcPr>
          <w:p w14:paraId="513E5750">
            <w:pPr>
              <w:jc w:val="center"/>
            </w:pPr>
            <w:r>
              <w:rPr>
                <w:rFonts w:ascii="Arial" w:hAnsi="Arial" w:eastAsia="Arial" w:cs="Arial"/>
                <w:b/>
                <w:bCs/>
                <w:color w:val="FFFFFF"/>
                <w:sz w:val="24"/>
                <w:szCs w:val="24"/>
              </w:rPr>
              <w:t>2</w:t>
            </w:r>
          </w:p>
        </w:tc>
        <w:tc>
          <w:tcPr>
            <w:tcW w:w="9119" w:type="dxa"/>
            <w:tcBorders>
              <w:top w:val="single" w:color="D0DCF0" w:sz="4" w:space="0"/>
              <w:left w:val="single" w:color="D0DCF0" w:sz="4" w:space="0"/>
              <w:bottom w:val="single" w:color="D0DCF0" w:sz="4" w:space="0"/>
              <w:right w:val="nil"/>
            </w:tcBorders>
            <w:shd w:val="clear" w:color="auto" w:fill="EEF3FA"/>
            <w:tcMar>
              <w:top w:w="80" w:type="dxa"/>
              <w:left w:w="160" w:type="dxa"/>
              <w:bottom w:w="80" w:type="dxa"/>
              <w:right w:w="160" w:type="dxa"/>
            </w:tcMar>
          </w:tcPr>
          <w:p w14:paraId="55CE9AE9">
            <w:pPr>
              <w:spacing w:before="0" w:after="30"/>
            </w:pPr>
            <w:r>
              <w:rPr>
                <w:rFonts w:ascii="Arial" w:hAnsi="Arial" w:eastAsia="Arial" w:cs="Arial"/>
                <w:b/>
                <w:bCs/>
                <w:color w:val="1F3864"/>
                <w:sz w:val="20"/>
                <w:szCs w:val="20"/>
              </w:rPr>
              <w:t>Agent populates the 'Assigned to' field</w:t>
            </w:r>
          </w:p>
          <w:p w14:paraId="4AD1A59E">
            <w:pPr>
              <w:spacing w:before="0" w:after="0"/>
            </w:pPr>
            <w:r>
              <w:rPr>
                <w:rFonts w:ascii="Arial" w:hAnsi="Arial" w:eastAsia="Arial" w:cs="Arial"/>
                <w:i/>
                <w:iCs/>
                <w:color w:val="595959"/>
                <w:sz w:val="19"/>
                <w:szCs w:val="19"/>
              </w:rPr>
              <w:t>The agent types a name or uses the reference lookup to select a user from [sys_user]. The user must be one whose record has Department, Email, and Manager populated.</w:t>
            </w:r>
          </w:p>
        </w:tc>
      </w:tr>
      <w:tr w14:paraId="4F448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04" w:hRule="atLeast"/>
        </w:trPr>
        <w:tc>
          <w:tcPr>
            <w:tcW w:w="580" w:type="dxa"/>
            <w:tcBorders>
              <w:top w:val="nil"/>
              <w:left w:val="nil"/>
              <w:bottom w:val="single" w:color="FFFFFF" w:sz="4" w:space="0"/>
              <w:right w:val="nil"/>
            </w:tcBorders>
            <w:shd w:val="clear" w:color="auto" w:fill="2E75B6"/>
            <w:tcMar>
              <w:top w:w="80" w:type="dxa"/>
              <w:left w:w="80" w:type="dxa"/>
              <w:bottom w:w="80" w:type="dxa"/>
              <w:right w:w="80" w:type="dxa"/>
            </w:tcMar>
            <w:vAlign w:val="center"/>
          </w:tcPr>
          <w:p w14:paraId="13E303F5">
            <w:pPr>
              <w:jc w:val="center"/>
            </w:pPr>
            <w:r>
              <w:rPr>
                <w:rFonts w:ascii="Arial" w:hAnsi="Arial" w:eastAsia="Arial" w:cs="Arial"/>
                <w:b/>
                <w:bCs/>
                <w:color w:val="FFFFFF"/>
                <w:sz w:val="24"/>
                <w:szCs w:val="24"/>
              </w:rPr>
              <w:t>3</w:t>
            </w:r>
          </w:p>
        </w:tc>
        <w:tc>
          <w:tcPr>
            <w:tcW w:w="9119" w:type="dxa"/>
            <w:tcBorders>
              <w:top w:val="single" w:color="D0DCF0" w:sz="4" w:space="0"/>
              <w:left w:val="single" w:color="D0DCF0" w:sz="4" w:space="0"/>
              <w:bottom w:val="single" w:color="D0DCF0" w:sz="4" w:space="0"/>
              <w:right w:val="nil"/>
            </w:tcBorders>
            <w:shd w:val="clear" w:color="auto" w:fill="D9E2F3"/>
            <w:tcMar>
              <w:top w:w="80" w:type="dxa"/>
              <w:left w:w="160" w:type="dxa"/>
              <w:bottom w:w="80" w:type="dxa"/>
              <w:right w:w="160" w:type="dxa"/>
            </w:tcMar>
          </w:tcPr>
          <w:p w14:paraId="72672892">
            <w:pPr>
              <w:spacing w:before="0" w:after="30"/>
            </w:pPr>
            <w:r>
              <w:rPr>
                <w:rFonts w:ascii="Arial" w:hAnsi="Arial" w:eastAsia="Arial" w:cs="Arial"/>
                <w:b/>
                <w:bCs/>
                <w:color w:val="1F3864"/>
                <w:sz w:val="20"/>
                <w:szCs w:val="20"/>
              </w:rPr>
              <w:t>Platform evaluates the reference change</w:t>
            </w:r>
          </w:p>
          <w:p w14:paraId="03CE5104">
            <w:pPr>
              <w:spacing w:before="0" w:after="0"/>
            </w:pPr>
            <w:r>
              <w:rPr>
                <w:rFonts w:ascii="Arial" w:hAnsi="Arial" w:eastAsia="Arial" w:cs="Arial"/>
                <w:i/>
                <w:iCs/>
                <w:color w:val="595959"/>
                <w:sz w:val="19"/>
                <w:szCs w:val="19"/>
              </w:rPr>
              <w:t>Upon selection, the form's native onChange behaviour for reference fields triggers a re-evaluation of all dot-walked dependent fields.</w:t>
            </w:r>
          </w:p>
        </w:tc>
      </w:tr>
      <w:tr w14:paraId="761C6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58" w:hRule="atLeast"/>
        </w:trPr>
        <w:tc>
          <w:tcPr>
            <w:tcW w:w="580" w:type="dxa"/>
            <w:tcBorders>
              <w:top w:val="nil"/>
              <w:left w:val="nil"/>
              <w:bottom w:val="single" w:color="FFFFFF" w:sz="4" w:space="0"/>
              <w:right w:val="nil"/>
            </w:tcBorders>
            <w:shd w:val="clear" w:color="auto" w:fill="2E75B6"/>
            <w:tcMar>
              <w:top w:w="80" w:type="dxa"/>
              <w:left w:w="80" w:type="dxa"/>
              <w:bottom w:w="80" w:type="dxa"/>
              <w:right w:w="80" w:type="dxa"/>
            </w:tcMar>
            <w:vAlign w:val="center"/>
          </w:tcPr>
          <w:p w14:paraId="5BE22AFF">
            <w:pPr>
              <w:jc w:val="center"/>
            </w:pPr>
            <w:r>
              <w:rPr>
                <w:rFonts w:ascii="Arial" w:hAnsi="Arial" w:eastAsia="Arial" w:cs="Arial"/>
                <w:b/>
                <w:bCs/>
                <w:color w:val="FFFFFF"/>
                <w:sz w:val="24"/>
                <w:szCs w:val="24"/>
              </w:rPr>
              <w:t>4</w:t>
            </w:r>
          </w:p>
        </w:tc>
        <w:tc>
          <w:tcPr>
            <w:tcW w:w="9119" w:type="dxa"/>
            <w:tcBorders>
              <w:top w:val="single" w:color="D0DCF0" w:sz="4" w:space="0"/>
              <w:left w:val="single" w:color="D0DCF0" w:sz="4" w:space="0"/>
              <w:bottom w:val="single" w:color="D0DCF0" w:sz="4" w:space="0"/>
              <w:right w:val="nil"/>
            </w:tcBorders>
            <w:shd w:val="clear" w:color="auto" w:fill="EEF3FA"/>
            <w:tcMar>
              <w:top w:w="80" w:type="dxa"/>
              <w:left w:w="160" w:type="dxa"/>
              <w:bottom w:w="80" w:type="dxa"/>
              <w:right w:w="160" w:type="dxa"/>
            </w:tcMar>
          </w:tcPr>
          <w:p w14:paraId="546D7BBA">
            <w:pPr>
              <w:spacing w:before="0" w:after="30"/>
            </w:pPr>
            <w:r>
              <w:rPr>
                <w:rFonts w:ascii="Arial" w:hAnsi="Arial" w:eastAsia="Arial" w:cs="Arial"/>
                <w:b/>
                <w:bCs/>
                <w:color w:val="1F3864"/>
                <w:sz w:val="20"/>
                <w:szCs w:val="20"/>
              </w:rPr>
              <w:t>Dot-walked fields populate automatically</w:t>
            </w:r>
          </w:p>
          <w:p w14:paraId="416D5E0B">
            <w:pPr>
              <w:spacing w:before="0" w:after="0"/>
            </w:pPr>
            <w:r>
              <w:rPr>
                <w:rFonts w:ascii="Arial" w:hAnsi="Arial" w:eastAsia="Arial" w:cs="Arial"/>
                <w:i/>
                <w:iCs/>
                <w:color w:val="595959"/>
                <w:sz w:val="19"/>
                <w:szCs w:val="19"/>
              </w:rPr>
              <w:t>The three fields — Assigned to Department, Assigned to Email, and Assigned to Manager — are populated with values traversed from the selected user's [sys_user] record. No additional action is required from the agent.</w:t>
            </w:r>
          </w:p>
        </w:tc>
      </w:tr>
      <w:tr w14:paraId="71431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58" w:hRule="atLeast"/>
        </w:trPr>
        <w:tc>
          <w:tcPr>
            <w:tcW w:w="580" w:type="dxa"/>
            <w:tcBorders>
              <w:top w:val="nil"/>
              <w:left w:val="nil"/>
              <w:bottom w:val="single" w:color="FFFFFF" w:sz="4" w:space="0"/>
              <w:right w:val="nil"/>
            </w:tcBorders>
            <w:shd w:val="clear" w:color="auto" w:fill="2E75B6"/>
            <w:tcMar>
              <w:top w:w="80" w:type="dxa"/>
              <w:left w:w="80" w:type="dxa"/>
              <w:bottom w:w="80" w:type="dxa"/>
              <w:right w:w="80" w:type="dxa"/>
            </w:tcMar>
            <w:vAlign w:val="center"/>
          </w:tcPr>
          <w:p w14:paraId="1E68D4AC">
            <w:pPr>
              <w:jc w:val="center"/>
            </w:pPr>
            <w:r>
              <w:rPr>
                <w:rFonts w:ascii="Arial" w:hAnsi="Arial" w:eastAsia="Arial" w:cs="Arial"/>
                <w:b/>
                <w:bCs/>
                <w:color w:val="FFFFFF"/>
                <w:sz w:val="24"/>
                <w:szCs w:val="24"/>
              </w:rPr>
              <w:t>5</w:t>
            </w:r>
          </w:p>
        </w:tc>
        <w:tc>
          <w:tcPr>
            <w:tcW w:w="9119" w:type="dxa"/>
            <w:tcBorders>
              <w:top w:val="single" w:color="D0DCF0" w:sz="4" w:space="0"/>
              <w:left w:val="single" w:color="D0DCF0" w:sz="4" w:space="0"/>
              <w:bottom w:val="single" w:color="D0DCF0" w:sz="4" w:space="0"/>
              <w:right w:val="nil"/>
            </w:tcBorders>
            <w:shd w:val="clear" w:color="auto" w:fill="D9E2F3"/>
            <w:tcMar>
              <w:top w:w="80" w:type="dxa"/>
              <w:left w:w="160" w:type="dxa"/>
              <w:bottom w:w="80" w:type="dxa"/>
              <w:right w:w="160" w:type="dxa"/>
            </w:tcMar>
          </w:tcPr>
          <w:p w14:paraId="2190D7B0">
            <w:pPr>
              <w:spacing w:before="0" w:after="30"/>
            </w:pPr>
            <w:r>
              <w:rPr>
                <w:rFonts w:ascii="Arial" w:hAnsi="Arial" w:eastAsia="Arial" w:cs="Arial"/>
                <w:b/>
                <w:bCs/>
                <w:color w:val="1F3864"/>
                <w:sz w:val="20"/>
                <w:szCs w:val="20"/>
              </w:rPr>
              <w:t>Agent reads contextual data inline</w:t>
            </w:r>
          </w:p>
          <w:p w14:paraId="0B3B0A5D">
            <w:pPr>
              <w:spacing w:before="0" w:after="0"/>
            </w:pPr>
            <w:r>
              <w:rPr>
                <w:rFonts w:ascii="Arial" w:hAnsi="Arial" w:eastAsia="Arial" w:cs="Arial"/>
                <w:i/>
                <w:iCs/>
                <w:color w:val="595959"/>
                <w:sz w:val="19"/>
                <w:szCs w:val="19"/>
              </w:rPr>
              <w:t>The agent can immediately see the assigned user's department, email, and manager without navigating to the User record. This reduces lookup time and supports faster incident triage and escalation decisions.</w:t>
            </w:r>
          </w:p>
        </w:tc>
      </w:tr>
      <w:tr w14:paraId="51889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70" w:hRule="atLeast"/>
        </w:trPr>
        <w:tc>
          <w:tcPr>
            <w:tcW w:w="580" w:type="dxa"/>
            <w:tcBorders>
              <w:top w:val="nil"/>
              <w:left w:val="nil"/>
              <w:bottom w:val="nil"/>
              <w:right w:val="nil"/>
            </w:tcBorders>
            <w:shd w:val="clear" w:color="auto" w:fill="548235"/>
            <w:tcMar>
              <w:top w:w="80" w:type="dxa"/>
              <w:left w:w="80" w:type="dxa"/>
              <w:bottom w:w="80" w:type="dxa"/>
              <w:right w:w="80" w:type="dxa"/>
            </w:tcMar>
            <w:vAlign w:val="center"/>
          </w:tcPr>
          <w:p w14:paraId="28BEE7C2">
            <w:pPr>
              <w:jc w:val="center"/>
            </w:pPr>
            <w:r>
              <w:rPr>
                <w:rFonts w:ascii="Arial" w:hAnsi="Arial" w:eastAsia="Arial" w:cs="Arial"/>
                <w:b/>
                <w:bCs/>
                <w:color w:val="FFFFFF"/>
                <w:sz w:val="24"/>
                <w:szCs w:val="24"/>
              </w:rPr>
              <w:t>6</w:t>
            </w:r>
          </w:p>
        </w:tc>
        <w:tc>
          <w:tcPr>
            <w:tcW w:w="9119" w:type="dxa"/>
            <w:tcBorders>
              <w:top w:val="single" w:color="D0DCF0" w:sz="4" w:space="0"/>
              <w:left w:val="single" w:color="D0DCF0" w:sz="4" w:space="0"/>
              <w:bottom w:val="single" w:color="D0DCF0" w:sz="4" w:space="0"/>
              <w:right w:val="nil"/>
            </w:tcBorders>
            <w:shd w:val="clear" w:color="auto" w:fill="EEF3FA"/>
            <w:tcMar>
              <w:top w:w="80" w:type="dxa"/>
              <w:left w:w="160" w:type="dxa"/>
              <w:bottom w:w="80" w:type="dxa"/>
              <w:right w:w="160" w:type="dxa"/>
            </w:tcMar>
          </w:tcPr>
          <w:p w14:paraId="3E4DC970">
            <w:pPr>
              <w:spacing w:before="0" w:after="30"/>
            </w:pPr>
            <w:r>
              <w:rPr>
                <w:rFonts w:ascii="Arial" w:hAnsi="Arial" w:eastAsia="Arial" w:cs="Arial"/>
                <w:b/>
                <w:bCs/>
                <w:color w:val="1F3864"/>
                <w:sz w:val="20"/>
                <w:szCs w:val="20"/>
              </w:rPr>
              <w:t>Agent saves the Incident</w:t>
            </w:r>
          </w:p>
          <w:p w14:paraId="6D0D7DA9">
            <w:pPr>
              <w:spacing w:before="0" w:after="0"/>
            </w:pPr>
            <w:r>
              <w:rPr>
                <w:rFonts w:ascii="Arial" w:hAnsi="Arial" w:eastAsia="Arial" w:cs="Arial"/>
                <w:i/>
                <w:iCs/>
                <w:color w:val="595959"/>
                <w:sz w:val="19"/>
                <w:szCs w:val="19"/>
              </w:rPr>
              <w:t>The Incident is saved with the selected assigned user. The dot-walked fields are not stored as independent Incident field values; they will re-derive from the User record on each subsequent form load.</w:t>
            </w:r>
          </w:p>
        </w:tc>
      </w:tr>
    </w:tbl>
    <w:p w14:paraId="58A71C0B">
      <w:pPr>
        <w:spacing w:before="80" w:after="0"/>
      </w:pPr>
    </w:p>
    <w:p w14:paraId="5F9BFF5C">
      <w:pPr>
        <w:pBdr>
          <w:bottom w:val="single" w:color="D0D8E8" w:sz="6" w:space="1"/>
        </w:pBdr>
        <w:spacing w:before="120" w:after="120"/>
      </w:pPr>
    </w:p>
    <w:p w14:paraId="26EA7880">
      <w:pPr>
        <w:pStyle w:val="2"/>
        <w:pBdr>
          <w:left w:val="single" w:color="2E75B6" w:sz="28" w:space="8"/>
        </w:pBdr>
        <w:spacing w:before="340" w:after="120"/>
      </w:pPr>
      <w:r>
        <w:rPr>
          <w:rFonts w:ascii="Arial" w:hAnsi="Arial" w:eastAsia="Arial" w:cs="Arial"/>
          <w:b/>
          <w:bCs/>
          <w:color w:val="1F3864"/>
          <w:sz w:val="28"/>
          <w:szCs w:val="28"/>
        </w:rPr>
        <w:t>6. INTEGRATION DESIGN</w:t>
      </w:r>
    </w:p>
    <w:p w14:paraId="758DF837">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B5A4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nil"/>
              <w:left w:val="nil"/>
              <w:bottom w:val="nil"/>
              <w:right w:val="single" w:color="2E75B6" w:sz="4" w:space="0"/>
            </w:tcBorders>
            <w:shd w:val="clear" w:color="auto" w:fill="1F3864"/>
            <w:tcMar>
              <w:top w:w="80" w:type="dxa"/>
              <w:left w:w="120" w:type="dxa"/>
              <w:bottom w:w="80" w:type="dxa"/>
              <w:right w:w="120" w:type="dxa"/>
            </w:tcMar>
          </w:tcPr>
          <w:p w14:paraId="7D180743">
            <w:r>
              <w:rPr>
                <w:rFonts w:ascii="Arial" w:hAnsi="Arial" w:eastAsia="Arial" w:cs="Arial"/>
                <w:b/>
                <w:bCs/>
                <w:color w:val="FFFFFF"/>
                <w:sz w:val="19"/>
                <w:szCs w:val="19"/>
              </w:rPr>
              <w:t>Integration Attribute</w:t>
            </w:r>
          </w:p>
        </w:tc>
        <w:tc>
          <w:tcPr>
            <w:tcW w:w="6360" w:type="dxa"/>
            <w:tcBorders>
              <w:top w:val="nil"/>
              <w:left w:val="nil"/>
              <w:bottom w:val="nil"/>
              <w:right w:val="nil"/>
            </w:tcBorders>
            <w:shd w:val="clear" w:color="auto" w:fill="1F3864"/>
            <w:tcMar>
              <w:top w:w="80" w:type="dxa"/>
              <w:left w:w="120" w:type="dxa"/>
              <w:bottom w:w="80" w:type="dxa"/>
              <w:right w:w="120" w:type="dxa"/>
            </w:tcMar>
          </w:tcPr>
          <w:p w14:paraId="159B42BD">
            <w:r>
              <w:rPr>
                <w:rFonts w:ascii="Arial" w:hAnsi="Arial" w:eastAsia="Arial" w:cs="Arial"/>
                <w:b/>
                <w:bCs/>
                <w:color w:val="FFFFFF"/>
                <w:sz w:val="19"/>
                <w:szCs w:val="19"/>
              </w:rPr>
              <w:t>Design Specification</w:t>
            </w:r>
          </w:p>
        </w:tc>
      </w:tr>
      <w:tr w14:paraId="479AE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5177A364">
            <w:r>
              <w:rPr>
                <w:rFonts w:ascii="Arial" w:hAnsi="Arial" w:eastAsia="Arial" w:cs="Arial"/>
                <w:b/>
                <w:bCs/>
                <w:color w:val="595959"/>
                <w:sz w:val="19"/>
                <w:szCs w:val="19"/>
              </w:rPr>
              <w:t>Integration Type</w:t>
            </w:r>
          </w:p>
        </w:tc>
        <w:tc>
          <w:tcPr>
            <w:tcW w:w="636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39F823C0">
            <w:r>
              <w:rPr>
                <w:rFonts w:ascii="Arial" w:hAnsi="Arial" w:eastAsia="Arial" w:cs="Arial"/>
                <w:b w:val="0"/>
                <w:bCs w:val="0"/>
                <w:color w:val="595959"/>
                <w:sz w:val="19"/>
                <w:szCs w:val="19"/>
              </w:rPr>
              <w:t>Manual file upload. No API, middleware, or real-time connection.</w:t>
            </w:r>
          </w:p>
        </w:tc>
      </w:tr>
      <w:tr w14:paraId="16D80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55D8420E">
            <w:r>
              <w:rPr>
                <w:rFonts w:ascii="Arial" w:hAnsi="Arial" w:eastAsia="Arial" w:cs="Arial"/>
                <w:b/>
                <w:bCs/>
                <w:color w:val="595959"/>
                <w:sz w:val="19"/>
                <w:szCs w:val="19"/>
              </w:rPr>
              <w:t>Protocol</w:t>
            </w:r>
          </w:p>
        </w:tc>
        <w:tc>
          <w:tcPr>
            <w:tcW w:w="636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28B8CDA4">
            <w:r>
              <w:rPr>
                <w:rFonts w:ascii="Arial" w:hAnsi="Arial" w:eastAsia="Arial" w:cs="Arial"/>
                <w:b w:val="0"/>
                <w:bCs w:val="0"/>
                <w:color w:val="595959"/>
                <w:sz w:val="19"/>
                <w:szCs w:val="19"/>
              </w:rPr>
              <w:t>Not applicable. Data is delivered as a static file through the ServiceNow browser-based Import Sets interface.</w:t>
            </w:r>
          </w:p>
        </w:tc>
      </w:tr>
      <w:tr w14:paraId="2F31E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2AE48983">
            <w:r>
              <w:rPr>
                <w:rFonts w:ascii="Arial" w:hAnsi="Arial" w:eastAsia="Arial" w:cs="Arial"/>
                <w:b/>
                <w:bCs/>
                <w:color w:val="595959"/>
                <w:sz w:val="19"/>
                <w:szCs w:val="19"/>
              </w:rPr>
              <w:t>Source System</w:t>
            </w:r>
          </w:p>
        </w:tc>
        <w:tc>
          <w:tcPr>
            <w:tcW w:w="636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690D6682">
            <w:r>
              <w:rPr>
                <w:rFonts w:ascii="Arial" w:hAnsi="Arial" w:eastAsia="Arial" w:cs="Arial"/>
                <w:b w:val="0"/>
                <w:bCs w:val="0"/>
                <w:color w:val="595959"/>
                <w:sz w:val="19"/>
                <w:szCs w:val="19"/>
              </w:rPr>
              <w:t>External — any system capable of generating a CSV or Excel file conforming to the source schema defined in Section 3.1.</w:t>
            </w:r>
          </w:p>
        </w:tc>
      </w:tr>
      <w:tr w14:paraId="167EE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494E6460">
            <w:r>
              <w:rPr>
                <w:rFonts w:ascii="Arial" w:hAnsi="Arial" w:eastAsia="Arial" w:cs="Arial"/>
                <w:b/>
                <w:bCs/>
                <w:color w:val="595959"/>
                <w:sz w:val="19"/>
                <w:szCs w:val="19"/>
              </w:rPr>
              <w:t>Trigger Mechanism</w:t>
            </w:r>
          </w:p>
        </w:tc>
        <w:tc>
          <w:tcPr>
            <w:tcW w:w="636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26EB8B2E">
            <w:r>
              <w:rPr>
                <w:rFonts w:ascii="Arial" w:hAnsi="Arial" w:eastAsia="Arial" w:cs="Arial"/>
                <w:b w:val="0"/>
                <w:bCs w:val="0"/>
                <w:color w:val="595959"/>
                <w:sz w:val="19"/>
                <w:szCs w:val="19"/>
              </w:rPr>
              <w:t>Administrator-initiated. An authorised user manually uploads the file and initiates the transformation. No event-driven or scheduled trigger is included in scope.</w:t>
            </w:r>
          </w:p>
        </w:tc>
      </w:tr>
      <w:tr w14:paraId="158D2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31F54568">
            <w:r>
              <w:rPr>
                <w:rFonts w:ascii="Arial" w:hAnsi="Arial" w:eastAsia="Arial" w:cs="Arial"/>
                <w:b/>
                <w:bCs/>
                <w:color w:val="595959"/>
                <w:sz w:val="19"/>
                <w:szCs w:val="19"/>
              </w:rPr>
              <w:t>Frequency</w:t>
            </w:r>
          </w:p>
        </w:tc>
        <w:tc>
          <w:tcPr>
            <w:tcW w:w="636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6EE62286">
            <w:r>
              <w:rPr>
                <w:rFonts w:ascii="Arial" w:hAnsi="Arial" w:eastAsia="Arial" w:cs="Arial"/>
                <w:b w:val="0"/>
                <w:bCs w:val="0"/>
                <w:color w:val="595959"/>
                <w:sz w:val="19"/>
                <w:szCs w:val="19"/>
              </w:rPr>
              <w:t>Ad-hoc. The import will be performed as needed, typically for initial data population or when new employee records become available.</w:t>
            </w:r>
          </w:p>
        </w:tc>
      </w:tr>
      <w:tr w14:paraId="64A56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2EAEE030">
            <w:r>
              <w:rPr>
                <w:rFonts w:ascii="Arial" w:hAnsi="Arial" w:eastAsia="Arial" w:cs="Arial"/>
                <w:b/>
                <w:bCs/>
                <w:color w:val="595959"/>
                <w:sz w:val="19"/>
                <w:szCs w:val="19"/>
              </w:rPr>
              <w:t>Authentication</w:t>
            </w:r>
          </w:p>
        </w:tc>
        <w:tc>
          <w:tcPr>
            <w:tcW w:w="636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482238AE">
            <w:r>
              <w:rPr>
                <w:rFonts w:ascii="Arial" w:hAnsi="Arial" w:eastAsia="Arial" w:cs="Arial"/>
                <w:b w:val="0"/>
                <w:bCs w:val="0"/>
                <w:color w:val="595959"/>
                <w:sz w:val="19"/>
                <w:szCs w:val="19"/>
              </w:rPr>
              <w:t>Implicit. File uploads occur within an active authenticated ServiceNow session. No external system credentials are required, and no API keys or tokens are exchanged.</w:t>
            </w:r>
          </w:p>
        </w:tc>
      </w:tr>
      <w:tr w14:paraId="4D9CF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23303869">
            <w:r>
              <w:rPr>
                <w:rFonts w:ascii="Arial" w:hAnsi="Arial" w:eastAsia="Arial" w:cs="Arial"/>
                <w:b/>
                <w:bCs/>
                <w:color w:val="595959"/>
                <w:sz w:val="19"/>
                <w:szCs w:val="19"/>
              </w:rPr>
              <w:t>Error Propagation</w:t>
            </w:r>
          </w:p>
        </w:tc>
        <w:tc>
          <w:tcPr>
            <w:tcW w:w="636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5B806567">
            <w:r>
              <w:rPr>
                <w:rFonts w:ascii="Arial" w:hAnsi="Arial" w:eastAsia="Arial" w:cs="Arial"/>
                <w:b w:val="0"/>
                <w:bCs w:val="0"/>
                <w:color w:val="595959"/>
                <w:sz w:val="19"/>
                <w:szCs w:val="19"/>
              </w:rPr>
              <w:t>Transform errors are surfaced in the Transform History record within the ServiceNow UI. No external notification, alerting, or error queue is designed.</w:t>
            </w:r>
          </w:p>
        </w:tc>
      </w:tr>
      <w:tr w14:paraId="04971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20FAB27A">
            <w:r>
              <w:rPr>
                <w:rFonts w:ascii="Arial" w:hAnsi="Arial" w:eastAsia="Arial" w:cs="Arial"/>
                <w:b/>
                <w:bCs/>
                <w:color w:val="595959"/>
                <w:sz w:val="19"/>
                <w:szCs w:val="19"/>
              </w:rPr>
              <w:t>Data Volume</w:t>
            </w:r>
          </w:p>
        </w:tc>
        <w:tc>
          <w:tcPr>
            <w:tcW w:w="636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43484EA5">
            <w:r>
              <w:rPr>
                <w:rFonts w:ascii="Arial" w:hAnsi="Arial" w:eastAsia="Arial" w:cs="Arial"/>
                <w:b w:val="0"/>
                <w:bCs w:val="0"/>
                <w:color w:val="595959"/>
                <w:sz w:val="19"/>
                <w:szCs w:val="19"/>
              </w:rPr>
              <w:t>Low volume. The design is optimised for small batches of employee records (tens to hundreds of records). High-volume imports are outside the design scope.</w:t>
            </w:r>
          </w:p>
        </w:tc>
      </w:tr>
    </w:tbl>
    <w:p w14:paraId="7D8776EB">
      <w:pPr>
        <w:pStyle w:val="2"/>
        <w:pBdr>
          <w:left w:val="single" w:color="2E75B6" w:sz="28" w:space="8"/>
        </w:pBdr>
        <w:spacing w:before="340" w:after="120"/>
      </w:pPr>
      <w:r>
        <w:rPr>
          <w:rFonts w:ascii="Arial" w:hAnsi="Arial" w:eastAsia="Arial" w:cs="Arial"/>
          <w:b/>
          <w:bCs/>
          <w:color w:val="1F3864"/>
          <w:sz w:val="28"/>
          <w:szCs w:val="28"/>
        </w:rPr>
        <w:t>7. SECURITY &amp; ACCESS DESIGN</w:t>
      </w:r>
    </w:p>
    <w:p w14:paraId="2C082BF4">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88"/>
        <w:gridCol w:w="2331"/>
        <w:gridCol w:w="2331"/>
        <w:gridCol w:w="2510"/>
      </w:tblGrid>
      <w:tr w14:paraId="037F3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nil"/>
              <w:left w:val="nil"/>
              <w:bottom w:val="nil"/>
              <w:right w:val="single" w:color="2E75B6" w:sz="4" w:space="0"/>
            </w:tcBorders>
            <w:shd w:val="clear" w:color="auto" w:fill="1F3864"/>
            <w:tcMar>
              <w:top w:w="80" w:type="dxa"/>
              <w:left w:w="120" w:type="dxa"/>
              <w:bottom w:w="80" w:type="dxa"/>
              <w:right w:w="120" w:type="dxa"/>
            </w:tcMar>
          </w:tcPr>
          <w:p w14:paraId="6EFF6C70">
            <w:r>
              <w:rPr>
                <w:rFonts w:ascii="Arial" w:hAnsi="Arial" w:eastAsia="Arial" w:cs="Arial"/>
                <w:b/>
                <w:bCs/>
                <w:color w:val="FFFFFF"/>
                <w:sz w:val="19"/>
                <w:szCs w:val="19"/>
              </w:rPr>
              <w:t>Component</w:t>
            </w:r>
          </w:p>
        </w:tc>
        <w:tc>
          <w:tcPr>
            <w:tcW w:w="2000" w:type="dxa"/>
            <w:tcBorders>
              <w:top w:val="nil"/>
              <w:left w:val="nil"/>
              <w:bottom w:val="nil"/>
              <w:right w:val="single" w:color="2E75B6" w:sz="4" w:space="0"/>
            </w:tcBorders>
            <w:shd w:val="clear" w:color="auto" w:fill="1F3864"/>
            <w:tcMar>
              <w:top w:w="80" w:type="dxa"/>
              <w:left w:w="120" w:type="dxa"/>
              <w:bottom w:w="80" w:type="dxa"/>
              <w:right w:w="120" w:type="dxa"/>
            </w:tcMar>
          </w:tcPr>
          <w:p w14:paraId="5E334475">
            <w:r>
              <w:rPr>
                <w:rFonts w:ascii="Arial" w:hAnsi="Arial" w:eastAsia="Arial" w:cs="Arial"/>
                <w:b/>
                <w:bCs/>
                <w:color w:val="FFFFFF"/>
                <w:sz w:val="19"/>
                <w:szCs w:val="19"/>
              </w:rPr>
              <w:t>Read Access</w:t>
            </w:r>
          </w:p>
        </w:tc>
        <w:tc>
          <w:tcPr>
            <w:tcW w:w="2200" w:type="dxa"/>
            <w:tcBorders>
              <w:top w:val="nil"/>
              <w:left w:val="nil"/>
              <w:bottom w:val="nil"/>
              <w:right w:val="single" w:color="2E75B6" w:sz="4" w:space="0"/>
            </w:tcBorders>
            <w:shd w:val="clear" w:color="auto" w:fill="1F3864"/>
            <w:tcMar>
              <w:top w:w="80" w:type="dxa"/>
              <w:left w:w="120" w:type="dxa"/>
              <w:bottom w:w="80" w:type="dxa"/>
              <w:right w:w="120" w:type="dxa"/>
            </w:tcMar>
          </w:tcPr>
          <w:p w14:paraId="2D935770">
            <w:r>
              <w:rPr>
                <w:rFonts w:ascii="Arial" w:hAnsi="Arial" w:eastAsia="Arial" w:cs="Arial"/>
                <w:b/>
                <w:bCs/>
                <w:color w:val="FFFFFF"/>
                <w:sz w:val="19"/>
                <w:szCs w:val="19"/>
              </w:rPr>
              <w:t>Write / Execute Access</w:t>
            </w:r>
          </w:p>
        </w:tc>
        <w:tc>
          <w:tcPr>
            <w:tcW w:w="2960" w:type="dxa"/>
            <w:tcBorders>
              <w:top w:val="nil"/>
              <w:left w:val="nil"/>
              <w:bottom w:val="nil"/>
              <w:right w:val="nil"/>
            </w:tcBorders>
            <w:shd w:val="clear" w:color="auto" w:fill="1F3864"/>
            <w:tcMar>
              <w:top w:w="80" w:type="dxa"/>
              <w:left w:w="120" w:type="dxa"/>
              <w:bottom w:w="80" w:type="dxa"/>
              <w:right w:w="120" w:type="dxa"/>
            </w:tcMar>
          </w:tcPr>
          <w:p w14:paraId="7CC61917">
            <w:r>
              <w:rPr>
                <w:rFonts w:ascii="Arial" w:hAnsi="Arial" w:eastAsia="Arial" w:cs="Arial"/>
                <w:b/>
                <w:bCs/>
                <w:color w:val="FFFFFF"/>
                <w:sz w:val="19"/>
                <w:szCs w:val="19"/>
              </w:rPr>
              <w:t>Rationale</w:t>
            </w:r>
          </w:p>
        </w:tc>
      </w:tr>
      <w:tr w14:paraId="482A6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4B7BAF8C">
            <w:r>
              <w:rPr>
                <w:rFonts w:ascii="Arial" w:hAnsi="Arial" w:eastAsia="Arial" w:cs="Arial"/>
                <w:b/>
                <w:bCs/>
                <w:color w:val="595959"/>
                <w:sz w:val="19"/>
                <w:szCs w:val="19"/>
              </w:rPr>
              <w:t>Import Set Table [u_import_employee]</w:t>
            </w:r>
          </w:p>
        </w:tc>
        <w:tc>
          <w:tcPr>
            <w:tcW w:w="20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5F8CC072">
            <w:r>
              <w:rPr>
                <w:rFonts w:ascii="Arial" w:hAnsi="Arial" w:eastAsia="Arial" w:cs="Arial"/>
                <w:b w:val="0"/>
                <w:bCs w:val="0"/>
                <w:color w:val="595959"/>
                <w:sz w:val="19"/>
                <w:szCs w:val="19"/>
              </w:rPr>
              <w:t>import_set_loader</w:t>
            </w:r>
          </w:p>
        </w:tc>
        <w:tc>
          <w:tcPr>
            <w:tcW w:w="22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29CF0D08">
            <w:r>
              <w:rPr>
                <w:rFonts w:ascii="Arial" w:hAnsi="Arial" w:eastAsia="Arial" w:cs="Arial"/>
                <w:b w:val="0"/>
                <w:bCs w:val="0"/>
                <w:color w:val="595959"/>
                <w:sz w:val="19"/>
                <w:szCs w:val="19"/>
              </w:rPr>
              <w:t>import_set_loader</w:t>
            </w:r>
          </w:p>
        </w:tc>
        <w:tc>
          <w:tcPr>
            <w:tcW w:w="296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35481279">
            <w:r>
              <w:rPr>
                <w:rFonts w:ascii="Arial" w:hAnsi="Arial" w:eastAsia="Arial" w:cs="Arial"/>
                <w:b w:val="0"/>
                <w:bCs w:val="0"/>
                <w:color w:val="595959"/>
                <w:sz w:val="19"/>
                <w:szCs w:val="19"/>
              </w:rPr>
              <w:t>Restricts staging data access to import administrators. General users and ITIL agents have no access to raw staging data.</w:t>
            </w:r>
          </w:p>
        </w:tc>
      </w:tr>
      <w:tr w14:paraId="70761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13186C5A">
            <w:r>
              <w:rPr>
                <w:rFonts w:ascii="Arial" w:hAnsi="Arial" w:eastAsia="Arial" w:cs="Arial"/>
                <w:b/>
                <w:bCs/>
                <w:color w:val="595959"/>
                <w:sz w:val="19"/>
                <w:szCs w:val="19"/>
              </w:rPr>
              <w:t>Transform Map configuration</w:t>
            </w:r>
          </w:p>
        </w:tc>
        <w:tc>
          <w:tcPr>
            <w:tcW w:w="200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5EA489EB">
            <w:r>
              <w:rPr>
                <w:rFonts w:ascii="Arial" w:hAnsi="Arial" w:eastAsia="Arial" w:cs="Arial"/>
                <w:b w:val="0"/>
                <w:bCs w:val="0"/>
                <w:color w:val="595959"/>
                <w:sz w:val="19"/>
                <w:szCs w:val="19"/>
              </w:rPr>
              <w:t>import_set_administrator</w:t>
            </w:r>
          </w:p>
        </w:tc>
        <w:tc>
          <w:tcPr>
            <w:tcW w:w="220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7682FA97">
            <w:r>
              <w:rPr>
                <w:rFonts w:ascii="Arial" w:hAnsi="Arial" w:eastAsia="Arial" w:cs="Arial"/>
                <w:b w:val="0"/>
                <w:bCs w:val="0"/>
                <w:color w:val="595959"/>
                <w:sz w:val="19"/>
                <w:szCs w:val="19"/>
              </w:rPr>
              <w:t>import_set_administrator</w:t>
            </w:r>
          </w:p>
        </w:tc>
        <w:tc>
          <w:tcPr>
            <w:tcW w:w="296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6301045B">
            <w:r>
              <w:rPr>
                <w:rFonts w:ascii="Arial" w:hAnsi="Arial" w:eastAsia="Arial" w:cs="Arial"/>
                <w:b w:val="0"/>
                <w:bCs w:val="0"/>
                <w:color w:val="595959"/>
                <w:sz w:val="19"/>
                <w:szCs w:val="19"/>
              </w:rPr>
              <w:t>Only import administrators may create, modify, or delete Transform Map c</w:t>
            </w:r>
          </w:p>
        </w:tc>
      </w:tr>
      <w:tr w14:paraId="34EBD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06E6665C">
            <w:r>
              <w:rPr>
                <w:rFonts w:ascii="Arial" w:hAnsi="Arial" w:eastAsia="Arial" w:cs="Arial"/>
                <w:b/>
                <w:bCs/>
                <w:color w:val="595959"/>
                <w:sz w:val="19"/>
                <w:szCs w:val="19"/>
              </w:rPr>
              <w:t>Transform Map execution (run)</w:t>
            </w:r>
          </w:p>
        </w:tc>
        <w:tc>
          <w:tcPr>
            <w:tcW w:w="20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697E6BFC">
            <w:r>
              <w:rPr>
                <w:rFonts w:ascii="Arial" w:hAnsi="Arial" w:eastAsia="Arial" w:cs="Arial"/>
                <w:b w:val="0"/>
                <w:bCs w:val="0"/>
                <w:color w:val="595959"/>
                <w:sz w:val="19"/>
                <w:szCs w:val="19"/>
              </w:rPr>
              <w:t>import_set_administrator</w:t>
            </w:r>
          </w:p>
        </w:tc>
        <w:tc>
          <w:tcPr>
            <w:tcW w:w="22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6FFDAA63">
            <w:r>
              <w:rPr>
                <w:rFonts w:ascii="Arial" w:hAnsi="Arial" w:eastAsia="Arial" w:cs="Arial"/>
                <w:b w:val="0"/>
                <w:bCs w:val="0"/>
                <w:color w:val="595959"/>
                <w:sz w:val="19"/>
                <w:szCs w:val="19"/>
              </w:rPr>
              <w:t>import_set_administrator</w:t>
            </w:r>
          </w:p>
        </w:tc>
        <w:tc>
          <w:tcPr>
            <w:tcW w:w="296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5C47E858">
            <w:r>
              <w:rPr>
                <w:rFonts w:ascii="Arial" w:hAnsi="Arial" w:eastAsia="Arial" w:cs="Arial"/>
                <w:b w:val="0"/>
                <w:bCs w:val="0"/>
                <w:color w:val="595959"/>
                <w:sz w:val="19"/>
                <w:szCs w:val="19"/>
              </w:rPr>
              <w:t>Execution of the Transform Map writes to th</w:t>
            </w:r>
          </w:p>
        </w:tc>
      </w:tr>
      <w:tr w14:paraId="3DA91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42636A89">
            <w:r>
              <w:rPr>
                <w:rFonts w:ascii="Arial" w:hAnsi="Arial" w:eastAsia="Arial" w:cs="Arial"/>
                <w:b/>
                <w:bCs/>
                <w:color w:val="595959"/>
                <w:sz w:val="19"/>
                <w:szCs w:val="19"/>
              </w:rPr>
              <w:t>Incident form — dot-walked fields</w:t>
            </w:r>
          </w:p>
        </w:tc>
        <w:tc>
          <w:tcPr>
            <w:tcW w:w="200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165CD2EA">
            <w:r>
              <w:rPr>
                <w:rFonts w:ascii="Arial" w:hAnsi="Arial" w:eastAsia="Arial" w:cs="Arial"/>
                <w:b w:val="0"/>
                <w:bCs w:val="0"/>
                <w:color w:val="595959"/>
                <w:sz w:val="19"/>
                <w:szCs w:val="19"/>
              </w:rPr>
              <w:t>All itil-role users</w:t>
            </w:r>
          </w:p>
        </w:tc>
        <w:tc>
          <w:tcPr>
            <w:tcW w:w="220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2CC6A594">
            <w:r>
              <w:rPr>
                <w:rFonts w:ascii="Arial" w:hAnsi="Arial" w:eastAsia="Arial" w:cs="Arial"/>
                <w:b w:val="0"/>
                <w:bCs w:val="0"/>
                <w:color w:val="595959"/>
                <w:sz w:val="19"/>
                <w:szCs w:val="19"/>
              </w:rPr>
              <w:t>None (read-only)</w:t>
            </w:r>
          </w:p>
        </w:tc>
        <w:tc>
          <w:tcPr>
            <w:tcW w:w="296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26708B39">
            <w:r>
              <w:rPr>
                <w:rFonts w:ascii="Arial" w:hAnsi="Arial" w:eastAsia="Arial" w:cs="Arial"/>
                <w:b w:val="0"/>
                <w:bCs w:val="0"/>
                <w:color w:val="595959"/>
                <w:sz w:val="19"/>
                <w:szCs w:val="19"/>
              </w:rPr>
              <w:t>Dot-walked fields are display-only by platform default. No ACL modification is required; the reand does not require a custom write ACL.</w:t>
            </w:r>
          </w:p>
        </w:tc>
      </w:tr>
      <w:tr w14:paraId="591F1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3792940B">
            <w:r>
              <w:rPr>
                <w:rFonts w:ascii="Arial" w:hAnsi="Arial" w:eastAsia="Arial" w:cs="Arial"/>
                <w:b/>
                <w:bCs/>
                <w:color w:val="595959"/>
                <w:sz w:val="19"/>
                <w:szCs w:val="19"/>
              </w:rPr>
              <w:t>User records [sys_user]</w:t>
            </w:r>
          </w:p>
        </w:tc>
        <w:tc>
          <w:tcPr>
            <w:tcW w:w="20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23F66A48">
            <w:r>
              <w:rPr>
                <w:rFonts w:ascii="Arial" w:hAnsi="Arial" w:eastAsia="Arial" w:cs="Arial"/>
                <w:b w:val="0"/>
                <w:bCs w:val="0"/>
                <w:color w:val="595959"/>
                <w:sz w:val="19"/>
                <w:szCs w:val="19"/>
              </w:rPr>
              <w:t>Default platform read access</w:t>
            </w:r>
          </w:p>
        </w:tc>
        <w:tc>
          <w:tcPr>
            <w:tcW w:w="220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00033851">
            <w:r>
              <w:rPr>
                <w:rFonts w:ascii="Arial" w:hAnsi="Arial" w:eastAsia="Arial" w:cs="Arial"/>
                <w:b w:val="0"/>
                <w:bCs w:val="0"/>
                <w:color w:val="595959"/>
                <w:sz w:val="19"/>
                <w:szCs w:val="19"/>
              </w:rPr>
              <w:t>user_admin role</w:t>
            </w:r>
          </w:p>
        </w:tc>
        <w:tc>
          <w:tcPr>
            <w:tcW w:w="296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693ADBE6">
            <w:r>
              <w:rPr>
                <w:rFonts w:ascii="Arial" w:hAnsi="Arial" w:eastAsia="Arial" w:cs="Arial"/>
                <w:b w:val="0"/>
                <w:bCs w:val="0"/>
                <w:color w:val="595959"/>
                <w:sz w:val="19"/>
                <w:szCs w:val="19"/>
              </w:rPr>
              <w:t>Write access to user records is governed by the standoperates under the admin session context during execution.</w:t>
            </w:r>
          </w:p>
        </w:tc>
      </w:tr>
    </w:tbl>
    <w:p w14:paraId="1ED2BCAB">
      <w:pPr>
        <w:pBdr>
          <w:bottom w:val="single" w:color="D0D8E8" w:sz="6" w:space="1"/>
        </w:pBdr>
        <w:spacing w:before="120" w:after="120"/>
      </w:pPr>
    </w:p>
    <w:p w14:paraId="159F50A2">
      <w:pPr>
        <w:pBdr>
          <w:bottom w:val="single" w:color="D0D8E8" w:sz="6" w:space="1"/>
        </w:pBdr>
        <w:spacing w:before="120" w:after="120"/>
      </w:pPr>
    </w:p>
    <w:p w14:paraId="023BE220">
      <w:pPr>
        <w:pStyle w:val="2"/>
        <w:numPr>
          <w:ilvl w:val="0"/>
          <w:numId w:val="3"/>
        </w:numPr>
        <w:pBdr>
          <w:left w:val="single" w:color="2E75B6" w:sz="28" w:space="8"/>
        </w:pBdr>
        <w:spacing w:before="340" w:after="120"/>
        <w:rPr>
          <w:rFonts w:ascii="Arial" w:hAnsi="Arial" w:eastAsia="Arial" w:cs="Arial"/>
          <w:b/>
          <w:bCs/>
          <w:color w:val="1F3864"/>
          <w:sz w:val="28"/>
          <w:szCs w:val="28"/>
        </w:rPr>
      </w:pPr>
      <w:r>
        <w:rPr>
          <w:rFonts w:ascii="Arial" w:hAnsi="Arial" w:eastAsia="Arial" w:cs="Arial"/>
          <w:b/>
          <w:bCs/>
          <w:color w:val="1F3864"/>
          <w:sz w:val="28"/>
          <w:szCs w:val="28"/>
        </w:rPr>
        <w:t>PERFORMANCE DESIGN CONSIDERATIONS</w:t>
      </w:r>
    </w:p>
    <w:p w14:paraId="35049391">
      <w:pPr>
        <w:numPr>
          <w:numId w:val="0"/>
        </w:numPr>
      </w:pPr>
    </w:p>
    <w:p w14:paraId="5DA71DEB">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8.1  Transform Map Performance</w:t>
      </w:r>
    </w:p>
    <w:p w14:paraId="5B7C1EB5"/>
    <w:p w14:paraId="7E329E31">
      <w:pPr>
        <w:spacing w:before="60" w:after="100" w:line="360" w:lineRule="auto"/>
        <w:jc w:val="both"/>
      </w:pPr>
      <w:r>
        <w:rPr>
          <w:rFonts w:ascii="Arial" w:hAnsi="Arial" w:eastAsia="Arial" w:cs="Arial"/>
          <w:color w:val="595959"/>
          <w:sz w:val="22"/>
          <w:szCs w:val="22"/>
        </w:rPr>
        <w:t>The Transform Map is designed to use exclusively Direct mapping types for all five field mappings. Direct mappings are the most performant mapping type available within the ServiceNow Transform Map engine, as they execute as simple value assignments or reference lookups without invoking the GlideScript engine. The deliberate avoidance of Script Map types — which would require JavaScript execution per row — ensures that the transform can process the target data volume efficiently within normal platform execution bounds.</w:t>
      </w:r>
    </w:p>
    <w:p w14:paraId="2D91ED49">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8.2  Coalesce Lookup Performance</w:t>
      </w:r>
    </w:p>
    <w:p w14:paraId="6222EB36"/>
    <w:p w14:paraId="1BC9B444">
      <w:pPr>
        <w:spacing w:before="60" w:after="100" w:line="360" w:lineRule="auto"/>
        <w:jc w:val="both"/>
      </w:pPr>
      <w:r>
        <w:rPr>
          <w:rFonts w:ascii="Arial" w:hAnsi="Arial" w:eastAsia="Arial" w:cs="Arial"/>
          <w:color w:val="595959"/>
          <w:sz w:val="22"/>
          <w:szCs w:val="22"/>
        </w:rPr>
        <w:t>The coalesce strategy specifies the email field as the deduplication key. The [sys_user].email field is indexed by default in standard ServiceNow deployments, which ensures that the coalesce lookup — a query of the form WHERE email = '[value]' executed per imported row — will use an index-based scan rather than a full table scan. The developer must confirm that this index is present on the target instance before the first production import execution.</w:t>
      </w:r>
    </w:p>
    <w:p w14:paraId="2E5819ED">
      <w:pPr>
        <w:spacing w:before="80" w:after="0"/>
      </w:pPr>
    </w:p>
    <w:p w14:paraId="76EAECC8">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8.3  Dot-Walking Render Performance</w:t>
      </w:r>
    </w:p>
    <w:p w14:paraId="7A73BF42"/>
    <w:p w14:paraId="618B829D">
      <w:pPr>
        <w:spacing w:before="60" w:after="100" w:line="360" w:lineRule="auto"/>
        <w:jc w:val="both"/>
      </w:pPr>
      <w:r>
        <w:rPr>
          <w:rFonts w:ascii="Arial" w:hAnsi="Arial" w:eastAsia="Arial" w:cs="Arial"/>
          <w:color w:val="595959"/>
          <w:sz w:val="22"/>
          <w:szCs w:val="22"/>
        </w:rPr>
        <w:t>Dot-walked fields on the Incident form are evaluated at form render time using ServiceNow's standard reference field traversal mechanism. The three dot-walked fields each require a single-hop traversal from the Incident record to the [sys_user] record. This traversal pattern is well within the performance parameters of the platform's standard form rendering pipeline and does not require any caching, asynchronous loading, or GlideAjax optimisation for the data volumes described in this project.</w:t>
      </w:r>
    </w:p>
    <w:p w14:paraId="611A7F44">
      <w:pPr>
        <w:spacing w:before="80" w:after="0"/>
      </w:pPr>
    </w:p>
    <w:p w14:paraId="7845CC39">
      <w:pPr>
        <w:spacing w:before="80" w:after="0"/>
      </w:pPr>
    </w:p>
    <w:p w14:paraId="4818B560">
      <w:pPr>
        <w:spacing w:before="80" w:after="0"/>
      </w:pPr>
    </w:p>
    <w:p w14:paraId="7971FA3B">
      <w:pPr>
        <w:spacing w:before="80" w:after="0"/>
      </w:pPr>
    </w:p>
    <w:p w14:paraId="0C660B77">
      <w:pPr>
        <w:spacing w:before="80" w:after="0"/>
      </w:pPr>
    </w:p>
    <w:p w14:paraId="082FD843">
      <w:pPr>
        <w:spacing w:before="80" w:after="0"/>
      </w:pPr>
    </w:p>
    <w:p w14:paraId="4693E725">
      <w:pPr>
        <w:spacing w:before="80" w:after="0"/>
      </w:pPr>
    </w:p>
    <w:p w14:paraId="3B672E69">
      <w:pPr>
        <w:spacing w:before="80" w:after="0"/>
      </w:pPr>
    </w:p>
    <w:p w14:paraId="21231B74">
      <w:pPr>
        <w:pBdr>
          <w:bottom w:val="single" w:color="D0D8E8" w:sz="6" w:space="1"/>
        </w:pBdr>
        <w:spacing w:before="120" w:after="120"/>
      </w:pPr>
    </w:p>
    <w:p w14:paraId="36E66376">
      <w:pPr>
        <w:pStyle w:val="2"/>
        <w:pBdr>
          <w:left w:val="single" w:color="2E75B6" w:sz="28" w:space="8"/>
        </w:pBdr>
        <w:spacing w:before="340" w:after="120"/>
      </w:pPr>
      <w:r>
        <w:rPr>
          <w:rFonts w:ascii="Arial" w:hAnsi="Arial" w:eastAsia="Arial" w:cs="Arial"/>
          <w:b/>
          <w:bCs/>
          <w:color w:val="1F3864"/>
          <w:sz w:val="28"/>
          <w:szCs w:val="28"/>
        </w:rPr>
        <w:t>9. ASSUMPTIONS &amp; DESIGN CONSTRAINTS</w:t>
      </w:r>
    </w:p>
    <w:p w14:paraId="3CB8A128">
      <w:pPr>
        <w:pStyle w:val="3"/>
        <w:spacing w:before="220" w:after="80"/>
      </w:pPr>
      <w:r>
        <w:rPr>
          <w:rFonts w:ascii="Arial" w:hAnsi="Arial" w:eastAsia="Arial" w:cs="Arial"/>
          <w:b/>
          <w:bCs/>
          <w:color w:val="2E75B6"/>
          <w:sz w:val="24"/>
          <w:szCs w:val="24"/>
        </w:rPr>
        <w:t>9.1  Design Assumptions</w:t>
      </w:r>
    </w:p>
    <w:tbl>
      <w:tblPr>
        <w:tblStyle w:val="9"/>
        <w:tblpPr w:leftFromText="180" w:rightFromText="180" w:vertAnchor="text" w:horzAnchor="page" w:tblpX="1610" w:tblpY="173"/>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38"/>
        <w:gridCol w:w="3488"/>
        <w:gridCol w:w="2745"/>
        <w:gridCol w:w="1789"/>
      </w:tblGrid>
      <w:tr w14:paraId="4D274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31" w:hRule="atLeast"/>
          <w:tblHeader/>
        </w:trPr>
        <w:tc>
          <w:tcPr>
            <w:tcW w:w="1338" w:type="dxa"/>
            <w:tcBorders>
              <w:top w:val="nil"/>
              <w:left w:val="nil"/>
              <w:bottom w:val="nil"/>
              <w:right w:val="single" w:color="2E75B6" w:sz="4" w:space="0"/>
            </w:tcBorders>
            <w:shd w:val="clear" w:color="auto" w:fill="1F3864"/>
            <w:tcMar>
              <w:top w:w="80" w:type="dxa"/>
              <w:left w:w="120" w:type="dxa"/>
              <w:bottom w:w="80" w:type="dxa"/>
              <w:right w:w="120" w:type="dxa"/>
            </w:tcMar>
          </w:tcPr>
          <w:p w14:paraId="210DBB5D">
            <w:r>
              <w:rPr>
                <w:rFonts w:ascii="Arial" w:hAnsi="Arial" w:eastAsia="Arial" w:cs="Arial"/>
                <w:b/>
                <w:bCs/>
                <w:color w:val="FFFFFF"/>
                <w:sz w:val="19"/>
                <w:szCs w:val="19"/>
              </w:rPr>
              <w:t>Assumption ID</w:t>
            </w:r>
          </w:p>
        </w:tc>
        <w:tc>
          <w:tcPr>
            <w:tcW w:w="3488" w:type="dxa"/>
            <w:tcBorders>
              <w:top w:val="nil"/>
              <w:left w:val="nil"/>
              <w:bottom w:val="nil"/>
              <w:right w:val="single" w:color="2E75B6" w:sz="4" w:space="0"/>
            </w:tcBorders>
            <w:shd w:val="clear" w:color="auto" w:fill="1F3864"/>
            <w:tcMar>
              <w:top w:w="80" w:type="dxa"/>
              <w:left w:w="120" w:type="dxa"/>
              <w:bottom w:w="80" w:type="dxa"/>
              <w:right w:w="120" w:type="dxa"/>
            </w:tcMar>
          </w:tcPr>
          <w:p w14:paraId="6340A40F">
            <w:r>
              <w:rPr>
                <w:rFonts w:ascii="Arial" w:hAnsi="Arial" w:eastAsia="Arial" w:cs="Arial"/>
                <w:b/>
                <w:bCs/>
                <w:color w:val="FFFFFF"/>
                <w:sz w:val="19"/>
                <w:szCs w:val="19"/>
              </w:rPr>
              <w:t>Assumption Statement</w:t>
            </w:r>
          </w:p>
        </w:tc>
        <w:tc>
          <w:tcPr>
            <w:tcW w:w="2745" w:type="dxa"/>
            <w:tcBorders>
              <w:top w:val="nil"/>
              <w:left w:val="nil"/>
              <w:bottom w:val="nil"/>
              <w:right w:val="single" w:color="2E75B6" w:sz="4" w:space="0"/>
            </w:tcBorders>
            <w:shd w:val="clear" w:color="auto" w:fill="1F3864"/>
            <w:tcMar>
              <w:top w:w="80" w:type="dxa"/>
              <w:left w:w="120" w:type="dxa"/>
              <w:bottom w:w="80" w:type="dxa"/>
              <w:right w:w="120" w:type="dxa"/>
            </w:tcMar>
          </w:tcPr>
          <w:p w14:paraId="0A4113FD">
            <w:r>
              <w:rPr>
                <w:rFonts w:ascii="Arial" w:hAnsi="Arial" w:eastAsia="Arial" w:cs="Arial"/>
                <w:b/>
                <w:bCs/>
                <w:color w:val="FFFFFF"/>
                <w:sz w:val="19"/>
                <w:szCs w:val="19"/>
              </w:rPr>
              <w:t>Impact If Invalid</w:t>
            </w:r>
          </w:p>
        </w:tc>
        <w:tc>
          <w:tcPr>
            <w:tcW w:w="1789" w:type="dxa"/>
            <w:tcBorders>
              <w:top w:val="nil"/>
              <w:left w:val="nil"/>
              <w:bottom w:val="nil"/>
              <w:right w:val="nil"/>
            </w:tcBorders>
            <w:shd w:val="clear" w:color="auto" w:fill="1F3864"/>
            <w:tcMar>
              <w:top w:w="80" w:type="dxa"/>
              <w:left w:w="120" w:type="dxa"/>
              <w:bottom w:w="80" w:type="dxa"/>
              <w:right w:w="120" w:type="dxa"/>
            </w:tcMar>
          </w:tcPr>
          <w:p w14:paraId="23CCAAC6">
            <w:r>
              <w:rPr>
                <w:rFonts w:ascii="Arial" w:hAnsi="Arial" w:eastAsia="Arial" w:cs="Arial"/>
                <w:b/>
                <w:bCs/>
                <w:color w:val="FFFFFF"/>
                <w:sz w:val="19"/>
                <w:szCs w:val="19"/>
              </w:rPr>
              <w:t>Owner to Validate</w:t>
            </w:r>
          </w:p>
        </w:tc>
      </w:tr>
      <w:tr w14:paraId="38638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64" w:hRule="atLeast"/>
        </w:trPr>
        <w:tc>
          <w:tcPr>
            <w:tcW w:w="1338"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690E8291">
            <w:r>
              <w:rPr>
                <w:rFonts w:ascii="Arial" w:hAnsi="Arial" w:eastAsia="Arial" w:cs="Arial"/>
                <w:b/>
                <w:bCs/>
                <w:color w:val="595959"/>
                <w:sz w:val="19"/>
                <w:szCs w:val="19"/>
              </w:rPr>
              <w:t>DA-01</w:t>
            </w:r>
          </w:p>
        </w:tc>
        <w:tc>
          <w:tcPr>
            <w:tcW w:w="3488"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45389828">
            <w:r>
              <w:rPr>
                <w:rFonts w:ascii="Arial" w:hAnsi="Arial" w:eastAsia="Arial" w:cs="Arial"/>
                <w:b w:val="0"/>
                <w:bCs w:val="0"/>
                <w:color w:val="595959"/>
                <w:sz w:val="19"/>
                <w:szCs w:val="19"/>
              </w:rPr>
              <w:t>Manager records either pre-exist in [sys_user] at the time of employee import, or are included in the same import batch and processed before dependent employee rows.</w:t>
            </w:r>
          </w:p>
        </w:tc>
        <w:tc>
          <w:tcPr>
            <w:tcW w:w="2745"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3C1C6F5A">
            <w:r>
              <w:rPr>
                <w:rFonts w:ascii="Arial" w:hAnsi="Arial" w:eastAsia="Arial" w:cs="Arial"/>
                <w:b w:val="0"/>
                <w:bCs w:val="0"/>
                <w:color w:val="595959"/>
                <w:sz w:val="19"/>
                <w:szCs w:val="19"/>
              </w:rPr>
              <w:t>Manager reference fields will be unresolved on affected employee records. A second transform execution will be required to resolve outstanding references.</w:t>
            </w:r>
          </w:p>
        </w:tc>
        <w:tc>
          <w:tcPr>
            <w:tcW w:w="1789"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36555683">
            <w:r>
              <w:rPr>
                <w:rFonts w:ascii="Arial" w:hAnsi="Arial" w:eastAsia="Arial" w:cs="Arial"/>
                <w:b w:val="0"/>
                <w:bCs w:val="0"/>
                <w:color w:val="595959"/>
                <w:sz w:val="19"/>
                <w:szCs w:val="19"/>
              </w:rPr>
              <w:t>Data Owner / HR Representative</w:t>
            </w:r>
          </w:p>
        </w:tc>
      </w:tr>
      <w:tr w14:paraId="3818E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760" w:hRule="atLeast"/>
        </w:trPr>
        <w:tc>
          <w:tcPr>
            <w:tcW w:w="1338"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255A4A9E">
            <w:r>
              <w:rPr>
                <w:rFonts w:ascii="Arial" w:hAnsi="Arial" w:eastAsia="Arial" w:cs="Arial"/>
                <w:b/>
                <w:bCs/>
                <w:color w:val="595959"/>
                <w:sz w:val="19"/>
                <w:szCs w:val="19"/>
              </w:rPr>
              <w:t>DA-02</w:t>
            </w:r>
          </w:p>
        </w:tc>
        <w:tc>
          <w:tcPr>
            <w:tcW w:w="3488"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1E396EE7">
            <w:r>
              <w:rPr>
                <w:rFonts w:ascii="Arial" w:hAnsi="Arial" w:eastAsia="Arial" w:cs="Arial"/>
                <w:b w:val="0"/>
                <w:bCs w:val="0"/>
                <w:color w:val="595959"/>
                <w:sz w:val="19"/>
                <w:szCs w:val="19"/>
              </w:rPr>
              <w:t>The 'name' field values used in the manager column of the source CSV exactly match the corresponding display name values of the manager's [sys_user] record.</w:t>
            </w:r>
          </w:p>
        </w:tc>
        <w:tc>
          <w:tcPr>
            <w:tcW w:w="2745"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787CBE2C">
            <w:r>
              <w:rPr>
                <w:rFonts w:ascii="Arial" w:hAnsi="Arial" w:eastAsia="Arial" w:cs="Arial"/>
                <w:b w:val="0"/>
                <w:bCs w:val="0"/>
                <w:color w:val="595959"/>
                <w:sz w:val="19"/>
                <w:szCs w:val="19"/>
              </w:rPr>
              <w:t>Reference resolution will fail for any manager whose name in the CSV does not exactly match the [sys_user] name field value.</w:t>
            </w:r>
          </w:p>
        </w:tc>
        <w:tc>
          <w:tcPr>
            <w:tcW w:w="1789"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151078F6">
            <w:r>
              <w:rPr>
                <w:rFonts w:ascii="Arial" w:hAnsi="Arial" w:eastAsia="Arial" w:cs="Arial"/>
                <w:b w:val="0"/>
                <w:bCs w:val="0"/>
                <w:color w:val="595959"/>
                <w:sz w:val="19"/>
                <w:szCs w:val="19"/>
              </w:rPr>
              <w:t>Data Owner / HR Representative</w:t>
            </w:r>
          </w:p>
        </w:tc>
      </w:tr>
      <w:tr w14:paraId="0900B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760" w:hRule="atLeast"/>
        </w:trPr>
        <w:tc>
          <w:tcPr>
            <w:tcW w:w="1338"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2B6A8116">
            <w:r>
              <w:rPr>
                <w:rFonts w:ascii="Arial" w:hAnsi="Arial" w:eastAsia="Arial" w:cs="Arial"/>
                <w:b/>
                <w:bCs/>
                <w:color w:val="595959"/>
                <w:sz w:val="19"/>
                <w:szCs w:val="19"/>
              </w:rPr>
              <w:t>DA-03</w:t>
            </w:r>
          </w:p>
        </w:tc>
        <w:tc>
          <w:tcPr>
            <w:tcW w:w="3488"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0709CD18">
            <w:r>
              <w:rPr>
                <w:rFonts w:ascii="Arial" w:hAnsi="Arial" w:eastAsia="Arial" w:cs="Arial"/>
                <w:b w:val="0"/>
                <w:bCs w:val="0"/>
                <w:color w:val="595959"/>
                <w:sz w:val="19"/>
                <w:szCs w:val="19"/>
              </w:rPr>
              <w:t>The [sys_user].email field is indexed on the target instance, ensuring efficient coalesce lookups during re-import operations.</w:t>
            </w:r>
          </w:p>
        </w:tc>
        <w:tc>
          <w:tcPr>
            <w:tcW w:w="2745"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243163E7">
            <w:r>
              <w:rPr>
                <w:rFonts w:ascii="Arial" w:hAnsi="Arial" w:eastAsia="Arial" w:cs="Arial"/>
                <w:b w:val="0"/>
                <w:bCs w:val="0"/>
                <w:color w:val="595959"/>
                <w:sz w:val="19"/>
                <w:szCs w:val="19"/>
              </w:rPr>
              <w:t>Coalesce lookups may perform as full table scans on large [sys_user] tables, increasing transform execution time.</w:t>
            </w:r>
          </w:p>
        </w:tc>
        <w:tc>
          <w:tcPr>
            <w:tcW w:w="1789"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3A67507A">
            <w:r>
              <w:rPr>
                <w:rFonts w:ascii="Arial" w:hAnsi="Arial" w:eastAsia="Arial" w:cs="Arial"/>
                <w:b w:val="0"/>
                <w:bCs w:val="0"/>
                <w:color w:val="595959"/>
                <w:sz w:val="19"/>
                <w:szCs w:val="19"/>
              </w:rPr>
              <w:t>ServiceNow Administrator</w:t>
            </w:r>
          </w:p>
        </w:tc>
      </w:tr>
      <w:tr w14:paraId="12F50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760" w:hRule="atLeast"/>
        </w:trPr>
        <w:tc>
          <w:tcPr>
            <w:tcW w:w="1338"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5519B82D">
            <w:r>
              <w:rPr>
                <w:rFonts w:ascii="Arial" w:hAnsi="Arial" w:eastAsia="Arial" w:cs="Arial"/>
                <w:b/>
                <w:bCs/>
                <w:color w:val="595959"/>
                <w:sz w:val="19"/>
                <w:szCs w:val="19"/>
              </w:rPr>
              <w:t>DA-04</w:t>
            </w:r>
          </w:p>
        </w:tc>
        <w:tc>
          <w:tcPr>
            <w:tcW w:w="3488"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61251560">
            <w:r>
              <w:rPr>
                <w:rFonts w:ascii="Arial" w:hAnsi="Arial" w:eastAsia="Arial" w:cs="Arial"/>
                <w:b w:val="0"/>
                <w:bCs w:val="0"/>
                <w:color w:val="595959"/>
                <w:sz w:val="19"/>
                <w:szCs w:val="19"/>
              </w:rPr>
              <w:t>Department values in the source CSV correspond to Department records that already exist in the [cmn_department] table on the platform.</w:t>
            </w:r>
          </w:p>
        </w:tc>
        <w:tc>
          <w:tcPr>
            <w:tcW w:w="2745"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5C041E87">
            <w:r>
              <w:rPr>
                <w:rFonts w:ascii="Arial" w:hAnsi="Arial" w:eastAsia="Arial" w:cs="Arial"/>
                <w:b w:val="0"/>
                <w:bCs w:val="0"/>
                <w:color w:val="595959"/>
                <w:sz w:val="19"/>
                <w:szCs w:val="19"/>
              </w:rPr>
              <w:t>The department reference field will be unresolved on imported user records, leaving the Department field blank.</w:t>
            </w:r>
          </w:p>
        </w:tc>
        <w:tc>
          <w:tcPr>
            <w:tcW w:w="1789"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286ED757">
            <w:r>
              <w:rPr>
                <w:rFonts w:ascii="Arial" w:hAnsi="Arial" w:eastAsia="Arial" w:cs="Arial"/>
                <w:b w:val="0"/>
                <w:bCs w:val="0"/>
                <w:color w:val="595959"/>
                <w:sz w:val="19"/>
                <w:szCs w:val="19"/>
              </w:rPr>
              <w:t>Data Owner / HR Representative</w:t>
            </w:r>
          </w:p>
        </w:tc>
      </w:tr>
      <w:tr w14:paraId="19103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78" w:hRule="atLeast"/>
        </w:trPr>
        <w:tc>
          <w:tcPr>
            <w:tcW w:w="1338"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7F6A721E">
            <w:r>
              <w:rPr>
                <w:rFonts w:ascii="Arial" w:hAnsi="Arial" w:eastAsia="Arial" w:cs="Arial"/>
                <w:b/>
                <w:bCs/>
                <w:color w:val="595959"/>
                <w:sz w:val="19"/>
                <w:szCs w:val="19"/>
              </w:rPr>
              <w:t>DA-05</w:t>
            </w:r>
          </w:p>
        </w:tc>
        <w:tc>
          <w:tcPr>
            <w:tcW w:w="3488"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1214BEBC">
            <w:r>
              <w:rPr>
                <w:rFonts w:ascii="Arial" w:hAnsi="Arial" w:eastAsia="Arial" w:cs="Arial"/>
                <w:b w:val="0"/>
                <w:bCs w:val="0"/>
                <w:color w:val="595959"/>
                <w:sz w:val="19"/>
                <w:szCs w:val="19"/>
              </w:rPr>
              <w:t>The Incident form being modified is the standard Default view in Global scope, not a customised or scoped-application-specific view.</w:t>
            </w:r>
          </w:p>
        </w:tc>
        <w:tc>
          <w:tcPr>
            <w:tcW w:w="2745"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6614219B">
            <w:r>
              <w:rPr>
                <w:rFonts w:ascii="Arial" w:hAnsi="Arial" w:eastAsia="Arial" w:cs="Arial"/>
                <w:b w:val="0"/>
                <w:bCs w:val="0"/>
                <w:color w:val="595959"/>
                <w:sz w:val="19"/>
                <w:szCs w:val="19"/>
              </w:rPr>
              <w:t>Form layout changes may not apply to all users if non-standard views are in use. Additional form layout configurations may be required.</w:t>
            </w:r>
          </w:p>
        </w:tc>
        <w:tc>
          <w:tcPr>
            <w:tcW w:w="1789"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2B04D0FB">
            <w:r>
              <w:rPr>
                <w:rFonts w:ascii="Arial" w:hAnsi="Arial" w:eastAsia="Arial" w:cs="Arial"/>
                <w:b w:val="0"/>
                <w:bCs w:val="0"/>
                <w:color w:val="595959"/>
                <w:sz w:val="19"/>
                <w:szCs w:val="19"/>
              </w:rPr>
              <w:t>ServiceNow Administrator</w:t>
            </w:r>
          </w:p>
        </w:tc>
      </w:tr>
    </w:tbl>
    <w:p w14:paraId="21144AC8">
      <w:pPr>
        <w:spacing w:before="80" w:after="0"/>
      </w:pPr>
      <w:bookmarkStart w:id="0" w:name="_GoBack"/>
      <w:bookmarkEnd w:id="0"/>
    </w:p>
    <w:p w14:paraId="1600956E">
      <w:pPr>
        <w:spacing w:before="80" w:after="0"/>
      </w:pPr>
    </w:p>
    <w:p w14:paraId="34317736">
      <w:pPr>
        <w:spacing w:before="120" w:after="0"/>
        <w:jc w:val="center"/>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287AE8"/>
    <w:multiLevelType w:val="singleLevel"/>
    <w:tmpl w:val="CC287AE8"/>
    <w:lvl w:ilvl="0" w:tentative="0">
      <w:start w:val="8"/>
      <w:numFmt w:val="decimal"/>
      <w:suff w:val="space"/>
      <w:lvlText w:val="%1."/>
      <w:lvlJc w:val="left"/>
    </w:lvl>
  </w:abstractNum>
  <w:abstractNum w:abstractNumId="1">
    <w:nsid w:val="2A8F537B"/>
    <w:multiLevelType w:val="singleLevel"/>
    <w:tmpl w:val="2A8F537B"/>
    <w:lvl w:ilvl="0" w:tentative="0">
      <w:start w:val="1"/>
      <w:numFmt w:val="bullet"/>
      <w:lvlText w:val="•"/>
      <w:lvlJc w:val="left"/>
      <w:pPr>
        <w:spacing w:before="40" w:after="60"/>
        <w:ind w:left="720" w:hanging="360"/>
      </w:pPr>
    </w:lvl>
  </w:abstractNum>
  <w:abstractNum w:abstractNumId="2">
    <w:nsid w:val="50BCA4D8"/>
    <w:multiLevelType w:val="singleLevel"/>
    <w:tmpl w:val="50BCA4D8"/>
    <w:lvl w:ilvl="0" w:tentative="0">
      <w:start w:val="1"/>
      <w:numFmt w:val="decimal"/>
      <w:suff w:val="space"/>
      <w:lvlText w:val="%1."/>
      <w:lvlJc w:val="left"/>
    </w:lvl>
  </w:abstractNum>
  <w:num w:numId="1">
    <w:abstractNumId w:val="2"/>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140B2817"/>
    <w:rsid w:val="2DDC694B"/>
    <w:rsid w:val="31EE59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595959"/>
      <w:sz w:val="22"/>
      <w:szCs w:val="22"/>
    </w:rPr>
  </w:style>
  <w:style w:type="paragraph" w:styleId="2">
    <w:name w:val="heading 1"/>
    <w:next w:val="1"/>
    <w:qFormat/>
    <w:uiPriority w:val="0"/>
    <w:pPr>
      <w:spacing w:before="340" w:after="120"/>
      <w:outlineLvl w:val="0"/>
    </w:pPr>
    <w:rPr>
      <w:rFonts w:ascii="Arial" w:hAnsi="Arial" w:eastAsia="Arial" w:cs="Arial"/>
      <w:b/>
      <w:bCs/>
      <w:color w:val="1F3864"/>
      <w:sz w:val="28"/>
      <w:szCs w:val="28"/>
    </w:rPr>
  </w:style>
  <w:style w:type="paragraph" w:styleId="3">
    <w:name w:val="heading 2"/>
    <w:next w:val="1"/>
    <w:qFormat/>
    <w:uiPriority w:val="0"/>
    <w:pPr>
      <w:spacing w:before="220" w:after="80"/>
      <w:outlineLvl w:val="1"/>
    </w:pPr>
    <w:rPr>
      <w:rFonts w:ascii="Arial" w:hAnsi="Arial" w:eastAsia="Arial" w:cs="Arial"/>
      <w:b/>
      <w:bCs/>
      <w:color w:val="2E75B6"/>
      <w:sz w:val="24"/>
      <w:szCs w:val="24"/>
    </w:rPr>
  </w:style>
  <w:style w:type="paragraph" w:styleId="4">
    <w:name w:val="heading 3"/>
    <w:next w:val="1"/>
    <w:qFormat/>
    <w:uiPriority w:val="0"/>
    <w:pPr>
      <w:spacing w:before="180" w:after="60"/>
      <w:outlineLvl w:val="2"/>
    </w:pPr>
    <w:rPr>
      <w:rFonts w:ascii="Arial" w:hAnsi="Arial" w:eastAsia="Arial" w:cs="Arial"/>
      <w:b/>
      <w:bCs/>
      <w:color w:val="1F3864"/>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color w:val="595959"/>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color w:val="595959"/>
      <w:sz w:val="56"/>
      <w:szCs w:val="56"/>
    </w:rPr>
  </w:style>
  <w:style w:type="paragraph" w:styleId="14">
    <w:name w:val="List Paragraph"/>
    <w:qFormat/>
    <w:uiPriority w:val="0"/>
    <w:rPr>
      <w:rFonts w:ascii="Arial" w:hAnsi="Arial" w:eastAsia="Arial" w:cs="Arial"/>
      <w:color w:val="595959"/>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4</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2026-03-08T23:18:00Z</dcterms:created>
  <dc:creator>Un-named</dc:creator>
  <cp:lastModifiedBy>WPS_1762942750</cp:lastModifiedBy>
  <dcterms:modified xsi:type="dcterms:W3CDTF">2026-03-09T00:23:03Z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EE577022AE8B4CBCBEFEA5FD6F4AE821_13</vt:lpwstr>
  </property>
</Properties>
</file>