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9359" w:val="left" w:leader="none"/>
        </w:tabs>
        <w:rPr>
          <w:u w:val="none"/>
        </w:rPr>
      </w:pPr>
      <w:r>
        <w:rPr>
          <w:u w:val="single"/>
        </w:rPr>
        <w:t>Daniel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Kreisman</w:t>
      </w:r>
      <w:r>
        <w:rPr>
          <w:u w:val="single"/>
        </w:rPr>
        <w:tab/>
      </w:r>
    </w:p>
    <w:p>
      <w:pPr>
        <w:pStyle w:val="BodyText"/>
        <w:tabs>
          <w:tab w:pos="1799" w:val="left" w:leader="none"/>
        </w:tabs>
        <w:spacing w:before="324"/>
        <w:ind w:left="71"/>
      </w:pPr>
      <w:r>
        <w:rPr>
          <w:rFonts w:ascii="Palatino Linotype" w:hAnsi="Palatino Linotype"/>
          <w:spacing w:val="-2"/>
        </w:rPr>
        <w:t>C</w:t>
      </w:r>
      <w:r>
        <w:rPr>
          <w:rFonts w:ascii="Palatino Linotype" w:hAnsi="Palatino Linotype"/>
          <w:smallCaps/>
          <w:spacing w:val="-2"/>
        </w:rPr>
        <w:t>ontact</w:t>
      </w:r>
      <w:r>
        <w:rPr>
          <w:rFonts w:ascii="Palatino Linotype" w:hAnsi="Palatino Linotype"/>
          <w:smallCaps w:val="0"/>
        </w:rPr>
        <w:tab/>
      </w:r>
      <w:bookmarkStart w:name="Contact" w:id="1"/>
      <w:bookmarkEnd w:id="1"/>
      <w:r>
        <w:rPr>
          <w:rFonts w:ascii="Palatino Linotype" w:hAnsi="Palatino Linotype"/>
          <w:smallCaps w:val="0"/>
        </w:rPr>
      </w:r>
      <w:r>
        <w:rPr>
          <w:rFonts w:ascii="Times New Roman" w:hAnsi="Times New Roman"/>
          <w:smallCaps w:val="0"/>
          <w:spacing w:val="80"/>
          <w:sz w:val="17"/>
        </w:rPr>
        <w:t>  </w:t>
      </w:r>
      <w:hyperlink r:id="rId6">
        <w:r>
          <w:rPr>
            <w:smallCaps w:val="0"/>
          </w:rPr>
          <w:t>www.dkreisman.com</w:t>
        </w:r>
      </w:hyperlink>
      <w:r>
        <w:rPr>
          <w:smallCaps w:val="0"/>
          <w:spacing w:val="80"/>
        </w:rPr>
        <w:t> </w:t>
      </w:r>
      <w:r>
        <w:rPr>
          <w:rFonts w:ascii="Segoe UI Symbol" w:hAnsi="Segoe UI Symbol"/>
          <w:smallCaps w:val="0"/>
        </w:rPr>
        <w:t>✉</w:t>
      </w:r>
      <w:r>
        <w:rPr>
          <w:rFonts w:ascii="Segoe UI Symbol" w:hAnsi="Segoe UI Symbol"/>
          <w:smallCaps w:val="0"/>
          <w:spacing w:val="40"/>
        </w:rPr>
        <w:t> </w:t>
      </w:r>
      <w:hyperlink r:id="rId7">
        <w:r>
          <w:rPr>
            <w:smallCaps w:val="0"/>
          </w:rPr>
          <w:t>dkreisman@gsu.edu</w:t>
        </w:r>
      </w:hyperlink>
      <w:r>
        <w:rPr>
          <w:rFonts w:ascii="Arial MT" w:hAnsi="Arial MT"/>
          <w:smallCaps w:val="0"/>
          <w:spacing w:val="80"/>
          <w:w w:val="150"/>
        </w:rPr>
        <w:t>  </w:t>
      </w:r>
      <w:r>
        <w:rPr>
          <w:smallCaps w:val="0"/>
        </w:rPr>
        <w:t>+1 (404) 413-0199</w:t>
      </w:r>
    </w:p>
    <w:p>
      <w:pPr>
        <w:pStyle w:val="BodyText"/>
        <w:spacing w:before="32"/>
      </w:pP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831" w:top="1140" w:bottom="1020" w:left="1440" w:right="1080"/>
          <w:pgNumType w:start="1"/>
        </w:sectPr>
      </w:pPr>
    </w:p>
    <w:p>
      <w:pPr>
        <w:pStyle w:val="BodyText"/>
        <w:spacing w:line="213" w:lineRule="auto" w:before="139"/>
        <w:ind w:left="71"/>
        <w:rPr>
          <w:rFonts w:ascii="Palatino Linotype"/>
        </w:rPr>
      </w:pPr>
      <w:r>
        <w:rPr>
          <w:rFonts w:ascii="Palatino Linotype"/>
          <w:spacing w:val="-2"/>
        </w:rPr>
        <w:t>A</w:t>
      </w:r>
      <w:r>
        <w:rPr>
          <w:rFonts w:ascii="Palatino Linotype"/>
          <w:smallCaps/>
          <w:spacing w:val="-2"/>
        </w:rPr>
        <w:t>cademic</w:t>
      </w:r>
      <w:r>
        <w:rPr>
          <w:rFonts w:ascii="Palatino Linotype"/>
          <w:smallCaps w:val="0"/>
          <w:spacing w:val="-2"/>
        </w:rPr>
        <w:t> </w:t>
      </w:r>
      <w:r>
        <w:rPr>
          <w:rFonts w:ascii="Palatino Linotype"/>
          <w:smallCaps w:val="0"/>
          <w:spacing w:val="-2"/>
          <w:w w:val="105"/>
        </w:rPr>
        <w:t>P</w:t>
      </w:r>
      <w:r>
        <w:rPr>
          <w:rFonts w:ascii="Palatino Linotype"/>
          <w:smallCaps/>
          <w:spacing w:val="-2"/>
          <w:w w:val="105"/>
        </w:rPr>
        <w:t>ositions</w:t>
      </w:r>
    </w:p>
    <w:p>
      <w:pPr>
        <w:spacing w:before="143"/>
        <w:ind w:left="71" w:right="0" w:firstLine="0"/>
        <w:jc w:val="left"/>
        <w:rPr>
          <w:sz w:val="20"/>
        </w:rPr>
      </w:pPr>
      <w:r>
        <w:rPr/>
        <w:br w:type="column"/>
      </w:r>
      <w:bookmarkStart w:name="Academic Positions" w:id="2"/>
      <w:bookmarkEnd w:id="2"/>
      <w:r>
        <w:rPr/>
      </w:r>
      <w:r>
        <w:rPr>
          <w:b/>
          <w:spacing w:val="-6"/>
          <w:sz w:val="20"/>
        </w:rPr>
        <w:t>Assistant</w:t>
      </w:r>
      <w:r>
        <w:rPr>
          <w:b/>
          <w:spacing w:val="9"/>
          <w:sz w:val="20"/>
        </w:rPr>
        <w:t> </w:t>
      </w:r>
      <w:r>
        <w:rPr>
          <w:b/>
          <w:spacing w:val="-6"/>
          <w:sz w:val="20"/>
        </w:rPr>
        <w:t>Professor</w:t>
      </w:r>
      <w:r>
        <w:rPr>
          <w:b/>
          <w:spacing w:val="9"/>
          <w:sz w:val="20"/>
        </w:rPr>
        <w:t> </w:t>
      </w:r>
      <w:r>
        <w:rPr>
          <w:b/>
          <w:spacing w:val="-6"/>
          <w:sz w:val="20"/>
        </w:rPr>
        <w:t>of</w:t>
      </w:r>
      <w:r>
        <w:rPr>
          <w:b/>
          <w:spacing w:val="10"/>
          <w:sz w:val="20"/>
        </w:rPr>
        <w:t> </w:t>
      </w:r>
      <w:r>
        <w:rPr>
          <w:b/>
          <w:spacing w:val="-6"/>
          <w:sz w:val="20"/>
        </w:rPr>
        <w:t>Economics</w:t>
      </w:r>
      <w:r>
        <w:rPr>
          <w:spacing w:val="-6"/>
          <w:sz w:val="20"/>
        </w:rPr>
        <w:t>,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2014</w:t>
      </w:r>
      <w:r>
        <w:rPr>
          <w:spacing w:val="5"/>
          <w:sz w:val="20"/>
        </w:rPr>
        <w:t> </w:t>
      </w:r>
      <w:r>
        <w:rPr>
          <w:spacing w:val="-10"/>
          <w:sz w:val="20"/>
        </w:rPr>
        <w:t>–</w:t>
      </w:r>
    </w:p>
    <w:p>
      <w:pPr>
        <w:pStyle w:val="BodyText"/>
        <w:spacing w:before="12"/>
        <w:ind w:left="71"/>
      </w:pPr>
      <w:r>
        <w:rPr/>
        <w:t>Georgia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Andrew</w:t>
      </w:r>
      <w:r>
        <w:rPr>
          <w:spacing w:val="-2"/>
        </w:rPr>
        <w:t> </w:t>
      </w:r>
      <w:r>
        <w:rPr/>
        <w:t>Young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Studies</w:t>
      </w:r>
    </w:p>
    <w:p>
      <w:pPr>
        <w:pStyle w:val="BodyText"/>
        <w:spacing w:before="23"/>
      </w:pPr>
    </w:p>
    <w:p>
      <w:pPr>
        <w:spacing w:before="0"/>
        <w:ind w:left="71" w:right="0" w:firstLine="0"/>
        <w:jc w:val="left"/>
        <w:rPr>
          <w:sz w:val="20"/>
        </w:rPr>
      </w:pPr>
      <w:r>
        <w:rPr>
          <w:b/>
          <w:sz w:val="20"/>
        </w:rPr>
        <w:t>Director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CTEx </w:t>
      </w:r>
      <w:r>
        <w:rPr>
          <w:sz w:val="20"/>
        </w:rPr>
        <w:t>(Career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Technical</w:t>
      </w:r>
      <w:r>
        <w:rPr>
          <w:spacing w:val="2"/>
          <w:sz w:val="20"/>
        </w:rPr>
        <w:t> </w:t>
      </w:r>
      <w:r>
        <w:rPr>
          <w:sz w:val="20"/>
        </w:rPr>
        <w:t>Education</w:t>
      </w:r>
      <w:r>
        <w:rPr>
          <w:spacing w:val="1"/>
          <w:sz w:val="20"/>
        </w:rPr>
        <w:t> </w:t>
      </w:r>
      <w:r>
        <w:rPr>
          <w:sz w:val="20"/>
        </w:rPr>
        <w:t>Policy</w:t>
      </w:r>
      <w:r>
        <w:rPr>
          <w:spacing w:val="1"/>
          <w:sz w:val="20"/>
        </w:rPr>
        <w:t> </w:t>
      </w:r>
      <w:r>
        <w:rPr>
          <w:sz w:val="20"/>
        </w:rPr>
        <w:t>Exchange)</w:t>
      </w:r>
      <w:r>
        <w:rPr>
          <w:spacing w:val="1"/>
          <w:sz w:val="20"/>
        </w:rPr>
        <w:t> </w:t>
      </w:r>
      <w:r>
        <w:rPr>
          <w:sz w:val="20"/>
        </w:rPr>
        <w:t>2017</w:t>
      </w:r>
      <w:r>
        <w:rPr>
          <w:spacing w:val="2"/>
          <w:sz w:val="20"/>
        </w:rPr>
        <w:t> </w:t>
      </w:r>
      <w:r>
        <w:rPr>
          <w:spacing w:val="-10"/>
          <w:sz w:val="20"/>
        </w:rPr>
        <w:t>–</w:t>
      </w:r>
    </w:p>
    <w:p>
      <w:pPr>
        <w:spacing w:before="12"/>
        <w:ind w:left="71" w:right="0" w:firstLine="0"/>
        <w:jc w:val="left"/>
        <w:rPr>
          <w:sz w:val="20"/>
        </w:rPr>
      </w:pPr>
      <w:r>
        <w:rPr>
          <w:b/>
          <w:sz w:val="20"/>
        </w:rPr>
        <w:t>Co-Director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MAPLE</w:t>
      </w:r>
      <w:r>
        <w:rPr>
          <w:b/>
          <w:spacing w:val="5"/>
          <w:sz w:val="20"/>
        </w:rPr>
        <w:t> </w:t>
      </w:r>
      <w:r>
        <w:rPr>
          <w:sz w:val="20"/>
        </w:rPr>
        <w:t>(Metro-Atlanta</w:t>
      </w:r>
      <w:r>
        <w:rPr>
          <w:spacing w:val="8"/>
          <w:sz w:val="20"/>
        </w:rPr>
        <w:t> </w:t>
      </w:r>
      <w:r>
        <w:rPr>
          <w:sz w:val="20"/>
        </w:rPr>
        <w:t>Policy</w:t>
      </w:r>
      <w:r>
        <w:rPr>
          <w:spacing w:val="7"/>
          <w:sz w:val="20"/>
        </w:rPr>
        <w:t> </w:t>
      </w:r>
      <w:r>
        <w:rPr>
          <w:sz w:val="20"/>
        </w:rPr>
        <w:t>Lab</w:t>
      </w:r>
      <w:r>
        <w:rPr>
          <w:spacing w:val="8"/>
          <w:sz w:val="20"/>
        </w:rPr>
        <w:t> </w:t>
      </w:r>
      <w:r>
        <w:rPr>
          <w:sz w:val="20"/>
        </w:rPr>
        <w:t>for</w:t>
      </w:r>
      <w:r>
        <w:rPr>
          <w:spacing w:val="7"/>
          <w:sz w:val="20"/>
        </w:rPr>
        <w:t> </w:t>
      </w:r>
      <w:r>
        <w:rPr>
          <w:sz w:val="20"/>
        </w:rPr>
        <w:t>Education)</w:t>
      </w:r>
      <w:r>
        <w:rPr>
          <w:spacing w:val="8"/>
          <w:sz w:val="20"/>
        </w:rPr>
        <w:t> </w:t>
      </w:r>
      <w:r>
        <w:rPr>
          <w:sz w:val="20"/>
        </w:rPr>
        <w:t>2017</w:t>
      </w:r>
      <w:r>
        <w:rPr>
          <w:spacing w:val="7"/>
          <w:sz w:val="20"/>
        </w:rPr>
        <w:t> </w:t>
      </w:r>
      <w:r>
        <w:rPr>
          <w:spacing w:val="-10"/>
          <w:sz w:val="20"/>
        </w:rPr>
        <w:t>–</w:t>
      </w:r>
    </w:p>
    <w:p>
      <w:pPr>
        <w:spacing w:before="162"/>
        <w:ind w:left="71" w:right="0" w:firstLine="0"/>
        <w:jc w:val="left"/>
        <w:rPr>
          <w:sz w:val="20"/>
        </w:rPr>
      </w:pPr>
      <w:r>
        <w:rPr>
          <w:b/>
          <w:spacing w:val="-4"/>
          <w:sz w:val="20"/>
        </w:rPr>
        <w:t>IZA</w:t>
      </w:r>
      <w:r>
        <w:rPr>
          <w:b/>
          <w:spacing w:val="9"/>
          <w:sz w:val="20"/>
        </w:rPr>
        <w:t> </w:t>
      </w:r>
      <w:r>
        <w:rPr>
          <w:b/>
          <w:spacing w:val="-4"/>
          <w:sz w:val="20"/>
        </w:rPr>
        <w:t>Research</w:t>
      </w:r>
      <w:r>
        <w:rPr>
          <w:b/>
          <w:spacing w:val="9"/>
          <w:sz w:val="20"/>
        </w:rPr>
        <w:t> </w:t>
      </w:r>
      <w:r>
        <w:rPr>
          <w:b/>
          <w:spacing w:val="-4"/>
          <w:sz w:val="20"/>
        </w:rPr>
        <w:t>Fellow</w:t>
      </w:r>
      <w:r>
        <w:rPr>
          <w:spacing w:val="-4"/>
          <w:sz w:val="20"/>
        </w:rPr>
        <w:t>,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2018</w:t>
      </w:r>
      <w:r>
        <w:rPr>
          <w:spacing w:val="5"/>
          <w:sz w:val="20"/>
        </w:rPr>
        <w:t> </w:t>
      </w:r>
      <w:r>
        <w:rPr>
          <w:spacing w:val="-10"/>
          <w:sz w:val="20"/>
        </w:rPr>
        <w:t>–</w:t>
      </w:r>
    </w:p>
    <w:p>
      <w:pPr>
        <w:pStyle w:val="BodyText"/>
        <w:spacing w:before="23"/>
      </w:pPr>
    </w:p>
    <w:p>
      <w:pPr>
        <w:pStyle w:val="BodyText"/>
        <w:ind w:left="71"/>
      </w:pPr>
      <w:r>
        <w:rPr>
          <w:spacing w:val="-2"/>
        </w:rPr>
        <w:t>Postdoctoral</w:t>
      </w:r>
      <w:r>
        <w:rPr/>
        <w:t> </w:t>
      </w:r>
      <w:r>
        <w:rPr>
          <w:spacing w:val="-2"/>
        </w:rPr>
        <w:t>Research</w:t>
      </w:r>
      <w:r>
        <w:rPr/>
        <w:t> </w:t>
      </w:r>
      <w:r>
        <w:rPr>
          <w:spacing w:val="-2"/>
        </w:rPr>
        <w:t>Fellow,</w:t>
      </w:r>
      <w:r>
        <w:rPr/>
        <w:t> </w:t>
      </w:r>
      <w:r>
        <w:rPr>
          <w:spacing w:val="-2"/>
        </w:rPr>
        <w:t>2012–2014</w:t>
      </w:r>
    </w:p>
    <w:p>
      <w:pPr>
        <w:pStyle w:val="BodyText"/>
        <w:spacing w:before="12"/>
        <w:ind w:left="251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Michigan,</w:t>
      </w:r>
      <w:r>
        <w:rPr>
          <w:spacing w:val="-2"/>
        </w:rPr>
        <w:t> </w:t>
      </w:r>
      <w:r>
        <w:rPr/>
        <w:t>Gerald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Ford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Public</w:t>
      </w:r>
      <w:r>
        <w:rPr>
          <w:spacing w:val="-2"/>
        </w:rPr>
        <w:t> Policy</w:t>
      </w:r>
    </w:p>
    <w:p>
      <w:pPr>
        <w:pStyle w:val="BodyText"/>
        <w:spacing w:after="0"/>
        <w:sectPr>
          <w:type w:val="continuous"/>
          <w:pgSz w:w="12240" w:h="15840"/>
          <w:pgMar w:header="0" w:footer="831" w:top="1140" w:bottom="1020" w:left="1440" w:right="1080"/>
          <w:cols w:num="2" w:equalWidth="0">
            <w:col w:w="1031" w:space="697"/>
            <w:col w:w="7992"/>
          </w:cols>
        </w:sectPr>
      </w:pPr>
    </w:p>
    <w:p>
      <w:pPr>
        <w:pStyle w:val="BodyText"/>
        <w:spacing w:before="164"/>
      </w:pPr>
    </w:p>
    <w:p>
      <w:pPr>
        <w:pStyle w:val="BodyText"/>
        <w:tabs>
          <w:tab w:pos="1799" w:val="left" w:leader="none"/>
        </w:tabs>
        <w:spacing w:line="268" w:lineRule="exact" w:before="1"/>
        <w:ind w:left="71"/>
      </w:pPr>
      <w:r>
        <w:rPr>
          <w:rFonts w:ascii="Palatino Linotype"/>
          <w:spacing w:val="-2"/>
        </w:rPr>
        <w:t>E</w:t>
      </w:r>
      <w:r>
        <w:rPr>
          <w:rFonts w:ascii="Palatino Linotype"/>
          <w:smallCaps/>
          <w:spacing w:val="-2"/>
        </w:rPr>
        <w:t>ducation</w:t>
      </w:r>
      <w:r>
        <w:rPr>
          <w:rFonts w:ascii="Palatino Linotype"/>
          <w:smallCaps w:val="0"/>
        </w:rPr>
        <w:tab/>
      </w:r>
      <w:bookmarkStart w:name="Education" w:id="3"/>
      <w:bookmarkEnd w:id="3"/>
      <w:r>
        <w:rPr>
          <w:rFonts w:ascii="Palatino Linotype"/>
          <w:smallCaps w:val="0"/>
        </w:rPr>
      </w:r>
      <w:r>
        <w:rPr>
          <w:smallCaps w:val="0"/>
        </w:rPr>
        <w:t>PhD</w:t>
      </w:r>
      <w:r>
        <w:rPr>
          <w:smallCaps w:val="0"/>
          <w:spacing w:val="2"/>
        </w:rPr>
        <w:t> </w:t>
      </w:r>
      <w:r>
        <w:rPr>
          <w:smallCaps w:val="0"/>
        </w:rPr>
        <w:t>University</w:t>
      </w:r>
      <w:r>
        <w:rPr>
          <w:smallCaps w:val="0"/>
          <w:spacing w:val="3"/>
        </w:rPr>
        <w:t> </w:t>
      </w:r>
      <w:r>
        <w:rPr>
          <w:smallCaps w:val="0"/>
        </w:rPr>
        <w:t>of</w:t>
      </w:r>
      <w:r>
        <w:rPr>
          <w:smallCaps w:val="0"/>
          <w:spacing w:val="3"/>
        </w:rPr>
        <w:t> </w:t>
      </w:r>
      <w:r>
        <w:rPr>
          <w:smallCaps w:val="0"/>
        </w:rPr>
        <w:t>Chicago,</w:t>
      </w:r>
      <w:r>
        <w:rPr>
          <w:smallCaps w:val="0"/>
          <w:spacing w:val="3"/>
        </w:rPr>
        <w:t> </w:t>
      </w:r>
      <w:r>
        <w:rPr>
          <w:smallCaps w:val="0"/>
          <w:spacing w:val="-4"/>
        </w:rPr>
        <w:t>2012</w:t>
      </w:r>
    </w:p>
    <w:p>
      <w:pPr>
        <w:pStyle w:val="BodyText"/>
        <w:spacing w:line="225" w:lineRule="exact"/>
        <w:ind w:left="1913"/>
      </w:pPr>
      <w:r>
        <w:rPr/>
        <w:t>Harris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>
          <w:spacing w:val="-2"/>
        </w:rPr>
        <w:t>Policy</w:t>
      </w:r>
    </w:p>
    <w:p>
      <w:pPr>
        <w:pStyle w:val="BodyText"/>
        <w:spacing w:line="252" w:lineRule="auto" w:before="155"/>
        <w:ind w:left="1913" w:right="4586" w:hanging="114"/>
      </w:pPr>
      <w:r>
        <w:rPr>
          <w:spacing w:val="-4"/>
        </w:rPr>
        <w:t>BA Tulane University, 2000 </w:t>
      </w:r>
      <w:r>
        <w:rPr/>
        <w:t>Philosophy and History</w:t>
      </w:r>
    </w:p>
    <w:p>
      <w:pPr>
        <w:pStyle w:val="BodyText"/>
        <w:spacing w:before="95"/>
      </w:pPr>
    </w:p>
    <w:p>
      <w:pPr>
        <w:pStyle w:val="BodyText"/>
        <w:spacing w:after="0"/>
        <w:sectPr>
          <w:type w:val="continuous"/>
          <w:pgSz w:w="12240" w:h="15840"/>
          <w:pgMar w:header="0" w:footer="831" w:top="1140" w:bottom="1020" w:left="1440" w:right="1080"/>
        </w:sectPr>
      </w:pPr>
    </w:p>
    <w:p>
      <w:pPr>
        <w:pStyle w:val="BodyText"/>
        <w:spacing w:before="94"/>
      </w:pPr>
    </w:p>
    <w:p>
      <w:pPr>
        <w:pStyle w:val="BodyText"/>
        <w:spacing w:line="213" w:lineRule="auto"/>
        <w:ind w:left="71"/>
        <w:rPr>
          <w:rFonts w:ascii="Palatino Linotype"/>
        </w:rPr>
      </w:pPr>
      <w:r>
        <w:rPr>
          <w:rFonts w:ascii="Palatino Linotype"/>
          <w:spacing w:val="-2"/>
          <w:w w:val="105"/>
        </w:rPr>
        <w:t>P</w:t>
      </w:r>
      <w:r>
        <w:rPr>
          <w:rFonts w:ascii="Palatino Linotype"/>
          <w:smallCaps/>
          <w:spacing w:val="-2"/>
          <w:w w:val="105"/>
        </w:rPr>
        <w:t>ublications</w:t>
      </w:r>
      <w:r>
        <w:rPr>
          <w:rFonts w:ascii="Palatino Linotype"/>
          <w:smallCaps w:val="0"/>
          <w:spacing w:val="-2"/>
          <w:w w:val="105"/>
        </w:rPr>
        <w:t> </w:t>
      </w:r>
      <w:r>
        <w:rPr>
          <w:rFonts w:ascii="Palatino Linotype"/>
          <w:smallCaps w:val="0"/>
          <w:w w:val="105"/>
        </w:rPr>
        <w:t>&amp;</w:t>
      </w:r>
      <w:r>
        <w:rPr>
          <w:rFonts w:ascii="Palatino Linotype"/>
          <w:smallCaps w:val="0"/>
          <w:w w:val="105"/>
        </w:rPr>
        <w:t> A</w:t>
      </w:r>
      <w:r>
        <w:rPr>
          <w:rFonts w:ascii="Palatino Linotype"/>
          <w:smallCaps/>
          <w:w w:val="105"/>
        </w:rPr>
        <w:t>ccepted</w:t>
      </w:r>
    </w:p>
    <w:p>
      <w:pPr>
        <w:pStyle w:val="BodyText"/>
        <w:spacing w:line="252" w:lineRule="auto" w:before="141"/>
        <w:ind w:left="355" w:right="358" w:hanging="284"/>
        <w:jc w:val="both"/>
      </w:pPr>
      <w:r>
        <w:rPr/>
        <w:br w:type="column"/>
      </w:r>
      <w:bookmarkStart w:name="Publications  &amp; Accepted" w:id="4"/>
      <w:bookmarkEnd w:id="4"/>
      <w:r>
        <w:rPr/>
      </w:r>
      <w:r>
        <w:rPr/>
        <w:t>Kreisman, D. and Steinberg, M. (Accepted) “The Effect of Increased Funding on Student Outcomes: Evidence from Texas’s Small District Adjustment.” </w:t>
      </w:r>
      <w:r>
        <w:rPr>
          <w:i/>
        </w:rPr>
        <w:t>Journal of Public Economics</w:t>
      </w:r>
      <w:r>
        <w:rPr/>
        <w:t>.</w:t>
      </w:r>
    </w:p>
    <w:p>
      <w:pPr>
        <w:pStyle w:val="BodyText"/>
        <w:spacing w:before="13"/>
      </w:pPr>
    </w:p>
    <w:p>
      <w:pPr>
        <w:pStyle w:val="BodyText"/>
        <w:spacing w:line="252" w:lineRule="auto" w:before="1"/>
        <w:ind w:left="355" w:right="358" w:hanging="284"/>
        <w:jc w:val="both"/>
      </w:pPr>
      <w:r>
        <w:rPr/>
        <w:t>Austin, W. Heutel, G., &amp; Kreisman, D. (Accepted). “School Bus Emissions, Student Health,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Academic</w:t>
      </w:r>
      <w:r>
        <w:rPr>
          <w:spacing w:val="-2"/>
        </w:rPr>
        <w:t> </w:t>
      </w:r>
      <w:r>
        <w:rPr/>
        <w:t>Performance.”</w:t>
      </w:r>
      <w:r>
        <w:rPr>
          <w:spacing w:val="-2"/>
        </w:rPr>
        <w:t> </w:t>
      </w:r>
      <w:r>
        <w:rPr>
          <w:i/>
        </w:rPr>
        <w:t>Economics of Education Review</w:t>
      </w:r>
      <w:r>
        <w:rPr/>
        <w:t>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355" w:right="357" w:hanging="284"/>
        <w:jc w:val="both"/>
      </w:pPr>
      <w:r>
        <w:rPr/>
        <w:t>Kreisman, D. &amp; Stange, K. (Accepted). “Vocational and Career Tech Education in American</w:t>
      </w:r>
      <w:r>
        <w:rPr>
          <w:spacing w:val="-13"/>
        </w:rPr>
        <w:t> </w:t>
      </w:r>
      <w:r>
        <w:rPr/>
        <w:t>High</w:t>
      </w:r>
      <w:r>
        <w:rPr>
          <w:spacing w:val="-12"/>
        </w:rPr>
        <w:t> </w:t>
      </w:r>
      <w:r>
        <w:rPr/>
        <w:t>Schools: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Value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Depth</w:t>
      </w:r>
      <w:r>
        <w:rPr>
          <w:spacing w:val="-12"/>
        </w:rPr>
        <w:t> </w:t>
      </w:r>
      <w:r>
        <w:rPr/>
        <w:t>Over</w:t>
      </w:r>
      <w:r>
        <w:rPr>
          <w:spacing w:val="-12"/>
        </w:rPr>
        <w:t> </w:t>
      </w:r>
      <w:r>
        <w:rPr/>
        <w:t>Breadth.”</w:t>
      </w:r>
      <w:r>
        <w:rPr>
          <w:spacing w:val="-12"/>
        </w:rPr>
        <w:t> </w:t>
      </w:r>
      <w:r>
        <w:rPr>
          <w:i/>
        </w:rPr>
        <w:t>Education</w:t>
      </w:r>
      <w:r>
        <w:rPr>
          <w:i/>
          <w:spacing w:val="-12"/>
        </w:rPr>
        <w:t> </w:t>
      </w:r>
      <w:r>
        <w:rPr>
          <w:i/>
        </w:rPr>
        <w:t>Finance</w:t>
      </w:r>
      <w:r>
        <w:rPr>
          <w:i/>
          <w:spacing w:val="-12"/>
        </w:rPr>
        <w:t> </w:t>
      </w:r>
      <w:r>
        <w:rPr>
          <w:i/>
        </w:rPr>
        <w:t>and </w:t>
      </w:r>
      <w:r>
        <w:rPr>
          <w:i/>
          <w:spacing w:val="-2"/>
        </w:rPr>
        <w:t>Policy</w:t>
      </w:r>
      <w:r>
        <w:rPr>
          <w:spacing w:val="-2"/>
        </w:rPr>
        <w:t>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355" w:right="356" w:hanging="284"/>
        <w:jc w:val="both"/>
      </w:pPr>
      <w:r>
        <w:rPr/>
        <w:t>Dynarski, S., Jacob, B., &amp; Kreisman, D. (2018) “How Important Are Fixed Effects and Time</w:t>
      </w:r>
      <w:r>
        <w:rPr>
          <w:spacing w:val="24"/>
        </w:rPr>
        <w:t> </w:t>
      </w:r>
      <w:r>
        <w:rPr/>
        <w:t>Trends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Estimating</w:t>
      </w:r>
      <w:r>
        <w:rPr>
          <w:spacing w:val="24"/>
        </w:rPr>
        <w:t> </w:t>
      </w:r>
      <w:r>
        <w:rPr/>
        <w:t>Returns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Schooling?</w:t>
      </w:r>
      <w:r>
        <w:rPr>
          <w:spacing w:val="24"/>
        </w:rPr>
        <w:t> </w:t>
      </w:r>
      <w:r>
        <w:rPr/>
        <w:t>Evidence</w:t>
      </w:r>
      <w:r>
        <w:rPr>
          <w:spacing w:val="24"/>
        </w:rPr>
        <w:t> </w:t>
      </w:r>
      <w:r>
        <w:rPr/>
        <w:t>From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Replication of Jacobson, Lalonde and Sullivan, 2005.” </w:t>
      </w:r>
      <w:r>
        <w:rPr>
          <w:i/>
        </w:rPr>
        <w:t>Journal of Applied Econometrics</w:t>
      </w:r>
      <w:r>
        <w:rPr/>
        <w:t>; 33: 1098–1108 (Replications).</w:t>
      </w:r>
    </w:p>
    <w:p>
      <w:pPr>
        <w:pStyle w:val="BodyText"/>
        <w:spacing w:before="13"/>
      </w:pPr>
    </w:p>
    <w:p>
      <w:pPr>
        <w:spacing w:line="252" w:lineRule="auto" w:before="1"/>
        <w:ind w:left="355" w:right="358" w:hanging="284"/>
        <w:jc w:val="both"/>
        <w:rPr>
          <w:sz w:val="20"/>
        </w:rPr>
      </w:pPr>
      <w:r>
        <w:rPr>
          <w:sz w:val="20"/>
        </w:rPr>
        <w:t>Kreisman, D. (2017). “The Next Needed Thing: The Impact of the Jeanes Fund on Black</w:t>
      </w:r>
      <w:r>
        <w:rPr>
          <w:spacing w:val="-6"/>
          <w:sz w:val="20"/>
        </w:rPr>
        <w:t> </w:t>
      </w:r>
      <w:r>
        <w:rPr>
          <w:sz w:val="20"/>
        </w:rPr>
        <w:t>Schooling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South,</w:t>
      </w:r>
      <w:r>
        <w:rPr>
          <w:spacing w:val="-5"/>
          <w:sz w:val="20"/>
        </w:rPr>
        <w:t> </w:t>
      </w:r>
      <w:r>
        <w:rPr>
          <w:sz w:val="20"/>
        </w:rPr>
        <w:t>1900–1930.”</w:t>
      </w:r>
      <w:r>
        <w:rPr>
          <w:spacing w:val="-6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Human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Resources,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52(2)</w:t>
      </w:r>
      <w:r>
        <w:rPr>
          <w:sz w:val="20"/>
        </w:rPr>
        <w:t>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355" w:right="355" w:hanging="284"/>
        <w:jc w:val="both"/>
      </w:pPr>
      <w:r>
        <w:rPr/>
        <w:t>Steinberg, M., Quinn, R., Kreisman, D., and Anglum, C. (2016). “Did Pennsylvania’s Statewide School Finance Reform Increase Education Spending or Provide Tax Relief?” </w:t>
      </w:r>
      <w:r>
        <w:rPr>
          <w:i/>
        </w:rPr>
        <w:t>National Tax Journal, 69(3), 545-582</w:t>
      </w:r>
      <w:r>
        <w:rPr/>
        <w:t>.</w:t>
      </w:r>
    </w:p>
    <w:p>
      <w:pPr>
        <w:pStyle w:val="BodyText"/>
        <w:spacing w:before="14"/>
      </w:pPr>
    </w:p>
    <w:p>
      <w:pPr>
        <w:spacing w:line="252" w:lineRule="auto" w:before="0"/>
        <w:ind w:left="355" w:right="358" w:hanging="284"/>
        <w:jc w:val="both"/>
        <w:rPr>
          <w:sz w:val="20"/>
        </w:rPr>
      </w:pPr>
      <w:r>
        <w:rPr>
          <w:spacing w:val="-2"/>
          <w:sz w:val="20"/>
        </w:rPr>
        <w:t>Kreisman,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Rangel,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(2015).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“Blurring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Color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Line: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Wages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Employment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Black</w:t>
      </w:r>
      <w:r>
        <w:rPr>
          <w:spacing w:val="-1"/>
          <w:sz w:val="20"/>
        </w:rPr>
        <w:t> </w:t>
      </w:r>
      <w:r>
        <w:rPr>
          <w:sz w:val="20"/>
        </w:rPr>
        <w:t>Males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Different</w:t>
      </w:r>
      <w:r>
        <w:rPr>
          <w:spacing w:val="-1"/>
          <w:sz w:val="20"/>
        </w:rPr>
        <w:t> </w:t>
      </w:r>
      <w:r>
        <w:rPr>
          <w:sz w:val="20"/>
        </w:rPr>
        <w:t>Skin</w:t>
      </w:r>
      <w:r>
        <w:rPr>
          <w:spacing w:val="-1"/>
          <w:sz w:val="20"/>
        </w:rPr>
        <w:t> </w:t>
      </w:r>
      <w:r>
        <w:rPr>
          <w:sz w:val="20"/>
        </w:rPr>
        <w:t>Tones.”</w:t>
      </w:r>
      <w:r>
        <w:rPr>
          <w:spacing w:val="-1"/>
          <w:sz w:val="20"/>
        </w:rPr>
        <w:t> </w:t>
      </w:r>
      <w:r>
        <w:rPr>
          <w:i/>
          <w:sz w:val="20"/>
        </w:rPr>
        <w:t>The Review of Economics and Statistics, 97(1) </w:t>
      </w:r>
      <w:r>
        <w:rPr>
          <w:sz w:val="20"/>
        </w:rPr>
        <w:t>[Lead article].</w:t>
      </w:r>
    </w:p>
    <w:p>
      <w:pPr>
        <w:pStyle w:val="BodyText"/>
        <w:spacing w:before="13"/>
      </w:pPr>
    </w:p>
    <w:p>
      <w:pPr>
        <w:spacing w:line="252" w:lineRule="auto" w:before="0"/>
        <w:ind w:left="355" w:right="355" w:hanging="284"/>
        <w:jc w:val="both"/>
        <w:rPr>
          <w:sz w:val="20"/>
        </w:rPr>
      </w:pPr>
      <w:r>
        <w:rPr>
          <w:sz w:val="20"/>
        </w:rPr>
        <w:t>Kreisman, D. (2012). “The Source of Black-White Inequality in Early Language Acquisition: Evidence from Early Head Start.” </w:t>
      </w:r>
      <w:r>
        <w:rPr>
          <w:i/>
          <w:sz w:val="20"/>
        </w:rPr>
        <w:t>Social Science Research, 41(6): </w:t>
      </w:r>
      <w:r>
        <w:rPr>
          <w:i/>
          <w:spacing w:val="-2"/>
          <w:sz w:val="20"/>
        </w:rPr>
        <w:t>1429-1450</w:t>
      </w:r>
      <w:r>
        <w:rPr>
          <w:spacing w:val="-2"/>
          <w:sz w:val="20"/>
        </w:rPr>
        <w:t>.</w:t>
      </w:r>
    </w:p>
    <w:p>
      <w:pPr>
        <w:spacing w:after="0" w:line="252" w:lineRule="auto"/>
        <w:jc w:val="both"/>
        <w:rPr>
          <w:sz w:val="20"/>
        </w:rPr>
        <w:sectPr>
          <w:type w:val="continuous"/>
          <w:pgSz w:w="12240" w:h="15840"/>
          <w:pgMar w:header="0" w:footer="831" w:top="1140" w:bottom="1020" w:left="1440" w:right="1080"/>
          <w:cols w:num="2" w:equalWidth="0">
            <w:col w:w="1365" w:space="363"/>
            <w:col w:w="7992"/>
          </w:cols>
        </w:sectPr>
      </w:pPr>
    </w:p>
    <w:p>
      <w:pPr>
        <w:pStyle w:val="BodyText"/>
        <w:tabs>
          <w:tab w:pos="1799" w:val="left" w:leader="none"/>
        </w:tabs>
        <w:spacing w:line="235" w:lineRule="auto" w:before="93"/>
        <w:ind w:left="2083" w:right="362" w:hanging="2012"/>
      </w:pPr>
      <w:r>
        <w:rPr>
          <w:rFonts w:ascii="Palatino Linotype" w:hAnsi="Palatino Linotype"/>
        </w:rPr>
        <w:t>U</w:t>
      </w:r>
      <w:r>
        <w:rPr>
          <w:rFonts w:ascii="Palatino Linotype" w:hAnsi="Palatino Linotype"/>
          <w:smallCaps/>
        </w:rPr>
        <w:t>nder</w:t>
      </w:r>
      <w:r>
        <w:rPr>
          <w:rFonts w:ascii="Palatino Linotype" w:hAnsi="Palatino Linotype"/>
          <w:smallCaps w:val="0"/>
        </w:rPr>
        <w:t> R</w:t>
      </w:r>
      <w:r>
        <w:rPr>
          <w:rFonts w:ascii="Palatino Linotype" w:hAnsi="Palatino Linotype"/>
          <w:smallCaps/>
        </w:rPr>
        <w:t>eview</w:t>
      </w:r>
      <w:r>
        <w:rPr>
          <w:rFonts w:ascii="Palatino Linotype" w:hAnsi="Palatino Linotype"/>
          <w:smallCaps w:val="0"/>
        </w:rPr>
        <w:tab/>
      </w:r>
      <w:bookmarkStart w:name="Under Review" w:id="5"/>
      <w:bookmarkEnd w:id="5"/>
      <w:r>
        <w:rPr>
          <w:rFonts w:ascii="Palatino Linotype" w:hAnsi="Palatino Linotype"/>
          <w:smallCaps w:val="0"/>
        </w:rPr>
      </w:r>
      <w:r>
        <w:rPr>
          <w:smallCaps w:val="0"/>
        </w:rPr>
        <w:t>Cox,</w:t>
      </w:r>
      <w:r>
        <w:rPr>
          <w:smallCaps w:val="0"/>
          <w:spacing w:val="40"/>
        </w:rPr>
        <w:t> </w:t>
      </w:r>
      <w:r>
        <w:rPr>
          <w:smallCaps w:val="0"/>
        </w:rPr>
        <w:t>J.</w:t>
      </w:r>
      <w:r>
        <w:rPr>
          <w:smallCaps w:val="0"/>
          <w:spacing w:val="40"/>
        </w:rPr>
        <w:t> </w:t>
      </w:r>
      <w:r>
        <w:rPr>
          <w:smallCaps w:val="0"/>
        </w:rPr>
        <w:t>C.,</w:t>
      </w:r>
      <w:r>
        <w:rPr>
          <w:smallCaps w:val="0"/>
          <w:spacing w:val="40"/>
        </w:rPr>
        <w:t> </w:t>
      </w:r>
      <w:r>
        <w:rPr>
          <w:smallCaps w:val="0"/>
        </w:rPr>
        <w:t>Kreisman,</w:t>
      </w:r>
      <w:r>
        <w:rPr>
          <w:smallCaps w:val="0"/>
          <w:spacing w:val="40"/>
        </w:rPr>
        <w:t> </w:t>
      </w:r>
      <w:r>
        <w:rPr>
          <w:smallCaps w:val="0"/>
        </w:rPr>
        <w:t>D.</w:t>
      </w:r>
      <w:r>
        <w:rPr>
          <w:smallCaps w:val="0"/>
          <w:spacing w:val="40"/>
        </w:rPr>
        <w:t> </w:t>
      </w:r>
      <w:r>
        <w:rPr>
          <w:smallCaps w:val="0"/>
        </w:rPr>
        <w:t>&amp;</w:t>
      </w:r>
      <w:r>
        <w:rPr>
          <w:smallCaps w:val="0"/>
          <w:spacing w:val="40"/>
        </w:rPr>
        <w:t> </w:t>
      </w:r>
      <w:r>
        <w:rPr>
          <w:smallCaps w:val="0"/>
        </w:rPr>
        <w:t>Dynarski,</w:t>
      </w:r>
      <w:r>
        <w:rPr>
          <w:smallCaps w:val="0"/>
          <w:spacing w:val="40"/>
        </w:rPr>
        <w:t> </w:t>
      </w:r>
      <w:r>
        <w:rPr>
          <w:smallCaps w:val="0"/>
        </w:rPr>
        <w:t>S.</w:t>
      </w:r>
      <w:r>
        <w:rPr>
          <w:smallCaps w:val="0"/>
          <w:spacing w:val="40"/>
        </w:rPr>
        <w:t> </w:t>
      </w:r>
      <w:r>
        <w:rPr>
          <w:smallCaps w:val="0"/>
        </w:rPr>
        <w:t>“Designed</w:t>
      </w:r>
      <w:r>
        <w:rPr>
          <w:smallCaps w:val="0"/>
          <w:spacing w:val="40"/>
        </w:rPr>
        <w:t> </w:t>
      </w:r>
      <w:r>
        <w:rPr>
          <w:smallCaps w:val="0"/>
        </w:rPr>
        <w:t>to</w:t>
      </w:r>
      <w:r>
        <w:rPr>
          <w:smallCaps w:val="0"/>
          <w:spacing w:val="40"/>
        </w:rPr>
        <w:t> </w:t>
      </w:r>
      <w:r>
        <w:rPr>
          <w:smallCaps w:val="0"/>
        </w:rPr>
        <w:t>Fail:</w:t>
      </w:r>
      <w:r>
        <w:rPr>
          <w:smallCaps w:val="0"/>
          <w:spacing w:val="40"/>
        </w:rPr>
        <w:t> </w:t>
      </w:r>
      <w:r>
        <w:rPr>
          <w:smallCaps w:val="0"/>
        </w:rPr>
        <w:t>Effects</w:t>
      </w:r>
      <w:r>
        <w:rPr>
          <w:smallCaps w:val="0"/>
          <w:spacing w:val="40"/>
        </w:rPr>
        <w:t> </w:t>
      </w:r>
      <w:r>
        <w:rPr>
          <w:smallCaps w:val="0"/>
        </w:rPr>
        <w:t>of</w:t>
      </w:r>
      <w:r>
        <w:rPr>
          <w:smallCaps w:val="0"/>
          <w:spacing w:val="40"/>
        </w:rPr>
        <w:t> </w:t>
      </w:r>
      <w:r>
        <w:rPr>
          <w:smallCaps w:val="0"/>
        </w:rPr>
        <w:t>the</w:t>
      </w:r>
      <w:r>
        <w:rPr>
          <w:smallCaps w:val="0"/>
          <w:spacing w:val="40"/>
        </w:rPr>
        <w:t> </w:t>
      </w:r>
      <w:r>
        <w:rPr>
          <w:smallCaps w:val="0"/>
        </w:rPr>
        <w:t>Default Option</w:t>
      </w:r>
      <w:r>
        <w:rPr>
          <w:smallCaps w:val="0"/>
          <w:spacing w:val="-5"/>
        </w:rPr>
        <w:t> </w:t>
      </w:r>
      <w:r>
        <w:rPr>
          <w:smallCaps w:val="0"/>
        </w:rPr>
        <w:t>and</w:t>
      </w:r>
      <w:r>
        <w:rPr>
          <w:smallCaps w:val="0"/>
          <w:spacing w:val="-5"/>
        </w:rPr>
        <w:t> </w:t>
      </w:r>
      <w:r>
        <w:rPr>
          <w:smallCaps w:val="0"/>
        </w:rPr>
        <w:t>Information</w:t>
      </w:r>
      <w:r>
        <w:rPr>
          <w:smallCaps w:val="0"/>
          <w:spacing w:val="-5"/>
        </w:rPr>
        <w:t> </w:t>
      </w:r>
      <w:r>
        <w:rPr>
          <w:smallCaps w:val="0"/>
        </w:rPr>
        <w:t>Complexity</w:t>
      </w:r>
      <w:r>
        <w:rPr>
          <w:smallCaps w:val="0"/>
          <w:spacing w:val="-5"/>
        </w:rPr>
        <w:t> </w:t>
      </w:r>
      <w:r>
        <w:rPr>
          <w:smallCaps w:val="0"/>
        </w:rPr>
        <w:t>on</w:t>
      </w:r>
      <w:r>
        <w:rPr>
          <w:smallCaps w:val="0"/>
          <w:spacing w:val="-5"/>
        </w:rPr>
        <w:t> </w:t>
      </w:r>
      <w:r>
        <w:rPr>
          <w:smallCaps w:val="0"/>
        </w:rPr>
        <w:t>Student</w:t>
      </w:r>
      <w:r>
        <w:rPr>
          <w:smallCaps w:val="0"/>
          <w:spacing w:val="-5"/>
        </w:rPr>
        <w:t> </w:t>
      </w:r>
      <w:r>
        <w:rPr>
          <w:smallCaps w:val="0"/>
        </w:rPr>
        <w:t>Loan</w:t>
      </w:r>
      <w:r>
        <w:rPr>
          <w:smallCaps w:val="0"/>
          <w:spacing w:val="-5"/>
        </w:rPr>
        <w:t> </w:t>
      </w:r>
      <w:r>
        <w:rPr>
          <w:smallCaps w:val="0"/>
        </w:rPr>
        <w:t>Repayment.”</w:t>
      </w:r>
      <w:r>
        <w:rPr>
          <w:smallCaps w:val="0"/>
          <w:spacing w:val="-4"/>
        </w:rPr>
        <w:t> </w:t>
      </w:r>
      <w:r>
        <w:rPr>
          <w:i/>
          <w:smallCaps w:val="0"/>
        </w:rPr>
        <w:t>Under</w:t>
      </w:r>
      <w:r>
        <w:rPr>
          <w:i/>
          <w:smallCaps w:val="0"/>
          <w:spacing w:val="-1"/>
        </w:rPr>
        <w:t> </w:t>
      </w:r>
      <w:r>
        <w:rPr>
          <w:i/>
          <w:smallCaps w:val="0"/>
        </w:rPr>
        <w:t>Review</w:t>
      </w:r>
      <w:r>
        <w:rPr>
          <w:smallCaps w:val="0"/>
        </w:rPr>
        <w:t>.</w:t>
      </w:r>
    </w:p>
    <w:p>
      <w:pPr>
        <w:pStyle w:val="BodyText"/>
        <w:spacing w:before="25"/>
      </w:pPr>
    </w:p>
    <w:p>
      <w:pPr>
        <w:pStyle w:val="BodyText"/>
        <w:ind w:right="386"/>
        <w:jc w:val="center"/>
      </w:pPr>
      <w:r>
        <w:rPr/>
        <w:t>Kreisman,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Smith,</w:t>
      </w:r>
      <w:r>
        <w:rPr>
          <w:spacing w:val="-2"/>
        </w:rPr>
        <w:t> </w:t>
      </w:r>
      <w:r>
        <w:rPr/>
        <w:t>J.</w:t>
      </w:r>
      <w:r>
        <w:rPr>
          <w:spacing w:val="-3"/>
        </w:rPr>
        <w:t> </w:t>
      </w:r>
      <w:r>
        <w:rPr/>
        <w:t>“Names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Schooling.”</w:t>
      </w:r>
      <w:r>
        <w:rPr>
          <w:spacing w:val="-2"/>
        </w:rPr>
        <w:t> </w:t>
      </w:r>
      <w:r>
        <w:rPr>
          <w:i/>
        </w:rPr>
        <w:t>Under</w:t>
      </w:r>
      <w:r>
        <w:rPr>
          <w:i/>
          <w:spacing w:val="2"/>
        </w:rPr>
        <w:t> </w:t>
      </w:r>
      <w:r>
        <w:rPr>
          <w:i/>
          <w:spacing w:val="-2"/>
        </w:rPr>
        <w:t>Review</w:t>
      </w:r>
      <w:r>
        <w:rPr>
          <w:spacing w:val="-2"/>
        </w:rPr>
        <w:t>.</w:t>
      </w:r>
    </w:p>
    <w:p>
      <w:pPr>
        <w:pStyle w:val="BodyText"/>
        <w:spacing w:before="24"/>
      </w:pPr>
    </w:p>
    <w:p>
      <w:pPr>
        <w:pStyle w:val="BodyText"/>
        <w:spacing w:line="252" w:lineRule="auto"/>
        <w:ind w:left="2083" w:hanging="284"/>
      </w:pPr>
      <w:r>
        <w:rPr/>
        <w:t>Kreisman,</w:t>
      </w:r>
      <w:r>
        <w:rPr>
          <w:spacing w:val="-3"/>
        </w:rPr>
        <w:t> </w:t>
      </w:r>
      <w:r>
        <w:rPr/>
        <w:t>D.,</w:t>
      </w:r>
      <w:r>
        <w:rPr>
          <w:spacing w:val="-3"/>
        </w:rPr>
        <w:t> </w:t>
      </w:r>
      <w:r>
        <w:rPr/>
        <w:t>Smith,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Arifin,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“Labor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Signaling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College: Evidence From Resumes and the Truth.” </w:t>
      </w:r>
      <w:r>
        <w:rPr>
          <w:i/>
        </w:rPr>
        <w:t>Under Review</w:t>
      </w:r>
      <w:r>
        <w:rPr/>
        <w:t>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2083" w:right="362" w:hanging="284"/>
      </w:pPr>
      <w:r>
        <w:rPr/>
        <w:t>Jones,</w:t>
      </w:r>
      <w:r>
        <w:rPr>
          <w:spacing w:val="-9"/>
        </w:rPr>
        <w:t> </w:t>
      </w:r>
      <w:r>
        <w:rPr/>
        <w:t>T.,</w:t>
      </w:r>
      <w:r>
        <w:rPr>
          <w:spacing w:val="-9"/>
        </w:rPr>
        <w:t> </w:t>
      </w:r>
      <w:r>
        <w:rPr/>
        <w:t>Kreisman,</w:t>
      </w:r>
      <w:r>
        <w:rPr>
          <w:spacing w:val="-9"/>
        </w:rPr>
        <w:t> </w:t>
      </w:r>
      <w:r>
        <w:rPr/>
        <w:t>D.,</w:t>
      </w:r>
      <w:r>
        <w:rPr>
          <w:spacing w:val="-9"/>
        </w:rPr>
        <w:t> </w:t>
      </w:r>
      <w:r>
        <w:rPr/>
        <w:t>Rubenstein,</w:t>
      </w:r>
      <w:r>
        <w:rPr>
          <w:spacing w:val="-9"/>
        </w:rPr>
        <w:t> </w:t>
      </w:r>
      <w:r>
        <w:rPr/>
        <w:t>R.,</w:t>
      </w:r>
      <w:r>
        <w:rPr>
          <w:spacing w:val="-9"/>
        </w:rPr>
        <w:t> </w:t>
      </w:r>
      <w:r>
        <w:rPr/>
        <w:t>Searcy,</w:t>
      </w:r>
      <w:r>
        <w:rPr>
          <w:spacing w:val="-9"/>
        </w:rPr>
        <w:t> </w:t>
      </w:r>
      <w:r>
        <w:rPr/>
        <w:t>S.,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Bhat,</w:t>
      </w:r>
      <w:r>
        <w:rPr>
          <w:spacing w:val="-9"/>
        </w:rPr>
        <w:t> </w:t>
      </w:r>
      <w:r>
        <w:rPr/>
        <w:t>R.</w:t>
      </w:r>
      <w:r>
        <w:rPr>
          <w:spacing w:val="-9"/>
        </w:rPr>
        <w:t> </w:t>
      </w:r>
      <w:r>
        <w:rPr/>
        <w:t>“The</w:t>
      </w:r>
      <w:r>
        <w:rPr>
          <w:spacing w:val="-9"/>
        </w:rPr>
        <w:t> </w:t>
      </w:r>
      <w:r>
        <w:rPr/>
        <w:t>Effects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Financial Aid Loss on Student Persistence and Graduation.” </w:t>
      </w:r>
      <w:r>
        <w:rPr>
          <w:i/>
        </w:rPr>
        <w:t>Under Review</w:t>
      </w:r>
      <w:r>
        <w:rPr/>
        <w:t>.</w:t>
      </w:r>
    </w:p>
    <w:p>
      <w:pPr>
        <w:pStyle w:val="BodyText"/>
        <w:spacing w:before="158"/>
      </w:pPr>
    </w:p>
    <w:p>
      <w:pPr>
        <w:pStyle w:val="BodyText"/>
        <w:tabs>
          <w:tab w:pos="1799" w:val="left" w:leader="none"/>
        </w:tabs>
        <w:spacing w:line="235" w:lineRule="auto"/>
        <w:ind w:left="2083" w:right="362" w:hanging="2012"/>
      </w:pPr>
      <w:r>
        <w:rPr>
          <w:rFonts w:ascii="Palatino Linotype" w:hAnsi="Palatino Linotype"/>
        </w:rPr>
        <w:t>I</w:t>
      </w:r>
      <w:r>
        <w:rPr>
          <w:rFonts w:ascii="Palatino Linotype" w:hAnsi="Palatino Linotype"/>
          <w:smallCaps/>
        </w:rPr>
        <w:t>n</w:t>
      </w:r>
      <w:r>
        <w:rPr>
          <w:rFonts w:ascii="Palatino Linotype" w:hAnsi="Palatino Linotype"/>
          <w:smallCaps w:val="0"/>
        </w:rPr>
        <w:t> P</w:t>
      </w:r>
      <w:r>
        <w:rPr>
          <w:rFonts w:ascii="Palatino Linotype" w:hAnsi="Palatino Linotype"/>
          <w:smallCaps/>
        </w:rPr>
        <w:t>rogress</w:t>
      </w:r>
      <w:r>
        <w:rPr>
          <w:rFonts w:ascii="Palatino Linotype" w:hAnsi="Palatino Linotype"/>
          <w:smallCaps w:val="0"/>
        </w:rPr>
        <w:tab/>
      </w:r>
      <w:bookmarkStart w:name="In Progress" w:id="6"/>
      <w:bookmarkEnd w:id="6"/>
      <w:r>
        <w:rPr>
          <w:rFonts w:ascii="Palatino Linotype" w:hAnsi="Palatino Linotype"/>
          <w:smallCaps w:val="0"/>
        </w:rPr>
      </w:r>
      <w:r>
        <w:rPr>
          <w:smallCaps w:val="0"/>
        </w:rPr>
        <w:t>Goldring,</w:t>
      </w:r>
      <w:r>
        <w:rPr>
          <w:smallCaps w:val="0"/>
          <w:spacing w:val="40"/>
        </w:rPr>
        <w:t> </w:t>
      </w:r>
      <w:r>
        <w:rPr>
          <w:smallCaps w:val="0"/>
        </w:rPr>
        <w:t>T.,</w:t>
      </w:r>
      <w:r>
        <w:rPr>
          <w:smallCaps w:val="0"/>
          <w:spacing w:val="40"/>
        </w:rPr>
        <w:t> </w:t>
      </w:r>
      <w:r>
        <w:rPr>
          <w:smallCaps w:val="0"/>
        </w:rPr>
        <w:t>Jacob,</w:t>
      </w:r>
      <w:r>
        <w:rPr>
          <w:smallCaps w:val="0"/>
          <w:spacing w:val="40"/>
        </w:rPr>
        <w:t> </w:t>
      </w:r>
      <w:r>
        <w:rPr>
          <w:smallCaps w:val="0"/>
        </w:rPr>
        <w:t>B.,</w:t>
      </w:r>
      <w:r>
        <w:rPr>
          <w:smallCaps w:val="0"/>
          <w:spacing w:val="40"/>
        </w:rPr>
        <w:t> </w:t>
      </w:r>
      <w:r>
        <w:rPr>
          <w:smallCaps w:val="0"/>
        </w:rPr>
        <w:t>Kreisman,</w:t>
      </w:r>
      <w:r>
        <w:rPr>
          <w:smallCaps w:val="0"/>
          <w:spacing w:val="40"/>
        </w:rPr>
        <w:t> </w:t>
      </w:r>
      <w:r>
        <w:rPr>
          <w:smallCaps w:val="0"/>
        </w:rPr>
        <w:t>D.,</w:t>
      </w:r>
      <w:r>
        <w:rPr>
          <w:smallCaps w:val="0"/>
          <w:spacing w:val="40"/>
        </w:rPr>
        <w:t> </w:t>
      </w:r>
      <w:r>
        <w:rPr>
          <w:smallCaps w:val="0"/>
        </w:rPr>
        <w:t>and</w:t>
      </w:r>
      <w:r>
        <w:rPr>
          <w:smallCaps w:val="0"/>
          <w:spacing w:val="40"/>
        </w:rPr>
        <w:t> </w:t>
      </w:r>
      <w:r>
        <w:rPr>
          <w:smallCaps w:val="0"/>
        </w:rPr>
        <w:t>Martin,</w:t>
      </w:r>
      <w:r>
        <w:rPr>
          <w:smallCaps w:val="0"/>
          <w:spacing w:val="40"/>
        </w:rPr>
        <w:t> </w:t>
      </w:r>
      <w:r>
        <w:rPr>
          <w:smallCaps w:val="0"/>
        </w:rPr>
        <w:t>A.</w:t>
      </w:r>
      <w:r>
        <w:rPr>
          <w:smallCaps w:val="0"/>
          <w:spacing w:val="40"/>
        </w:rPr>
        <w:t> </w:t>
      </w:r>
      <w:r>
        <w:rPr>
          <w:smallCaps w:val="0"/>
        </w:rPr>
        <w:t>“The</w:t>
      </w:r>
      <w:r>
        <w:rPr>
          <w:smallCaps w:val="0"/>
          <w:spacing w:val="40"/>
        </w:rPr>
        <w:t> </w:t>
      </w:r>
      <w:r>
        <w:rPr>
          <w:smallCaps w:val="0"/>
        </w:rPr>
        <w:t>Effect</w:t>
      </w:r>
      <w:r>
        <w:rPr>
          <w:smallCaps w:val="0"/>
          <w:spacing w:val="40"/>
        </w:rPr>
        <w:t> </w:t>
      </w:r>
      <w:r>
        <w:rPr>
          <w:smallCaps w:val="0"/>
        </w:rPr>
        <w:t>of</w:t>
      </w:r>
      <w:r>
        <w:rPr>
          <w:smallCaps w:val="0"/>
          <w:spacing w:val="40"/>
        </w:rPr>
        <w:t> </w:t>
      </w:r>
      <w:r>
        <w:rPr>
          <w:smallCaps w:val="0"/>
        </w:rPr>
        <w:t>Earning</w:t>
      </w:r>
      <w:r>
        <w:rPr>
          <w:smallCaps w:val="0"/>
          <w:spacing w:val="40"/>
        </w:rPr>
        <w:t> </w:t>
      </w:r>
      <w:r>
        <w:rPr>
          <w:smallCaps w:val="0"/>
        </w:rPr>
        <w:t>a Industry Certifications in High School on College-going and Early Careers.”</w:t>
      </w:r>
    </w:p>
    <w:p>
      <w:pPr>
        <w:pStyle w:val="BodyText"/>
        <w:spacing w:before="25"/>
      </w:pPr>
    </w:p>
    <w:p>
      <w:pPr>
        <w:pStyle w:val="BodyText"/>
        <w:spacing w:line="252" w:lineRule="auto"/>
        <w:ind w:left="2083" w:hanging="284"/>
      </w:pPr>
      <w:r>
        <w:rPr/>
        <w:t>Goldring, T., Jacob, B., and Kreisman, D. “The Utilization and Quality of Career and Technical Education: Evidence from a Funding Change in Michigan.”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2083" w:right="362" w:hanging="284"/>
      </w:pPr>
      <w:r>
        <w:rPr/>
        <w:t>Kreisman, D., Pan, W., and Prettyman, A. “Do internships ease transitions? Evidence from Prepare RI.”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2083" w:hanging="284"/>
      </w:pPr>
      <w:r>
        <w:rPr/>
        <w:t>Kreisman,</w:t>
      </w:r>
      <w:r>
        <w:rPr>
          <w:spacing w:val="12"/>
        </w:rPr>
        <w:t> </w:t>
      </w:r>
      <w:r>
        <w:rPr/>
        <w:t>D.,</w:t>
      </w:r>
      <w:r>
        <w:rPr>
          <w:spacing w:val="12"/>
        </w:rPr>
        <w:t> </w:t>
      </w:r>
      <w:r>
        <w:rPr/>
        <w:t>Sass,</w:t>
      </w:r>
      <w:r>
        <w:rPr>
          <w:spacing w:val="12"/>
        </w:rPr>
        <w:t> </w:t>
      </w:r>
      <w:r>
        <w:rPr/>
        <w:t>T.</w:t>
      </w:r>
      <w:r>
        <w:rPr>
          <w:spacing w:val="12"/>
        </w:rPr>
        <w:t> </w:t>
      </w:r>
      <w:r>
        <w:rPr/>
        <w:t>“Returns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high</w:t>
      </w:r>
      <w:r>
        <w:rPr>
          <w:spacing w:val="12"/>
        </w:rPr>
        <w:t> </w:t>
      </w:r>
      <w:r>
        <w:rPr/>
        <w:t>school</w:t>
      </w:r>
      <w:r>
        <w:rPr>
          <w:spacing w:val="12"/>
        </w:rPr>
        <w:t> </w:t>
      </w:r>
      <w:r>
        <w:rPr/>
        <w:t>diploma:</w:t>
      </w:r>
      <w:r>
        <w:rPr>
          <w:spacing w:val="12"/>
        </w:rPr>
        <w:t> </w:t>
      </w:r>
      <w:r>
        <w:rPr/>
        <w:t>Evidence</w:t>
      </w:r>
      <w:r>
        <w:rPr>
          <w:spacing w:val="12"/>
        </w:rPr>
        <w:t> </w:t>
      </w:r>
      <w:r>
        <w:rPr/>
        <w:t>from</w:t>
      </w:r>
      <w:r>
        <w:rPr>
          <w:spacing w:val="12"/>
        </w:rPr>
        <w:t> </w:t>
      </w:r>
      <w:r>
        <w:rPr/>
        <w:t>retroactive </w:t>
      </w:r>
      <w:r>
        <w:rPr>
          <w:spacing w:val="-2"/>
        </w:rPr>
        <w:t>degrees.”</w:t>
      </w:r>
    </w:p>
    <w:p>
      <w:pPr>
        <w:pStyle w:val="BodyText"/>
        <w:spacing w:before="39"/>
      </w:pPr>
    </w:p>
    <w:p>
      <w:pPr>
        <w:pStyle w:val="BodyText"/>
        <w:spacing w:after="0"/>
        <w:sectPr>
          <w:pgSz w:w="12240" w:h="15840"/>
          <w:pgMar w:header="0" w:footer="831" w:top="1340" w:bottom="1020" w:left="1440" w:right="1080"/>
        </w:sectPr>
      </w:pPr>
    </w:p>
    <w:p>
      <w:pPr>
        <w:pStyle w:val="BodyText"/>
        <w:spacing w:line="213" w:lineRule="auto" w:before="138"/>
        <w:ind w:left="72"/>
        <w:rPr>
          <w:rFonts w:ascii="Palatino Linotype"/>
        </w:rPr>
      </w:pPr>
      <w:r>
        <w:rPr>
          <w:rFonts w:ascii="Palatino Linotype"/>
          <w:spacing w:val="-2"/>
          <w:w w:val="105"/>
        </w:rPr>
        <w:t>T</w:t>
      </w:r>
      <w:r>
        <w:rPr>
          <w:rFonts w:ascii="Palatino Linotype"/>
          <w:smallCaps/>
          <w:spacing w:val="-2"/>
          <w:w w:val="105"/>
        </w:rPr>
        <w:t>echnical</w:t>
      </w:r>
      <w:r>
        <w:rPr>
          <w:rFonts w:ascii="Palatino Linotype"/>
          <w:smallCaps w:val="0"/>
          <w:spacing w:val="-4"/>
          <w:w w:val="105"/>
        </w:rPr>
        <w:t> </w:t>
      </w:r>
      <w:r>
        <w:rPr>
          <w:rFonts w:ascii="Palatino Linotype"/>
          <w:smallCaps/>
          <w:spacing w:val="-2"/>
          <w:w w:val="105"/>
        </w:rPr>
        <w:t>and</w:t>
      </w:r>
      <w:r>
        <w:rPr>
          <w:rFonts w:ascii="Palatino Linotype"/>
          <w:smallCaps w:val="0"/>
          <w:spacing w:val="-2"/>
          <w:w w:val="105"/>
        </w:rPr>
        <w:t> </w:t>
      </w:r>
      <w:r>
        <w:rPr>
          <w:rFonts w:ascii="Palatino Linotype"/>
          <w:smallCaps w:val="0"/>
          <w:w w:val="105"/>
        </w:rPr>
        <w:t>P</w:t>
      </w:r>
      <w:r>
        <w:rPr>
          <w:rFonts w:ascii="Palatino Linotype"/>
          <w:smallCaps/>
          <w:w w:val="105"/>
        </w:rPr>
        <w:t>olicy</w:t>
      </w:r>
      <w:r>
        <w:rPr>
          <w:rFonts w:ascii="Palatino Linotype"/>
          <w:smallCaps w:val="0"/>
          <w:spacing w:val="48"/>
          <w:w w:val="105"/>
        </w:rPr>
        <w:t> </w:t>
      </w:r>
      <w:r>
        <w:rPr>
          <w:rFonts w:ascii="Palatino Linotype"/>
          <w:smallCaps w:val="0"/>
          <w:spacing w:val="-2"/>
          <w:w w:val="105"/>
        </w:rPr>
        <w:t>P</w:t>
      </w:r>
      <w:r>
        <w:rPr>
          <w:rFonts w:ascii="Palatino Linotype"/>
          <w:smallCaps/>
          <w:spacing w:val="-2"/>
          <w:w w:val="105"/>
        </w:rPr>
        <w:t>apers</w:t>
      </w:r>
    </w:p>
    <w:p>
      <w:pPr>
        <w:spacing w:line="252" w:lineRule="auto" w:before="141"/>
        <w:ind w:left="355" w:right="356" w:hanging="284"/>
        <w:jc w:val="both"/>
        <w:rPr>
          <w:sz w:val="20"/>
        </w:rPr>
      </w:pPr>
      <w:r>
        <w:rPr/>
        <w:br w:type="column"/>
      </w:r>
      <w:bookmarkStart w:name="Technical and Policy Papers" w:id="7"/>
      <w:bookmarkEnd w:id="7"/>
      <w:r>
        <w:rPr/>
      </w:r>
      <w:r>
        <w:rPr>
          <w:sz w:val="20"/>
        </w:rPr>
        <w:t>Dynarski, S., Jacob, B., &amp; Kreisman, D. (2016). “The Fixed-Effects Model in Returns to Schooling and Its Application to Community Colleges: A Methodological Note.” </w:t>
      </w:r>
      <w:r>
        <w:rPr>
          <w:i/>
          <w:sz w:val="20"/>
        </w:rPr>
        <w:t>Center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Analysis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Postsecondary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Education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Employment</w:t>
      </w:r>
      <w:r>
        <w:rPr>
          <w:sz w:val="20"/>
        </w:rPr>
        <w:t>.</w:t>
      </w:r>
    </w:p>
    <w:p>
      <w:pPr>
        <w:pStyle w:val="BodyText"/>
        <w:spacing w:before="13"/>
      </w:pPr>
    </w:p>
    <w:p>
      <w:pPr>
        <w:spacing w:line="252" w:lineRule="auto" w:before="0"/>
        <w:ind w:left="355" w:right="355" w:hanging="284"/>
        <w:jc w:val="both"/>
        <w:rPr>
          <w:sz w:val="20"/>
        </w:rPr>
      </w:pPr>
      <w:r>
        <w:rPr>
          <w:sz w:val="20"/>
        </w:rPr>
        <w:t>Bahr, P., Dynarski, S., Jacob, B., Kreisman, D. , Sosa, A., &amp; Wiederspan, M. (2015). “Labor</w:t>
      </w:r>
      <w:r>
        <w:rPr>
          <w:spacing w:val="-1"/>
          <w:sz w:val="20"/>
        </w:rPr>
        <w:t> </w:t>
      </w:r>
      <w:r>
        <w:rPr>
          <w:sz w:val="20"/>
        </w:rPr>
        <w:t>Market</w:t>
      </w:r>
      <w:r>
        <w:rPr>
          <w:spacing w:val="-1"/>
          <w:sz w:val="20"/>
        </w:rPr>
        <w:t> </w:t>
      </w:r>
      <w:r>
        <w:rPr>
          <w:sz w:val="20"/>
        </w:rPr>
        <w:t>Returns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Community</w:t>
      </w:r>
      <w:r>
        <w:rPr>
          <w:spacing w:val="-1"/>
          <w:sz w:val="20"/>
        </w:rPr>
        <w:t> </w:t>
      </w:r>
      <w:r>
        <w:rPr>
          <w:sz w:val="20"/>
        </w:rPr>
        <w:t>College</w:t>
      </w:r>
      <w:r>
        <w:rPr>
          <w:spacing w:val="-1"/>
          <w:sz w:val="20"/>
        </w:rPr>
        <w:t> </w:t>
      </w:r>
      <w:r>
        <w:rPr>
          <w:sz w:val="20"/>
        </w:rPr>
        <w:t>Awards:</w:t>
      </w:r>
      <w:r>
        <w:rPr>
          <w:spacing w:val="-1"/>
          <w:sz w:val="20"/>
        </w:rPr>
        <w:t> </w:t>
      </w:r>
      <w:r>
        <w:rPr>
          <w:sz w:val="20"/>
        </w:rPr>
        <w:t>Evidence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sz w:val="20"/>
        </w:rPr>
        <w:t>Michigan.” </w:t>
      </w:r>
      <w:r>
        <w:rPr>
          <w:i/>
          <w:sz w:val="20"/>
        </w:rPr>
        <w:t>Center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Analysis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Postsecondary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Education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Employment</w:t>
      </w:r>
      <w:r>
        <w:rPr>
          <w:sz w:val="20"/>
        </w:rPr>
        <w:t>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355" w:right="358" w:hanging="284"/>
        <w:jc w:val="both"/>
        <w:rPr>
          <w:i/>
        </w:rPr>
      </w:pPr>
      <w:r>
        <w:rPr/>
        <w:t>Andreski, P., Kreisman, D. &amp; Schoeni, B. (2015). “Comparing Estimates of Student Loans Measured in the PSID-TAS with the National Postsecondary Student Aid Survey.” </w:t>
      </w:r>
      <w:r>
        <w:rPr>
          <w:i/>
        </w:rPr>
        <w:t>PSID Technical Series Paper #15-02.</w:t>
      </w:r>
    </w:p>
    <w:p>
      <w:pPr>
        <w:pStyle w:val="BodyText"/>
        <w:spacing w:before="13"/>
        <w:rPr>
          <w:i/>
        </w:rPr>
      </w:pPr>
    </w:p>
    <w:p>
      <w:pPr>
        <w:spacing w:line="252" w:lineRule="auto" w:before="0"/>
        <w:ind w:left="355" w:right="357" w:hanging="284"/>
        <w:jc w:val="both"/>
        <w:rPr>
          <w:sz w:val="20"/>
        </w:rPr>
      </w:pPr>
      <w:r>
        <w:rPr>
          <w:sz w:val="20"/>
        </w:rPr>
        <w:t>Dynarski, S. &amp; Kreisman, D. (2013). “Loans for Educational Opportunity: Making Borrowing Work for Today’s Students.” </w:t>
      </w:r>
      <w:r>
        <w:rPr>
          <w:i/>
          <w:sz w:val="20"/>
        </w:rPr>
        <w:t>Hamilton Project at the Brookings Institution</w:t>
      </w:r>
      <w:r>
        <w:rPr>
          <w:sz w:val="20"/>
        </w:rPr>
        <w:t>; Washington, D.C. Reprinted in: Hershbein, B. and Hollenbeck, K. M. (2015). </w:t>
      </w:r>
      <w:r>
        <w:rPr>
          <w:i/>
          <w:sz w:val="20"/>
        </w:rPr>
        <w:t>Student Loans and the Dynamics of Debt. </w:t>
      </w:r>
      <w:r>
        <w:rPr>
          <w:sz w:val="20"/>
        </w:rPr>
        <w:t>W.E. Upjohn Institute.</w:t>
      </w:r>
    </w:p>
    <w:p>
      <w:pPr>
        <w:spacing w:after="0" w:line="252" w:lineRule="auto"/>
        <w:jc w:val="both"/>
        <w:rPr>
          <w:sz w:val="20"/>
        </w:rPr>
        <w:sectPr>
          <w:type w:val="continuous"/>
          <w:pgSz w:w="12240" w:h="15840"/>
          <w:pgMar w:header="0" w:footer="831" w:top="1140" w:bottom="1020" w:left="1440" w:right="1080"/>
          <w:cols w:num="2" w:equalWidth="0">
            <w:col w:w="1549" w:space="179"/>
            <w:col w:w="7992"/>
          </w:cols>
        </w:sectPr>
      </w:pPr>
    </w:p>
    <w:p>
      <w:pPr>
        <w:pStyle w:val="BodyText"/>
        <w:spacing w:before="40"/>
      </w:pPr>
    </w:p>
    <w:p>
      <w:pPr>
        <w:pStyle w:val="BodyText"/>
        <w:spacing w:after="0"/>
        <w:sectPr>
          <w:type w:val="continuous"/>
          <w:pgSz w:w="12240" w:h="15840"/>
          <w:pgMar w:header="0" w:footer="831" w:top="1140" w:bottom="1020" w:left="1440" w:right="1080"/>
        </w:sectPr>
      </w:pPr>
    </w:p>
    <w:p>
      <w:pPr>
        <w:pStyle w:val="BodyText"/>
        <w:spacing w:line="213" w:lineRule="auto" w:before="138"/>
        <w:ind w:left="72"/>
        <w:rPr>
          <w:rFonts w:ascii="Palatino Linotype"/>
        </w:rPr>
      </w:pPr>
      <w:r>
        <w:rPr>
          <w:rFonts w:ascii="Palatino Linotype"/>
          <w:spacing w:val="-2"/>
          <w:w w:val="105"/>
        </w:rPr>
        <w:t>F</w:t>
      </w:r>
      <w:r>
        <w:rPr>
          <w:rFonts w:ascii="Palatino Linotype"/>
          <w:smallCaps/>
          <w:spacing w:val="-2"/>
          <w:w w:val="105"/>
        </w:rPr>
        <w:t>ellowships</w:t>
      </w:r>
      <w:r>
        <w:rPr>
          <w:rFonts w:ascii="Palatino Linotype"/>
          <w:smallCaps w:val="0"/>
          <w:spacing w:val="-2"/>
          <w:w w:val="105"/>
        </w:rPr>
        <w:t>, </w:t>
      </w:r>
      <w:r>
        <w:rPr>
          <w:rFonts w:ascii="Palatino Linotype"/>
          <w:smallCaps w:val="0"/>
          <w:w w:val="105"/>
        </w:rPr>
        <w:t>G</w:t>
      </w:r>
      <w:r>
        <w:rPr>
          <w:rFonts w:ascii="Palatino Linotype"/>
          <w:smallCaps/>
          <w:w w:val="105"/>
        </w:rPr>
        <w:t>rants</w:t>
      </w:r>
      <w:r>
        <w:rPr>
          <w:rFonts w:ascii="Palatino Linotype"/>
          <w:smallCaps w:val="0"/>
          <w:w w:val="105"/>
        </w:rPr>
        <w:t> </w:t>
      </w:r>
      <w:r>
        <w:rPr>
          <w:rFonts w:ascii="Palatino Linotype"/>
          <w:smallCaps/>
          <w:w w:val="105"/>
        </w:rPr>
        <w:t>and</w:t>
      </w:r>
      <w:r>
        <w:rPr>
          <w:rFonts w:ascii="Palatino Linotype"/>
          <w:smallCaps w:val="0"/>
          <w:w w:val="105"/>
        </w:rPr>
        <w:t> </w:t>
      </w:r>
      <w:r>
        <w:rPr>
          <w:rFonts w:ascii="Palatino Linotype"/>
          <w:smallCaps w:val="0"/>
          <w:spacing w:val="-2"/>
          <w:w w:val="105"/>
        </w:rPr>
        <w:t>A</w:t>
      </w:r>
      <w:r>
        <w:rPr>
          <w:rFonts w:ascii="Palatino Linotype"/>
          <w:smallCaps/>
          <w:spacing w:val="-2"/>
          <w:w w:val="105"/>
        </w:rPr>
        <w:t>wards</w:t>
      </w:r>
    </w:p>
    <w:p>
      <w:pPr>
        <w:pStyle w:val="BodyText"/>
        <w:spacing w:line="252" w:lineRule="auto" w:before="141"/>
        <w:ind w:left="355" w:right="2358" w:hanging="284"/>
      </w:pPr>
      <w:r>
        <w:rPr/>
        <w:br w:type="column"/>
      </w:r>
      <w:bookmarkStart w:name="Fellowships, Grants and Awards" w:id="8"/>
      <w:bookmarkEnd w:id="8"/>
      <w:r>
        <w:rPr/>
      </w:r>
      <w:r>
        <w:rPr/>
        <w:t>The</w:t>
      </w:r>
      <w:r>
        <w:rPr>
          <w:spacing w:val="-2"/>
        </w:rPr>
        <w:t> </w:t>
      </w:r>
      <w:r>
        <w:rPr/>
        <w:t>Laura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John</w:t>
      </w:r>
      <w:r>
        <w:rPr>
          <w:spacing w:val="-2"/>
        </w:rPr>
        <w:t> </w:t>
      </w:r>
      <w:r>
        <w:rPr/>
        <w:t>Arnold</w:t>
      </w:r>
      <w:r>
        <w:rPr>
          <w:spacing w:val="-2"/>
        </w:rPr>
        <w:t> </w:t>
      </w:r>
      <w:r>
        <w:rPr/>
        <w:t>Foundation</w:t>
      </w:r>
      <w:r>
        <w:rPr>
          <w:spacing w:val="-2"/>
        </w:rPr>
        <w:t> </w:t>
      </w:r>
      <w:r>
        <w:rPr/>
        <w:t>($3,800,000) Principal Investigator, CTE Policy Exchange (CTEx).</w:t>
      </w:r>
    </w:p>
    <w:p>
      <w:pPr>
        <w:pStyle w:val="BodyText"/>
        <w:spacing w:before="1"/>
        <w:ind w:left="355"/>
      </w:pPr>
      <w:r>
        <w:rPr/>
        <w:t>Co-PI,</w:t>
      </w:r>
      <w:r>
        <w:rPr>
          <w:spacing w:val="4"/>
        </w:rPr>
        <w:t> </w:t>
      </w:r>
      <w:r>
        <w:rPr/>
        <w:t>Metro-Atlanta</w:t>
      </w:r>
      <w:r>
        <w:rPr>
          <w:spacing w:val="4"/>
        </w:rPr>
        <w:t> </w:t>
      </w:r>
      <w:r>
        <w:rPr/>
        <w:t>Policy</w:t>
      </w:r>
      <w:r>
        <w:rPr>
          <w:spacing w:val="5"/>
        </w:rPr>
        <w:t> </w:t>
      </w:r>
      <w:r>
        <w:rPr/>
        <w:t>Lab</w:t>
      </w:r>
      <w:r>
        <w:rPr>
          <w:spacing w:val="4"/>
        </w:rPr>
        <w:t> </w:t>
      </w:r>
      <w:r>
        <w:rPr/>
        <w:t>for</w:t>
      </w:r>
      <w:r>
        <w:rPr>
          <w:spacing w:val="4"/>
        </w:rPr>
        <w:t> </w:t>
      </w:r>
      <w:r>
        <w:rPr/>
        <w:t>Education</w:t>
      </w:r>
      <w:r>
        <w:rPr>
          <w:spacing w:val="5"/>
        </w:rPr>
        <w:t> </w:t>
      </w:r>
      <w:r>
        <w:rPr>
          <w:spacing w:val="-2"/>
        </w:rPr>
        <w:t>(MAPLE).</w:t>
      </w:r>
    </w:p>
    <w:p>
      <w:pPr>
        <w:pStyle w:val="BodyText"/>
        <w:spacing w:before="24"/>
      </w:pPr>
    </w:p>
    <w:p>
      <w:pPr>
        <w:pStyle w:val="BodyText"/>
        <w:ind w:left="72"/>
      </w:pP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Smith</w:t>
      </w:r>
      <w:r>
        <w:rPr>
          <w:spacing w:val="2"/>
        </w:rPr>
        <w:t> </w:t>
      </w:r>
      <w:r>
        <w:rPr>
          <w:spacing w:val="-2"/>
        </w:rPr>
        <w:t>Richardson</w:t>
      </w:r>
      <w:r>
        <w:rPr>
          <w:spacing w:val="1"/>
        </w:rPr>
        <w:t> </w:t>
      </w:r>
      <w:r>
        <w:rPr>
          <w:spacing w:val="-2"/>
        </w:rPr>
        <w:t>Foundation</w:t>
      </w:r>
      <w:r>
        <w:rPr>
          <w:spacing w:val="2"/>
        </w:rPr>
        <w:t> </w:t>
      </w:r>
      <w:r>
        <w:rPr>
          <w:spacing w:val="-2"/>
        </w:rPr>
        <w:t>($400,000)</w:t>
      </w:r>
    </w:p>
    <w:p>
      <w:pPr>
        <w:pStyle w:val="BodyText"/>
        <w:spacing w:before="12"/>
        <w:ind w:left="355"/>
      </w:pPr>
      <w:r>
        <w:rPr/>
        <w:t>Principal</w:t>
      </w:r>
      <w:r>
        <w:rPr>
          <w:spacing w:val="3"/>
        </w:rPr>
        <w:t> </w:t>
      </w:r>
      <w:r>
        <w:rPr/>
        <w:t>Investigator,</w:t>
      </w:r>
      <w:r>
        <w:rPr>
          <w:spacing w:val="4"/>
        </w:rPr>
        <w:t> </w:t>
      </w:r>
      <w:r>
        <w:rPr/>
        <w:t>CTE</w:t>
      </w:r>
      <w:r>
        <w:rPr>
          <w:spacing w:val="4"/>
        </w:rPr>
        <w:t> </w:t>
      </w:r>
      <w:r>
        <w:rPr/>
        <w:t>Policy</w:t>
      </w:r>
      <w:r>
        <w:rPr>
          <w:spacing w:val="4"/>
        </w:rPr>
        <w:t> </w:t>
      </w:r>
      <w:r>
        <w:rPr/>
        <w:t>Exchange</w:t>
      </w:r>
      <w:r>
        <w:rPr>
          <w:spacing w:val="4"/>
        </w:rPr>
        <w:t> </w:t>
      </w:r>
      <w:r>
        <w:rPr>
          <w:spacing w:val="-2"/>
        </w:rPr>
        <w:t>CTEx.</w:t>
      </w:r>
    </w:p>
    <w:p>
      <w:pPr>
        <w:pStyle w:val="BodyText"/>
        <w:spacing w:before="23"/>
      </w:pPr>
    </w:p>
    <w:p>
      <w:pPr>
        <w:pStyle w:val="BodyText"/>
        <w:spacing w:line="252" w:lineRule="auto" w:before="1"/>
        <w:ind w:left="355" w:right="2147" w:hanging="284"/>
      </w:pPr>
      <w:r>
        <w:rPr>
          <w:spacing w:val="-4"/>
        </w:rPr>
        <w:t>Russell Sage Foundation, Behavioral Economics ($34,000) </w:t>
      </w:r>
      <w:r>
        <w:rPr/>
        <w:t>Principal investigator (2016/17).</w:t>
      </w:r>
    </w:p>
    <w:p>
      <w:pPr>
        <w:pStyle w:val="BodyText"/>
        <w:spacing w:line="252" w:lineRule="auto" w:before="1"/>
        <w:ind w:left="355"/>
      </w:pP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Default</w:t>
      </w:r>
      <w:r>
        <w:rPr>
          <w:spacing w:val="-10"/>
        </w:rPr>
        <w:t> </w:t>
      </w:r>
      <w:r>
        <w:rPr>
          <w:spacing w:val="-2"/>
        </w:rPr>
        <w:t>Options,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0"/>
        </w:rPr>
        <w:t> </w:t>
      </w:r>
      <w:r>
        <w:rPr>
          <w:spacing w:val="-2"/>
        </w:rPr>
        <w:t>Complexity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Beliefs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Future</w:t>
      </w:r>
      <w:r>
        <w:rPr>
          <w:spacing w:val="-10"/>
        </w:rPr>
        <w:t> </w:t>
      </w:r>
      <w:r>
        <w:rPr>
          <w:spacing w:val="-2"/>
        </w:rPr>
        <w:t>Earnings </w:t>
      </w:r>
      <w:r>
        <w:rPr/>
        <w:t>Affect Choice of Student Loan Repayment Plan?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0" w:footer="831" w:top="1140" w:bottom="1020" w:left="1440" w:right="1080"/>
          <w:cols w:num="2" w:equalWidth="0">
            <w:col w:w="1359" w:space="369"/>
            <w:col w:w="7992"/>
          </w:cols>
        </w:sectPr>
      </w:pPr>
    </w:p>
    <w:p>
      <w:pPr>
        <w:pStyle w:val="BodyText"/>
        <w:spacing w:line="252" w:lineRule="auto" w:before="116"/>
        <w:ind w:left="2083" w:right="2629" w:hanging="284"/>
      </w:pPr>
      <w:r>
        <w:rPr>
          <w:spacing w:val="-2"/>
        </w:rPr>
        <w:t>GSU</w:t>
      </w:r>
      <w:r>
        <w:rPr>
          <w:spacing w:val="-6"/>
        </w:rPr>
        <w:t> </w:t>
      </w:r>
      <w:r>
        <w:rPr>
          <w:spacing w:val="-2"/>
        </w:rPr>
        <w:t>Pre-Tenure</w:t>
      </w:r>
      <w:r>
        <w:rPr>
          <w:spacing w:val="-5"/>
        </w:rPr>
        <w:t> </w:t>
      </w:r>
      <w:r>
        <w:rPr>
          <w:spacing w:val="-2"/>
        </w:rPr>
        <w:t>Scholarly</w:t>
      </w:r>
      <w:r>
        <w:rPr>
          <w:spacing w:val="-5"/>
        </w:rPr>
        <w:t> </w:t>
      </w:r>
      <w:r>
        <w:rPr>
          <w:spacing w:val="-2"/>
        </w:rPr>
        <w:t>Support</w:t>
      </w:r>
      <w:r>
        <w:rPr>
          <w:spacing w:val="-5"/>
        </w:rPr>
        <w:t> </w:t>
      </w:r>
      <w:r>
        <w:rPr>
          <w:spacing w:val="-2"/>
        </w:rPr>
        <w:t>Grant</w:t>
      </w:r>
      <w:r>
        <w:rPr>
          <w:spacing w:val="-5"/>
        </w:rPr>
        <w:t> </w:t>
      </w:r>
      <w:r>
        <w:rPr>
          <w:spacing w:val="-2"/>
        </w:rPr>
        <w:t>($25,000) </w:t>
      </w:r>
      <w:r>
        <w:rPr/>
        <w:t>Principal investigator (2016/17).</w:t>
      </w:r>
    </w:p>
    <w:p>
      <w:pPr>
        <w:pStyle w:val="BodyText"/>
        <w:spacing w:before="1"/>
        <w:ind w:left="2083"/>
      </w:pPr>
      <w:r>
        <w:rPr>
          <w:spacing w:val="-2"/>
        </w:rPr>
        <w:t>High</w:t>
      </w:r>
      <w:r>
        <w:rPr>
          <w:spacing w:val="5"/>
        </w:rPr>
        <w:t> </w:t>
      </w:r>
      <w:r>
        <w:rPr>
          <w:spacing w:val="-2"/>
        </w:rPr>
        <w:t>School</w:t>
      </w:r>
      <w:r>
        <w:rPr>
          <w:spacing w:val="6"/>
        </w:rPr>
        <w:t> </w:t>
      </w:r>
      <w:r>
        <w:rPr>
          <w:spacing w:val="-2"/>
        </w:rPr>
        <w:t>Industry</w:t>
      </w:r>
      <w:r>
        <w:rPr>
          <w:spacing w:val="6"/>
        </w:rPr>
        <w:t> </w:t>
      </w:r>
      <w:r>
        <w:rPr>
          <w:spacing w:val="-2"/>
        </w:rPr>
        <w:t>Certification</w:t>
      </w:r>
      <w:r>
        <w:rPr>
          <w:spacing w:val="5"/>
        </w:rPr>
        <w:t> </w:t>
      </w:r>
      <w:r>
        <w:rPr>
          <w:spacing w:val="-2"/>
        </w:rPr>
        <w:t>and</w:t>
      </w:r>
      <w:r>
        <w:rPr>
          <w:spacing w:val="6"/>
        </w:rPr>
        <w:t> </w:t>
      </w:r>
      <w:r>
        <w:rPr>
          <w:spacing w:val="-2"/>
        </w:rPr>
        <w:t>Labor</w:t>
      </w:r>
      <w:r>
        <w:rPr>
          <w:spacing w:val="6"/>
        </w:rPr>
        <w:t> </w:t>
      </w:r>
      <w:r>
        <w:rPr>
          <w:spacing w:val="-2"/>
        </w:rPr>
        <w:t>Market</w:t>
      </w:r>
      <w:r>
        <w:rPr>
          <w:spacing w:val="5"/>
        </w:rPr>
        <w:t> </w:t>
      </w:r>
      <w:r>
        <w:rPr>
          <w:spacing w:val="-2"/>
        </w:rPr>
        <w:t>Outcomes.</w:t>
      </w:r>
    </w:p>
    <w:p>
      <w:pPr>
        <w:pStyle w:val="BodyText"/>
        <w:spacing w:before="23"/>
      </w:pPr>
    </w:p>
    <w:p>
      <w:pPr>
        <w:pStyle w:val="BodyText"/>
        <w:spacing w:line="252" w:lineRule="auto"/>
        <w:ind w:left="2083" w:right="3547" w:hanging="284"/>
      </w:pPr>
      <w:r>
        <w:rPr>
          <w:spacing w:val="-2"/>
        </w:rPr>
        <w:t>AERA</w:t>
      </w:r>
      <w:r>
        <w:rPr>
          <w:spacing w:val="-6"/>
        </w:rPr>
        <w:t> </w:t>
      </w:r>
      <w:r>
        <w:rPr>
          <w:spacing w:val="-2"/>
        </w:rPr>
        <w:t>Small</w:t>
      </w:r>
      <w:r>
        <w:rPr>
          <w:spacing w:val="-5"/>
        </w:rPr>
        <w:t> </w:t>
      </w:r>
      <w:r>
        <w:rPr>
          <w:spacing w:val="-2"/>
        </w:rPr>
        <w:t>Conference</w:t>
      </w:r>
      <w:r>
        <w:rPr>
          <w:spacing w:val="-5"/>
        </w:rPr>
        <w:t> </w:t>
      </w:r>
      <w:r>
        <w:rPr>
          <w:spacing w:val="-2"/>
        </w:rPr>
        <w:t>Grant</w:t>
      </w:r>
      <w:r>
        <w:rPr>
          <w:spacing w:val="-5"/>
        </w:rPr>
        <w:t> </w:t>
      </w:r>
      <w:r>
        <w:rPr>
          <w:spacing w:val="-2"/>
        </w:rPr>
        <w:t>($30,000) </w:t>
      </w:r>
      <w:r>
        <w:rPr/>
        <w:t>Principal investigator (2015).</w:t>
      </w:r>
    </w:p>
    <w:p>
      <w:pPr>
        <w:pStyle w:val="BodyText"/>
        <w:spacing w:before="1"/>
        <w:ind w:left="2083"/>
      </w:pPr>
      <w:r>
        <w:rPr/>
        <w:t>Getting</w:t>
      </w:r>
      <w:r>
        <w:rPr>
          <w:spacing w:val="13"/>
        </w:rPr>
        <w:t> </w:t>
      </w:r>
      <w:r>
        <w:rPr/>
        <w:t>CTE</w:t>
      </w:r>
      <w:r>
        <w:rPr>
          <w:spacing w:val="13"/>
        </w:rPr>
        <w:t> </w:t>
      </w:r>
      <w:r>
        <w:rPr/>
        <w:t>Right: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future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evaluation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CTE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5"/>
        </w:rPr>
        <w:t>US.</w:t>
      </w:r>
    </w:p>
    <w:p>
      <w:pPr>
        <w:pStyle w:val="BodyText"/>
        <w:spacing w:before="24"/>
      </w:pPr>
    </w:p>
    <w:p>
      <w:pPr>
        <w:pStyle w:val="BodyText"/>
        <w:spacing w:line="252" w:lineRule="auto"/>
        <w:ind w:left="2083" w:right="3547" w:hanging="284"/>
      </w:pPr>
      <w:r>
        <w:rPr>
          <w:spacing w:val="-4"/>
        </w:rPr>
        <w:t>Institute for Research on Poverty ($25,000) </w:t>
      </w:r>
      <w:r>
        <w:rPr/>
        <w:t>Principal investigator (2013/14).</w:t>
      </w:r>
    </w:p>
    <w:p>
      <w:pPr>
        <w:pStyle w:val="BodyText"/>
        <w:spacing w:line="252" w:lineRule="auto" w:before="1"/>
        <w:ind w:left="2083" w:right="41"/>
      </w:pPr>
      <w:r>
        <w:rPr/>
        <w:t>Emerging</w:t>
      </w:r>
      <w:r>
        <w:rPr>
          <w:spacing w:val="-6"/>
        </w:rPr>
        <w:t> </w:t>
      </w:r>
      <w:r>
        <w:rPr/>
        <w:t>Scholars</w:t>
      </w:r>
      <w:r>
        <w:rPr>
          <w:spacing w:val="-5"/>
        </w:rPr>
        <w:t> </w:t>
      </w:r>
      <w:r>
        <w:rPr/>
        <w:t>Grant,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Human</w:t>
      </w:r>
      <w:r>
        <w:rPr>
          <w:spacing w:val="-6"/>
        </w:rPr>
        <w:t> </w:t>
      </w:r>
      <w:r>
        <w:rPr/>
        <w:t>Capital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Potential Vocational and Career Tech Education in American High Schools.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2083" w:right="793" w:hanging="284"/>
      </w:pPr>
      <w:r>
        <w:rPr>
          <w:spacing w:val="-2"/>
        </w:rPr>
        <w:t>American</w:t>
      </w:r>
      <w:r>
        <w:rPr>
          <w:spacing w:val="-6"/>
        </w:rPr>
        <w:t> </w:t>
      </w:r>
      <w:r>
        <w:rPr>
          <w:spacing w:val="-2"/>
        </w:rPr>
        <w:t>Educational</w:t>
      </w:r>
      <w:r>
        <w:rPr>
          <w:spacing w:val="-5"/>
        </w:rPr>
        <w:t> </w:t>
      </w:r>
      <w:r>
        <w:rPr>
          <w:spacing w:val="-2"/>
        </w:rPr>
        <w:t>Research</w:t>
      </w:r>
      <w:r>
        <w:rPr>
          <w:spacing w:val="-5"/>
        </w:rPr>
        <w:t> </w:t>
      </w:r>
      <w:r>
        <w:rPr>
          <w:spacing w:val="-2"/>
        </w:rPr>
        <w:t>Association</w:t>
      </w:r>
      <w:r>
        <w:rPr>
          <w:spacing w:val="-5"/>
        </w:rPr>
        <w:t> </w:t>
      </w:r>
      <w:r>
        <w:rPr>
          <w:spacing w:val="-2"/>
        </w:rPr>
        <w:t>Dissertation</w:t>
      </w:r>
      <w:r>
        <w:rPr>
          <w:spacing w:val="-5"/>
        </w:rPr>
        <w:t> </w:t>
      </w:r>
      <w:r>
        <w:rPr>
          <w:spacing w:val="-2"/>
        </w:rPr>
        <w:t>Grant</w:t>
      </w:r>
      <w:r>
        <w:rPr>
          <w:spacing w:val="-6"/>
        </w:rPr>
        <w:t> </w:t>
      </w:r>
      <w:r>
        <w:rPr>
          <w:spacing w:val="-2"/>
        </w:rPr>
        <w:t>($25,000) </w:t>
      </w:r>
      <w:r>
        <w:rPr/>
        <w:t>Principal investigator (2011/12).</w:t>
      </w:r>
    </w:p>
    <w:p>
      <w:pPr>
        <w:pStyle w:val="BodyText"/>
        <w:spacing w:before="1"/>
        <w:ind w:left="2083"/>
      </w:pPr>
      <w:r>
        <w:rPr/>
        <w:t>The</w:t>
      </w:r>
      <w:r>
        <w:rPr>
          <w:spacing w:val="3"/>
        </w:rPr>
        <w:t> </w:t>
      </w:r>
      <w:r>
        <w:rPr/>
        <w:t>impact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Jeanes</w:t>
      </w:r>
      <w:r>
        <w:rPr>
          <w:spacing w:val="4"/>
        </w:rPr>
        <w:t> </w:t>
      </w:r>
      <w:r>
        <w:rPr/>
        <w:t>Fund</w:t>
      </w:r>
      <w:r>
        <w:rPr>
          <w:spacing w:val="3"/>
        </w:rPr>
        <w:t> </w:t>
      </w:r>
      <w:r>
        <w:rPr/>
        <w:t>on</w:t>
      </w:r>
      <w:r>
        <w:rPr>
          <w:spacing w:val="3"/>
        </w:rPr>
        <w:t> </w:t>
      </w:r>
      <w:r>
        <w:rPr/>
        <w:t>Black</w:t>
      </w:r>
      <w:r>
        <w:rPr>
          <w:spacing w:val="3"/>
        </w:rPr>
        <w:t> </w:t>
      </w:r>
      <w:r>
        <w:rPr>
          <w:spacing w:val="-2"/>
        </w:rPr>
        <w:t>Schooling.</w:t>
      </w:r>
    </w:p>
    <w:p>
      <w:pPr>
        <w:pStyle w:val="BodyText"/>
        <w:spacing w:before="23"/>
      </w:pPr>
    </w:p>
    <w:p>
      <w:pPr>
        <w:pStyle w:val="BodyText"/>
        <w:spacing w:line="504" w:lineRule="auto" w:before="1"/>
        <w:ind w:left="1800" w:right="793"/>
      </w:pPr>
      <w:r>
        <w:rPr/>
        <w:t>Institute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Education</w:t>
      </w:r>
      <w:r>
        <w:rPr>
          <w:spacing w:val="-2"/>
        </w:rPr>
        <w:t> </w:t>
      </w:r>
      <w:r>
        <w:rPr/>
        <w:t>Sciences</w:t>
      </w:r>
      <w:r>
        <w:rPr>
          <w:spacing w:val="-2"/>
        </w:rPr>
        <w:t> </w:t>
      </w:r>
      <w:r>
        <w:rPr/>
        <w:t>Pre-Doctoral</w:t>
      </w:r>
      <w:r>
        <w:rPr>
          <w:spacing w:val="-2"/>
        </w:rPr>
        <w:t> </w:t>
      </w:r>
      <w:r>
        <w:rPr/>
        <w:t>Fellowship</w:t>
      </w:r>
      <w:r>
        <w:rPr>
          <w:spacing w:val="-2"/>
        </w:rPr>
        <w:t> </w:t>
      </w:r>
      <w:r>
        <w:rPr/>
        <w:t>(2007-2012). </w:t>
      </w:r>
      <w:r>
        <w:rPr>
          <w:spacing w:val="-2"/>
        </w:rPr>
        <w:t>McCormick Tribune Fellow, Harris School of Public Policy Studies (2006/07). </w:t>
      </w:r>
      <w:r>
        <w:rPr>
          <w:b/>
        </w:rPr>
        <w:t>Total</w:t>
      </w:r>
      <w:r>
        <w:rPr>
          <w:b/>
          <w:spacing w:val="-1"/>
        </w:rPr>
        <w:t> </w:t>
      </w:r>
      <w:r>
        <w:rPr>
          <w:b/>
        </w:rPr>
        <w:t>external funding</w:t>
      </w:r>
      <w:r>
        <w:rPr/>
        <w:t>:</w:t>
      </w:r>
      <w:r>
        <w:rPr>
          <w:spacing w:val="-4"/>
        </w:rPr>
        <w:t> </w:t>
      </w:r>
      <w:r>
        <w:rPr/>
        <w:t>$4,314,000.</w:t>
      </w:r>
    </w:p>
    <w:p>
      <w:pPr>
        <w:pStyle w:val="BodyText"/>
        <w:tabs>
          <w:tab w:pos="1799" w:val="left" w:leader="none"/>
        </w:tabs>
        <w:spacing w:line="268" w:lineRule="exact" w:before="143"/>
        <w:ind w:left="71"/>
      </w:pPr>
      <w:r>
        <w:rPr>
          <w:rFonts w:ascii="Palatino Linotype"/>
          <w:spacing w:val="-2"/>
        </w:rPr>
        <w:t>T</w:t>
      </w:r>
      <w:r>
        <w:rPr>
          <w:rFonts w:ascii="Palatino Linotype"/>
          <w:smallCaps/>
          <w:spacing w:val="-2"/>
        </w:rPr>
        <w:t>eaching</w:t>
      </w:r>
      <w:r>
        <w:rPr>
          <w:rFonts w:ascii="Palatino Linotype"/>
          <w:smallCaps w:val="0"/>
        </w:rPr>
        <w:tab/>
      </w:r>
      <w:bookmarkStart w:name="Teaching" w:id="9"/>
      <w:bookmarkEnd w:id="9"/>
      <w:r>
        <w:rPr>
          <w:rFonts w:ascii="Palatino Linotype"/>
          <w:smallCaps w:val="0"/>
        </w:rPr>
      </w:r>
      <w:r>
        <w:rPr>
          <w:smallCaps w:val="0"/>
        </w:rPr>
        <w:t>Georgia</w:t>
      </w:r>
      <w:r>
        <w:rPr>
          <w:smallCaps w:val="0"/>
          <w:spacing w:val="9"/>
        </w:rPr>
        <w:t> </w:t>
      </w:r>
      <w:r>
        <w:rPr>
          <w:smallCaps w:val="0"/>
        </w:rPr>
        <w:t>State</w:t>
      </w:r>
      <w:r>
        <w:rPr>
          <w:smallCaps w:val="0"/>
          <w:spacing w:val="10"/>
        </w:rPr>
        <w:t> </w:t>
      </w:r>
      <w:r>
        <w:rPr>
          <w:smallCaps w:val="0"/>
          <w:spacing w:val="-2"/>
        </w:rPr>
        <w:t>University</w:t>
      </w:r>
    </w:p>
    <w:p>
      <w:pPr>
        <w:spacing w:line="252" w:lineRule="auto" w:before="0"/>
        <w:ind w:left="2098" w:right="362" w:firstLine="0"/>
        <w:jc w:val="left"/>
        <w:rPr>
          <w:sz w:val="20"/>
        </w:rPr>
      </w:pPr>
      <w:r>
        <w:rPr>
          <w:spacing w:val="-2"/>
          <w:sz w:val="20"/>
        </w:rPr>
        <w:t>PhD Economics Seminar (Graduate): </w:t>
      </w:r>
      <w:r>
        <w:rPr>
          <w:i/>
          <w:spacing w:val="-2"/>
          <w:sz w:val="20"/>
        </w:rPr>
        <w:t>Fall,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2016;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Spring,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2017;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Fall,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2018</w:t>
      </w:r>
      <w:r>
        <w:rPr>
          <w:spacing w:val="-2"/>
          <w:sz w:val="20"/>
        </w:rPr>
        <w:t>. </w:t>
      </w:r>
      <w:r>
        <w:rPr>
          <w:sz w:val="20"/>
        </w:rPr>
        <w:t>Advanced Topic in Labor Economics (Graduate): </w:t>
      </w:r>
      <w:r>
        <w:rPr>
          <w:i/>
          <w:sz w:val="20"/>
        </w:rPr>
        <w:t>Spring, 2016</w:t>
      </w:r>
      <w:r>
        <w:rPr>
          <w:sz w:val="20"/>
        </w:rPr>
        <w:t>.</w:t>
      </w:r>
    </w:p>
    <w:p>
      <w:pPr>
        <w:spacing w:line="252" w:lineRule="auto" w:before="0"/>
        <w:ind w:left="2098" w:right="41" w:firstLine="0"/>
        <w:jc w:val="left"/>
        <w:rPr>
          <w:sz w:val="20"/>
        </w:rPr>
      </w:pPr>
      <w:r>
        <w:rPr>
          <w:spacing w:val="-2"/>
          <w:sz w:val="20"/>
        </w:rPr>
        <w:t>Economics of Poverty and Public Policy (Undergraduate): </w:t>
      </w:r>
      <w:r>
        <w:rPr>
          <w:i/>
          <w:spacing w:val="-2"/>
          <w:sz w:val="20"/>
        </w:rPr>
        <w:t>Fall, 2014; Spring, 2015; </w:t>
      </w:r>
      <w:r>
        <w:rPr>
          <w:i/>
          <w:sz w:val="20"/>
        </w:rPr>
        <w:t>Fall, 2016</w:t>
      </w:r>
      <w:r>
        <w:rPr>
          <w:sz w:val="20"/>
        </w:rPr>
        <w:t>.</w:t>
      </w:r>
    </w:p>
    <w:p>
      <w:pPr>
        <w:pStyle w:val="BodyText"/>
        <w:spacing w:before="120"/>
        <w:ind w:left="1800"/>
      </w:pPr>
      <w:r>
        <w:rPr>
          <w:spacing w:val="-2"/>
        </w:rPr>
        <w:t>University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Chicago</w:t>
      </w:r>
    </w:p>
    <w:p>
      <w:pPr>
        <w:pStyle w:val="BodyText"/>
        <w:spacing w:before="12"/>
        <w:ind w:left="2098"/>
      </w:pPr>
      <w:r>
        <w:rPr>
          <w:spacing w:val="-4"/>
        </w:rPr>
        <w:t>Teaching</w:t>
      </w:r>
      <w:r>
        <w:rPr>
          <w:spacing w:val="13"/>
        </w:rPr>
        <w:t> </w:t>
      </w:r>
      <w:r>
        <w:rPr>
          <w:spacing w:val="-4"/>
        </w:rPr>
        <w:t>Assistant,</w:t>
      </w:r>
      <w:r>
        <w:rPr>
          <w:spacing w:val="14"/>
        </w:rPr>
        <w:t> </w:t>
      </w:r>
      <w:r>
        <w:rPr>
          <w:spacing w:val="-4"/>
        </w:rPr>
        <w:t>Intermediate</w:t>
      </w:r>
      <w:r>
        <w:rPr>
          <w:spacing w:val="13"/>
        </w:rPr>
        <w:t> </w:t>
      </w:r>
      <w:r>
        <w:rPr>
          <w:spacing w:val="-4"/>
        </w:rPr>
        <w:t>Microeconomics</w:t>
      </w:r>
      <w:r>
        <w:rPr>
          <w:spacing w:val="14"/>
        </w:rPr>
        <w:t> </w:t>
      </w:r>
      <w:r>
        <w:rPr>
          <w:spacing w:val="-4"/>
        </w:rPr>
        <w:t>(Masters).</w:t>
      </w:r>
      <w:r>
        <w:rPr>
          <w:spacing w:val="12"/>
        </w:rPr>
        <w:t> </w:t>
      </w:r>
      <w:r>
        <w:rPr>
          <w:i/>
          <w:spacing w:val="-4"/>
        </w:rPr>
        <w:t>Spring,</w:t>
      </w:r>
      <w:r>
        <w:rPr>
          <w:i/>
          <w:spacing w:val="19"/>
        </w:rPr>
        <w:t> </w:t>
      </w:r>
      <w:r>
        <w:rPr>
          <w:i/>
          <w:spacing w:val="-4"/>
        </w:rPr>
        <w:t>2010</w:t>
      </w:r>
      <w:r>
        <w:rPr>
          <w:spacing w:val="-4"/>
        </w:rPr>
        <w:t>.</w:t>
      </w:r>
    </w:p>
    <w:p>
      <w:pPr>
        <w:pStyle w:val="BodyText"/>
        <w:spacing w:before="131"/>
        <w:ind w:left="1800"/>
      </w:pPr>
      <w:r>
        <w:rPr/>
        <w:t>New</w:t>
      </w:r>
      <w:r>
        <w:rPr>
          <w:spacing w:val="3"/>
        </w:rPr>
        <w:t> </w:t>
      </w:r>
      <w:r>
        <w:rPr/>
        <w:t>Orleans</w:t>
      </w:r>
      <w:r>
        <w:rPr>
          <w:spacing w:val="4"/>
        </w:rPr>
        <w:t> </w:t>
      </w:r>
      <w:r>
        <w:rPr/>
        <w:t>Public</w:t>
      </w:r>
      <w:r>
        <w:rPr>
          <w:spacing w:val="3"/>
        </w:rPr>
        <w:t> </w:t>
      </w:r>
      <w:r>
        <w:rPr>
          <w:spacing w:val="-2"/>
        </w:rPr>
        <w:t>Schools</w:t>
      </w:r>
    </w:p>
    <w:p>
      <w:pPr>
        <w:pStyle w:val="BodyText"/>
        <w:spacing w:before="12"/>
        <w:ind w:left="2098"/>
      </w:pPr>
      <w:r>
        <w:rPr>
          <w:spacing w:val="-2"/>
        </w:rPr>
        <w:t>McDonogh</w:t>
      </w:r>
      <w:r>
        <w:rPr>
          <w:spacing w:val="1"/>
        </w:rPr>
        <w:t> </w:t>
      </w:r>
      <w:r>
        <w:rPr>
          <w:spacing w:val="-2"/>
        </w:rPr>
        <w:t>#35</w:t>
      </w:r>
      <w:r>
        <w:rPr>
          <w:spacing w:val="1"/>
        </w:rPr>
        <w:t> </w:t>
      </w:r>
      <w:r>
        <w:rPr>
          <w:spacing w:val="-2"/>
        </w:rPr>
        <w:t>High</w:t>
      </w:r>
      <w:r>
        <w:rPr>
          <w:spacing w:val="1"/>
        </w:rPr>
        <w:t> </w:t>
      </w:r>
      <w:r>
        <w:rPr>
          <w:spacing w:val="-2"/>
        </w:rPr>
        <w:t>School,</w:t>
      </w:r>
      <w:r>
        <w:rPr>
          <w:spacing w:val="1"/>
        </w:rPr>
        <w:t> </w:t>
      </w:r>
      <w:r>
        <w:rPr>
          <w:spacing w:val="-2"/>
        </w:rPr>
        <w:t>New</w:t>
      </w:r>
      <w:r>
        <w:rPr>
          <w:spacing w:val="1"/>
        </w:rPr>
        <w:t> </w:t>
      </w:r>
      <w:r>
        <w:rPr>
          <w:spacing w:val="-2"/>
        </w:rPr>
        <w:t>Orleans,</w:t>
      </w:r>
      <w:r>
        <w:rPr>
          <w:spacing w:val="2"/>
        </w:rPr>
        <w:t> </w:t>
      </w:r>
      <w:r>
        <w:rPr>
          <w:spacing w:val="-2"/>
        </w:rPr>
        <w:t>LA:</w:t>
      </w:r>
      <w:r>
        <w:rPr>
          <w:spacing w:val="1"/>
        </w:rPr>
        <w:t> </w:t>
      </w:r>
      <w:r>
        <w:rPr>
          <w:i/>
          <w:spacing w:val="-2"/>
        </w:rPr>
        <w:t>2003-</w:t>
      </w:r>
      <w:r>
        <w:rPr>
          <w:i/>
          <w:spacing w:val="-4"/>
        </w:rPr>
        <w:t>2005</w:t>
      </w:r>
      <w:r>
        <w:rPr>
          <w:spacing w:val="-4"/>
        </w:rPr>
        <w:t>.</w:t>
      </w:r>
    </w:p>
    <w:p>
      <w:pPr>
        <w:pStyle w:val="BodyText"/>
        <w:spacing w:before="12"/>
        <w:ind w:left="2098"/>
      </w:pPr>
      <w:r>
        <w:rPr>
          <w:spacing w:val="-2"/>
        </w:rPr>
        <w:t>John</w:t>
      </w:r>
      <w:r>
        <w:rPr>
          <w:spacing w:val="-5"/>
        </w:rPr>
        <w:t> </w:t>
      </w:r>
      <w:r>
        <w:rPr>
          <w:spacing w:val="-2"/>
        </w:rPr>
        <w:t>McDonogh</w:t>
      </w:r>
      <w:r>
        <w:rPr>
          <w:spacing w:val="-4"/>
        </w:rPr>
        <w:t> </w:t>
      </w:r>
      <w:r>
        <w:rPr>
          <w:spacing w:val="-2"/>
        </w:rPr>
        <w:t>Senior</w:t>
      </w:r>
      <w:r>
        <w:rPr>
          <w:spacing w:val="-4"/>
        </w:rPr>
        <w:t> </w:t>
      </w:r>
      <w:r>
        <w:rPr>
          <w:spacing w:val="-2"/>
        </w:rPr>
        <w:t>High</w:t>
      </w:r>
      <w:r>
        <w:rPr>
          <w:spacing w:val="-4"/>
        </w:rPr>
        <w:t> </w:t>
      </w:r>
      <w:r>
        <w:rPr>
          <w:spacing w:val="-2"/>
        </w:rPr>
        <w:t>School,</w:t>
      </w:r>
      <w:r>
        <w:rPr>
          <w:spacing w:val="-5"/>
        </w:rPr>
        <w:t> </w:t>
      </w:r>
      <w:r>
        <w:rPr>
          <w:spacing w:val="-2"/>
        </w:rPr>
        <w:t>New</w:t>
      </w:r>
      <w:r>
        <w:rPr>
          <w:spacing w:val="-4"/>
        </w:rPr>
        <w:t> </w:t>
      </w:r>
      <w:r>
        <w:rPr>
          <w:spacing w:val="-2"/>
        </w:rPr>
        <w:t>Orleans,</w:t>
      </w:r>
      <w:r>
        <w:rPr>
          <w:spacing w:val="-4"/>
        </w:rPr>
        <w:t> </w:t>
      </w:r>
      <w:r>
        <w:rPr>
          <w:spacing w:val="-2"/>
        </w:rPr>
        <w:t>LA:</w:t>
      </w:r>
      <w:r>
        <w:rPr>
          <w:spacing w:val="-3"/>
        </w:rPr>
        <w:t> </w:t>
      </w:r>
      <w:r>
        <w:rPr>
          <w:i/>
          <w:spacing w:val="-2"/>
        </w:rPr>
        <w:t>2001-2002</w:t>
      </w:r>
      <w:r>
        <w:rPr>
          <w:spacing w:val="-2"/>
        </w:rPr>
        <w:t>.</w:t>
      </w:r>
    </w:p>
    <w:p>
      <w:pPr>
        <w:pStyle w:val="BodyText"/>
        <w:spacing w:before="49"/>
      </w:pPr>
    </w:p>
    <w:p>
      <w:pPr>
        <w:pStyle w:val="BodyText"/>
        <w:spacing w:after="0"/>
        <w:sectPr>
          <w:pgSz w:w="12240" w:h="15840"/>
          <w:pgMar w:header="0" w:footer="831" w:top="1340" w:bottom="1020" w:left="1440" w:right="1080"/>
        </w:sectPr>
      </w:pPr>
    </w:p>
    <w:p>
      <w:pPr>
        <w:pStyle w:val="BodyText"/>
        <w:spacing w:line="213" w:lineRule="auto" w:before="138"/>
        <w:ind w:left="72"/>
        <w:rPr>
          <w:rFonts w:ascii="Palatino Linotype"/>
        </w:rPr>
      </w:pPr>
      <w:r>
        <w:rPr>
          <w:rFonts w:ascii="Palatino Linotype"/>
          <w:w w:val="105"/>
        </w:rPr>
        <w:t>S</w:t>
      </w:r>
      <w:r>
        <w:rPr>
          <w:rFonts w:ascii="Palatino Linotype"/>
          <w:smallCaps/>
          <w:w w:val="105"/>
        </w:rPr>
        <w:t>ervice</w:t>
      </w:r>
      <w:r>
        <w:rPr>
          <w:rFonts w:ascii="Palatino Linotype"/>
          <w:smallCaps w:val="0"/>
          <w:spacing w:val="-4"/>
          <w:w w:val="105"/>
        </w:rPr>
        <w:t> </w:t>
      </w:r>
      <w:r>
        <w:rPr>
          <w:rFonts w:ascii="Palatino Linotype"/>
          <w:smallCaps/>
          <w:w w:val="105"/>
        </w:rPr>
        <w:t>and</w:t>
      </w:r>
      <w:r>
        <w:rPr>
          <w:rFonts w:ascii="Palatino Linotype"/>
          <w:smallCaps w:val="0"/>
          <w:w w:val="105"/>
        </w:rPr>
        <w:t> </w:t>
      </w:r>
      <w:r>
        <w:rPr>
          <w:rFonts w:ascii="Palatino Linotype"/>
          <w:smallCaps w:val="0"/>
          <w:spacing w:val="-2"/>
          <w:w w:val="105"/>
        </w:rPr>
        <w:t>A</w:t>
      </w:r>
      <w:r>
        <w:rPr>
          <w:rFonts w:ascii="Palatino Linotype"/>
          <w:smallCaps/>
          <w:spacing w:val="-2"/>
          <w:w w:val="105"/>
        </w:rPr>
        <w:t>dvising</w:t>
      </w:r>
    </w:p>
    <w:p>
      <w:pPr>
        <w:spacing w:line="252" w:lineRule="auto" w:before="142"/>
        <w:ind w:left="72" w:right="358" w:firstLine="0"/>
        <w:jc w:val="both"/>
        <w:rPr>
          <w:sz w:val="20"/>
        </w:rPr>
      </w:pPr>
      <w:r>
        <w:rPr/>
        <w:br w:type="column"/>
      </w:r>
      <w:bookmarkStart w:name="Service and Advising" w:id="10"/>
      <w:bookmarkEnd w:id="10"/>
      <w:r>
        <w:rPr/>
      </w:r>
      <w:r>
        <w:rPr>
          <w:spacing w:val="-4"/>
          <w:sz w:val="20"/>
        </w:rPr>
        <w:t>Referee:</w:t>
      </w:r>
      <w:r>
        <w:rPr>
          <w:spacing w:val="-9"/>
          <w:sz w:val="20"/>
        </w:rPr>
        <w:t> </w:t>
      </w:r>
      <w:r>
        <w:rPr>
          <w:i/>
          <w:spacing w:val="-4"/>
          <w:sz w:val="20"/>
        </w:rPr>
        <w:t>Economic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Development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and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Cultural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Change;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Economics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Education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Review; Education</w:t>
      </w:r>
      <w:r>
        <w:rPr>
          <w:i/>
          <w:spacing w:val="-4"/>
          <w:sz w:val="20"/>
        </w:rPr>
        <w:t> Finance</w:t>
      </w:r>
      <w:r>
        <w:rPr>
          <w:i/>
          <w:spacing w:val="-4"/>
          <w:sz w:val="20"/>
        </w:rPr>
        <w:t> and</w:t>
      </w:r>
      <w:r>
        <w:rPr>
          <w:i/>
          <w:spacing w:val="-4"/>
          <w:sz w:val="20"/>
        </w:rPr>
        <w:t> Policy;</w:t>
      </w:r>
      <w:r>
        <w:rPr>
          <w:i/>
          <w:spacing w:val="-4"/>
          <w:sz w:val="20"/>
        </w:rPr>
        <w:t> Educational</w:t>
      </w:r>
      <w:r>
        <w:rPr>
          <w:i/>
          <w:spacing w:val="-4"/>
          <w:sz w:val="20"/>
        </w:rPr>
        <w:t> Researcher;</w:t>
      </w:r>
      <w:r>
        <w:rPr>
          <w:i/>
          <w:spacing w:val="-4"/>
          <w:sz w:val="20"/>
        </w:rPr>
        <w:t> Management</w:t>
      </w:r>
      <w:r>
        <w:rPr>
          <w:i/>
          <w:spacing w:val="-4"/>
          <w:sz w:val="20"/>
        </w:rPr>
        <w:t> Science;</w:t>
      </w:r>
      <w:r>
        <w:rPr>
          <w:i/>
          <w:spacing w:val="-4"/>
          <w:sz w:val="20"/>
        </w:rPr>
        <w:t> Journal </w:t>
      </w:r>
      <w:r>
        <w:rPr>
          <w:i/>
          <w:sz w:val="20"/>
        </w:rPr>
        <w:t>of Human Resources; Journal of Labor Economics; Journal of Policy Analysis and </w:t>
      </w:r>
      <w:r>
        <w:rPr>
          <w:i/>
          <w:spacing w:val="-4"/>
          <w:sz w:val="20"/>
        </w:rPr>
        <w:t>Management; Journal of Population Economics; Journal of Public Economics; Journal of Urban Economics; Labour Economics; Research in Higher Education; Social Science </w:t>
      </w:r>
      <w:r>
        <w:rPr>
          <w:i/>
          <w:sz w:val="20"/>
        </w:rPr>
        <w:t>Research; Southern Economic Journal</w:t>
      </w:r>
      <w:r>
        <w:rPr>
          <w:sz w:val="20"/>
        </w:rPr>
        <w:t>.</w:t>
      </w:r>
    </w:p>
    <w:p>
      <w:pPr>
        <w:pStyle w:val="BodyText"/>
        <w:spacing w:before="14"/>
      </w:pPr>
    </w:p>
    <w:p>
      <w:pPr>
        <w:pStyle w:val="BodyText"/>
        <w:spacing w:before="1"/>
        <w:ind w:left="72"/>
        <w:jc w:val="both"/>
      </w:pPr>
      <w:r>
        <w:rPr>
          <w:spacing w:val="-2"/>
        </w:rPr>
        <w:t>Dissertation Committees:</w:t>
      </w:r>
    </w:p>
    <w:p>
      <w:pPr>
        <w:pStyle w:val="BodyText"/>
        <w:spacing w:before="11"/>
        <w:ind w:left="370"/>
      </w:pPr>
      <w:r>
        <w:rPr>
          <w:spacing w:val="-2"/>
        </w:rPr>
        <w:t>Cody</w:t>
      </w:r>
      <w:r>
        <w:rPr>
          <w:spacing w:val="6"/>
        </w:rPr>
        <w:t> </w:t>
      </w:r>
      <w:r>
        <w:rPr>
          <w:spacing w:val="-2"/>
        </w:rPr>
        <w:t>Reinhart;</w:t>
      </w:r>
      <w:r>
        <w:rPr>
          <w:spacing w:val="6"/>
        </w:rPr>
        <w:t> </w:t>
      </w:r>
      <w:r>
        <w:rPr>
          <w:spacing w:val="-2"/>
        </w:rPr>
        <w:t>Nicholas</w:t>
      </w:r>
      <w:r>
        <w:rPr>
          <w:spacing w:val="6"/>
        </w:rPr>
        <w:t> </w:t>
      </w:r>
      <w:r>
        <w:rPr>
          <w:spacing w:val="-2"/>
        </w:rPr>
        <w:t>Wright;</w:t>
      </w:r>
      <w:r>
        <w:rPr>
          <w:spacing w:val="7"/>
        </w:rPr>
        <w:t> </w:t>
      </w:r>
      <w:r>
        <w:rPr>
          <w:spacing w:val="-2"/>
        </w:rPr>
        <w:t>Wes</w:t>
      </w:r>
      <w:r>
        <w:rPr>
          <w:spacing w:val="6"/>
        </w:rPr>
        <w:t> </w:t>
      </w:r>
      <w:r>
        <w:rPr>
          <w:spacing w:val="-2"/>
        </w:rPr>
        <w:t>Austin;</w:t>
      </w:r>
      <w:r>
        <w:rPr>
          <w:spacing w:val="6"/>
        </w:rPr>
        <w:t> </w:t>
      </w:r>
      <w:r>
        <w:rPr>
          <w:spacing w:val="-2"/>
        </w:rPr>
        <w:t>Peyman</w:t>
      </w:r>
      <w:r>
        <w:rPr>
          <w:spacing w:val="7"/>
        </w:rPr>
        <w:t> </w:t>
      </w:r>
      <w:r>
        <w:rPr>
          <w:spacing w:val="-2"/>
        </w:rPr>
        <w:t>Firouzi.</w:t>
      </w:r>
    </w:p>
    <w:p>
      <w:pPr>
        <w:pStyle w:val="BodyText"/>
        <w:spacing w:after="0"/>
        <w:sectPr>
          <w:type w:val="continuous"/>
          <w:pgSz w:w="12240" w:h="15840"/>
          <w:pgMar w:header="0" w:footer="831" w:top="1140" w:bottom="1020" w:left="1440" w:right="1080"/>
          <w:cols w:num="2" w:equalWidth="0">
            <w:col w:w="1263" w:space="465"/>
            <w:col w:w="7992"/>
          </w:cols>
        </w:sectPr>
      </w:pPr>
    </w:p>
    <w:p>
      <w:pPr>
        <w:pStyle w:val="BodyText"/>
        <w:spacing w:before="165"/>
      </w:pPr>
    </w:p>
    <w:p>
      <w:pPr>
        <w:pStyle w:val="BodyText"/>
        <w:tabs>
          <w:tab w:pos="1799" w:val="left" w:leader="none"/>
        </w:tabs>
        <w:spacing w:line="268" w:lineRule="exact"/>
        <w:ind w:left="72"/>
      </w:pPr>
      <w:r>
        <w:rPr>
          <w:rFonts w:ascii="Palatino Linotype"/>
          <w:spacing w:val="-2"/>
        </w:rPr>
        <w:t>A</w:t>
      </w:r>
      <w:r>
        <w:rPr>
          <w:rFonts w:ascii="Palatino Linotype"/>
          <w:smallCaps/>
          <w:spacing w:val="-2"/>
        </w:rPr>
        <w:t>ffiliations</w:t>
      </w:r>
      <w:r>
        <w:rPr>
          <w:rFonts w:ascii="Palatino Linotype"/>
          <w:smallCaps w:val="0"/>
        </w:rPr>
        <w:tab/>
      </w:r>
      <w:bookmarkStart w:name="Affiliations" w:id="11"/>
      <w:bookmarkEnd w:id="11"/>
      <w:r>
        <w:rPr>
          <w:rFonts w:ascii="Palatino Linotype"/>
          <w:smallCaps w:val="0"/>
        </w:rPr>
      </w:r>
      <w:r>
        <w:rPr>
          <w:smallCaps w:val="0"/>
          <w:spacing w:val="-2"/>
        </w:rPr>
        <w:t>Usery</w:t>
      </w:r>
      <w:r>
        <w:rPr>
          <w:smallCaps w:val="0"/>
          <w:spacing w:val="1"/>
        </w:rPr>
        <w:t> </w:t>
      </w:r>
      <w:r>
        <w:rPr>
          <w:smallCaps w:val="0"/>
          <w:spacing w:val="-2"/>
        </w:rPr>
        <w:t>Workplace</w:t>
      </w:r>
      <w:r>
        <w:rPr>
          <w:smallCaps w:val="0"/>
          <w:spacing w:val="1"/>
        </w:rPr>
        <w:t> </w:t>
      </w:r>
      <w:r>
        <w:rPr>
          <w:smallCaps w:val="0"/>
          <w:spacing w:val="-2"/>
        </w:rPr>
        <w:t>Research</w:t>
      </w:r>
      <w:r>
        <w:rPr>
          <w:smallCaps w:val="0"/>
          <w:spacing w:val="1"/>
        </w:rPr>
        <w:t> </w:t>
      </w:r>
      <w:r>
        <w:rPr>
          <w:smallCaps w:val="0"/>
          <w:spacing w:val="-2"/>
        </w:rPr>
        <w:t>Group</w:t>
      </w:r>
      <w:r>
        <w:rPr>
          <w:smallCaps w:val="0"/>
          <w:spacing w:val="1"/>
        </w:rPr>
        <w:t> </w:t>
      </w:r>
      <w:r>
        <w:rPr>
          <w:smallCaps w:val="0"/>
          <w:spacing w:val="-2"/>
        </w:rPr>
        <w:t>(GSU)</w:t>
      </w:r>
    </w:p>
    <w:p>
      <w:pPr>
        <w:pStyle w:val="BodyText"/>
        <w:spacing w:line="225" w:lineRule="exact"/>
        <w:ind w:left="1800"/>
      </w:pPr>
      <w:r>
        <w:rPr/>
        <w:t>Education</w:t>
      </w:r>
      <w:r>
        <w:rPr>
          <w:spacing w:val="-1"/>
        </w:rPr>
        <w:t> </w:t>
      </w:r>
      <w:r>
        <w:rPr/>
        <w:t>Policy Initiative (Univ. of </w:t>
      </w:r>
      <w:r>
        <w:rPr>
          <w:spacing w:val="-2"/>
        </w:rPr>
        <w:t>Michigan)</w:t>
      </w:r>
    </w:p>
    <w:p>
      <w:pPr>
        <w:pStyle w:val="BodyText"/>
        <w:spacing w:before="12"/>
        <w:ind w:left="1800"/>
      </w:pPr>
      <w:r>
        <w:rPr>
          <w:spacing w:val="-2"/>
        </w:rPr>
        <w:t>Economic</w:t>
      </w:r>
      <w:r>
        <w:rPr>
          <w:spacing w:val="7"/>
        </w:rPr>
        <w:t> </w:t>
      </w:r>
      <w:r>
        <w:rPr>
          <w:spacing w:val="-2"/>
        </w:rPr>
        <w:t>Self-Sufficiency</w:t>
      </w:r>
      <w:r>
        <w:rPr>
          <w:spacing w:val="8"/>
        </w:rPr>
        <w:t> </w:t>
      </w:r>
      <w:r>
        <w:rPr>
          <w:spacing w:val="-2"/>
        </w:rPr>
        <w:t>Policy</w:t>
      </w:r>
      <w:r>
        <w:rPr>
          <w:spacing w:val="8"/>
        </w:rPr>
        <w:t> </w:t>
      </w:r>
      <w:r>
        <w:rPr>
          <w:spacing w:val="-2"/>
        </w:rPr>
        <w:t>Research</w:t>
      </w:r>
      <w:r>
        <w:rPr>
          <w:spacing w:val="8"/>
        </w:rPr>
        <w:t> </w:t>
      </w:r>
      <w:r>
        <w:rPr>
          <w:spacing w:val="-2"/>
        </w:rPr>
        <w:t>Institute</w:t>
      </w:r>
      <w:r>
        <w:rPr>
          <w:spacing w:val="8"/>
        </w:rPr>
        <w:t> </w:t>
      </w:r>
      <w:r>
        <w:rPr>
          <w:spacing w:val="-2"/>
        </w:rPr>
        <w:t>(ESSPRI,</w:t>
      </w:r>
      <w:r>
        <w:rPr>
          <w:spacing w:val="8"/>
        </w:rPr>
        <w:t> </w:t>
      </w:r>
      <w:r>
        <w:rPr>
          <w:spacing w:val="-2"/>
        </w:rPr>
        <w:t>UC</w:t>
      </w:r>
      <w:r>
        <w:rPr>
          <w:spacing w:val="8"/>
        </w:rPr>
        <w:t> </w:t>
      </w:r>
      <w:r>
        <w:rPr>
          <w:spacing w:val="-2"/>
        </w:rPr>
        <w:t>Irvine)</w:t>
      </w:r>
    </w:p>
    <w:p>
      <w:pPr>
        <w:pStyle w:val="BodyText"/>
        <w:spacing w:after="0"/>
        <w:sectPr>
          <w:type w:val="continuous"/>
          <w:pgSz w:w="12240" w:h="15840"/>
          <w:pgMar w:header="0" w:footer="831" w:top="1140" w:bottom="1020" w:left="1440" w:right="1080"/>
        </w:sectPr>
      </w:pPr>
    </w:p>
    <w:p>
      <w:pPr>
        <w:pStyle w:val="BodyText"/>
        <w:spacing w:line="213" w:lineRule="auto" w:before="112"/>
        <w:ind w:left="71"/>
        <w:rPr>
          <w:rFonts w:ascii="Palatino Linotype"/>
        </w:rPr>
      </w:pPr>
      <w:r>
        <w:rPr>
          <w:rFonts w:ascii="Palatino Linotype"/>
          <w:spacing w:val="-2"/>
          <w:w w:val="105"/>
        </w:rPr>
        <w:t>I</w:t>
      </w:r>
      <w:r>
        <w:rPr>
          <w:rFonts w:ascii="Palatino Linotype"/>
          <w:smallCaps/>
          <w:spacing w:val="-2"/>
          <w:w w:val="105"/>
        </w:rPr>
        <w:t>nvited</w:t>
      </w:r>
      <w:r>
        <w:rPr>
          <w:rFonts w:ascii="Palatino Linotype"/>
          <w:smallCaps w:val="0"/>
          <w:spacing w:val="-2"/>
          <w:w w:val="105"/>
        </w:rPr>
        <w:t> P</w:t>
      </w:r>
      <w:r>
        <w:rPr>
          <w:rFonts w:ascii="Palatino Linotype"/>
          <w:smallCaps/>
          <w:spacing w:val="-2"/>
          <w:w w:val="105"/>
        </w:rPr>
        <w:t>resentations</w:t>
      </w:r>
    </w:p>
    <w:p>
      <w:pPr>
        <w:pStyle w:val="BodyText"/>
        <w:spacing w:line="252" w:lineRule="auto" w:before="116"/>
        <w:ind w:left="71" w:right="359"/>
        <w:jc w:val="both"/>
      </w:pPr>
      <w:r>
        <w:rPr/>
        <w:br w:type="column"/>
      </w:r>
      <w:bookmarkStart w:name="Invited Presentations" w:id="12"/>
      <w:bookmarkEnd w:id="12"/>
      <w:r>
        <w:rPr/>
      </w:r>
      <w:r>
        <w:rPr>
          <w:i/>
        </w:rPr>
        <w:t>2019: </w:t>
      </w:r>
      <w:r>
        <w:rPr/>
        <w:t>The Upjohn Institute. The American Economic Association. The Association of Education Finance and Policy.</w:t>
      </w:r>
    </w:p>
    <w:p>
      <w:pPr>
        <w:pStyle w:val="BodyText"/>
        <w:spacing w:before="60"/>
        <w:ind w:left="71"/>
        <w:jc w:val="both"/>
      </w:pPr>
      <w:r>
        <w:rPr>
          <w:i/>
          <w:spacing w:val="-2"/>
        </w:rPr>
        <w:t>2018:</w:t>
      </w:r>
      <w:r>
        <w:rPr>
          <w:i/>
          <w:spacing w:val="1"/>
        </w:rPr>
        <w:t> </w:t>
      </w:r>
      <w:r>
        <w:rPr>
          <w:spacing w:val="-2"/>
        </w:rPr>
        <w:t>SOLE. IZA Junior-Senior Symposium.</w:t>
      </w:r>
      <w:r>
        <w:rPr>
          <w:spacing w:val="-3"/>
        </w:rPr>
        <w:t> </w:t>
      </w:r>
      <w:r>
        <w:rPr>
          <w:spacing w:val="-2"/>
        </w:rPr>
        <w:t>University of Illinois, Chicago.</w:t>
      </w:r>
    </w:p>
    <w:p>
      <w:pPr>
        <w:pStyle w:val="BodyText"/>
        <w:spacing w:line="252" w:lineRule="auto" w:before="72"/>
        <w:ind w:left="71" w:right="357"/>
        <w:jc w:val="both"/>
      </w:pPr>
      <w:r>
        <w:rPr>
          <w:i/>
        </w:rPr>
        <w:t>2017: </w:t>
      </w:r>
      <w:r>
        <w:rPr/>
        <w:t>Economic Self-Sufficiency Policy Research Institute (ESSPRI). HOPE Global Forum. The Association of Education Finance and Policy.</w:t>
      </w:r>
    </w:p>
    <w:p>
      <w:pPr>
        <w:pStyle w:val="BodyText"/>
        <w:spacing w:line="252" w:lineRule="auto" w:before="61"/>
        <w:ind w:left="71" w:right="357"/>
        <w:jc w:val="both"/>
      </w:pPr>
      <w:r>
        <w:rPr>
          <w:i/>
        </w:rPr>
        <w:t>2016: </w:t>
      </w:r>
      <w:r>
        <w:rPr/>
        <w:t>Montana State University. Clemson University. Kansas State University. The Association of Education Finance and Policy.</w:t>
      </w:r>
    </w:p>
    <w:p>
      <w:pPr>
        <w:pStyle w:val="BodyText"/>
        <w:spacing w:line="252" w:lineRule="auto" w:before="60"/>
        <w:ind w:left="71" w:right="358"/>
        <w:jc w:val="both"/>
      </w:pPr>
      <w:r>
        <w:rPr>
          <w:i/>
        </w:rPr>
        <w:t>2015: </w:t>
      </w:r>
      <w:r>
        <w:rPr/>
        <w:t>University of Tennessee, Knoxville. The Association of Education Finance and </w:t>
      </w:r>
      <w:r>
        <w:rPr>
          <w:spacing w:val="-2"/>
        </w:rPr>
        <w:t>Policy.</w:t>
      </w:r>
    </w:p>
    <w:p>
      <w:pPr>
        <w:pStyle w:val="BodyText"/>
        <w:spacing w:line="252" w:lineRule="auto" w:before="61"/>
        <w:ind w:left="71" w:right="357"/>
        <w:jc w:val="both"/>
      </w:pPr>
      <w:r>
        <w:rPr>
          <w:i/>
        </w:rPr>
        <w:t>2014: </w:t>
      </w:r>
      <w:r>
        <w:rPr/>
        <w:t>American Economic Association. Southern Economic Association. University</w:t>
      </w:r>
      <w:r>
        <w:rPr>
          <w:spacing w:val="40"/>
        </w:rPr>
        <w:t> </w:t>
      </w:r>
      <w:r>
        <w:rPr/>
        <w:t>of Miami. George Washington University. Georgia State University. University of Pennsylvania, GSE. Building Human Capital and Economic Potential Conference, University of Wisconsin, Madison and University of Texas, Austin. The Association</w:t>
      </w:r>
      <w:r>
        <w:rPr>
          <w:spacing w:val="80"/>
          <w:w w:val="150"/>
        </w:rPr>
        <w:t> </w:t>
      </w:r>
      <w:r>
        <w:rPr/>
        <w:t>of Education Finance and Policy. The Association of Public Policy and Management. International Workshop on Applied Economics of Education. Catanzaro, Italy.</w:t>
      </w:r>
    </w:p>
    <w:p>
      <w:pPr>
        <w:pStyle w:val="BodyText"/>
        <w:spacing w:line="252" w:lineRule="auto" w:before="63"/>
        <w:ind w:left="71" w:right="358"/>
        <w:jc w:val="both"/>
      </w:pPr>
      <w:r>
        <w:rPr>
          <w:i/>
          <w:spacing w:val="-2"/>
        </w:rPr>
        <w:t>2013:</w:t>
      </w:r>
      <w:r>
        <w:rPr>
          <w:i/>
          <w:spacing w:val="-6"/>
        </w:rPr>
        <w:t> </w:t>
      </w:r>
      <w:r>
        <w:rPr>
          <w:spacing w:val="-2"/>
        </w:rPr>
        <w:t>Federal</w:t>
      </w:r>
      <w:r>
        <w:rPr>
          <w:spacing w:val="-10"/>
        </w:rPr>
        <w:t> </w:t>
      </w:r>
      <w:r>
        <w:rPr>
          <w:spacing w:val="-2"/>
        </w:rPr>
        <w:t>Reserve</w:t>
      </w:r>
      <w:r>
        <w:rPr>
          <w:spacing w:val="-10"/>
        </w:rPr>
        <w:t> </w:t>
      </w:r>
      <w:r>
        <w:rPr>
          <w:spacing w:val="-2"/>
        </w:rPr>
        <w:t>Bank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Cleveland,</w:t>
      </w:r>
      <w:r>
        <w:rPr>
          <w:spacing w:val="-11"/>
        </w:rPr>
        <w:t> </w:t>
      </w:r>
      <w:r>
        <w:rPr>
          <w:spacing w:val="-2"/>
        </w:rPr>
        <w:t>Policy</w:t>
      </w:r>
      <w:r>
        <w:rPr>
          <w:spacing w:val="-9"/>
        </w:rPr>
        <w:t> </w:t>
      </w:r>
      <w:r>
        <w:rPr>
          <w:spacing w:val="-2"/>
        </w:rPr>
        <w:t>Summit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Housing,</w:t>
      </w:r>
      <w:r>
        <w:rPr>
          <w:spacing w:val="-11"/>
        </w:rPr>
        <w:t> </w:t>
      </w:r>
      <w:r>
        <w:rPr>
          <w:spacing w:val="-2"/>
        </w:rPr>
        <w:t>Human</w:t>
      </w:r>
      <w:r>
        <w:rPr>
          <w:spacing w:val="-9"/>
        </w:rPr>
        <w:t> </w:t>
      </w:r>
      <w:r>
        <w:rPr>
          <w:spacing w:val="-2"/>
        </w:rPr>
        <w:t>Capital,</w:t>
      </w:r>
      <w:r>
        <w:rPr>
          <w:spacing w:val="-10"/>
        </w:rPr>
        <w:t> </w:t>
      </w:r>
      <w:r>
        <w:rPr>
          <w:spacing w:val="-2"/>
        </w:rPr>
        <w:t>&amp; </w:t>
      </w:r>
      <w:r>
        <w:rPr/>
        <w:t>Inequality.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Education</w:t>
      </w:r>
      <w:r>
        <w:rPr>
          <w:spacing w:val="-10"/>
        </w:rPr>
        <w:t> </w:t>
      </w:r>
      <w:r>
        <w:rPr/>
        <w:t>Finance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Policy.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Public Policy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Management.</w:t>
      </w:r>
      <w:r>
        <w:rPr>
          <w:spacing w:val="16"/>
        </w:rPr>
        <w:t> </w:t>
      </w:r>
      <w:r>
        <w:rPr/>
        <w:t>Welfare</w:t>
      </w:r>
      <w:r>
        <w:rPr>
          <w:spacing w:val="16"/>
        </w:rPr>
        <w:t> </w:t>
      </w:r>
      <w:r>
        <w:rPr/>
        <w:t>Research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Evaluation</w:t>
      </w:r>
      <w:r>
        <w:rPr>
          <w:spacing w:val="16"/>
        </w:rPr>
        <w:t> </w:t>
      </w:r>
      <w:r>
        <w:rPr/>
        <w:t>Conference,</w:t>
      </w:r>
      <w:r>
        <w:rPr>
          <w:spacing w:val="16"/>
        </w:rPr>
        <w:t> </w:t>
      </w:r>
      <w:r>
        <w:rPr/>
        <w:t>Washington</w:t>
      </w:r>
    </w:p>
    <w:p>
      <w:pPr>
        <w:pStyle w:val="BodyText"/>
        <w:spacing w:line="252" w:lineRule="auto" w:before="1"/>
        <w:ind w:left="71" w:right="357"/>
        <w:jc w:val="both"/>
      </w:pPr>
      <w:r>
        <w:rPr/>
        <w:t>D.C.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Center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Post-secondary</w:t>
      </w:r>
      <w:r>
        <w:rPr>
          <w:spacing w:val="-10"/>
        </w:rPr>
        <w:t> </w:t>
      </w:r>
      <w:r>
        <w:rPr/>
        <w:t>Education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Employment,</w:t>
      </w:r>
      <w:r>
        <w:rPr>
          <w:spacing w:val="-10"/>
        </w:rPr>
        <w:t> </w:t>
      </w:r>
      <w:r>
        <w:rPr/>
        <w:t>Columbia University. Institute for Poverty Research, UC Davis.</w:t>
      </w:r>
    </w:p>
    <w:p>
      <w:pPr>
        <w:pStyle w:val="BodyText"/>
        <w:spacing w:line="252" w:lineRule="auto" w:before="61"/>
        <w:ind w:left="71" w:right="359"/>
        <w:jc w:val="both"/>
      </w:pPr>
      <w:r>
        <w:rPr>
          <w:i/>
        </w:rPr>
        <w:t>2012: </w:t>
      </w:r>
      <w:r>
        <w:rPr/>
        <w:t>American Education Research Association. University of Michigan, SOE. University of Massachusetts, Amherst. University of Pennsylvania, GSE.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before="1"/>
        <w:ind w:right="358"/>
        <w:jc w:val="right"/>
      </w:pPr>
      <w:r>
        <w:rPr/>
        <w:t>Updated</w:t>
      </w:r>
      <w:r>
        <w:rPr>
          <w:spacing w:val="7"/>
        </w:rPr>
        <w:t> </w:t>
      </w:r>
      <w:r>
        <w:rPr/>
        <w:t>April,</w:t>
      </w:r>
      <w:r>
        <w:rPr>
          <w:spacing w:val="8"/>
        </w:rPr>
        <w:t> </w:t>
      </w:r>
      <w:r>
        <w:rPr>
          <w:spacing w:val="-4"/>
        </w:rPr>
        <w:t>2019</w:t>
      </w:r>
    </w:p>
    <w:sectPr>
      <w:pgSz w:w="12240" w:h="15840"/>
      <w:pgMar w:header="0" w:footer="831" w:top="1340" w:bottom="1020" w:left="1440" w:right="1080"/>
      <w:cols w:num="2" w:equalWidth="0">
        <w:col w:w="1508" w:space="220"/>
        <w:col w:w="799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8784">
              <wp:simplePos x="0" y="0"/>
              <wp:positionH relativeFrom="page">
                <wp:posOffset>3660063</wp:posOffset>
              </wp:positionH>
              <wp:positionV relativeFrom="page">
                <wp:posOffset>9390775</wp:posOffset>
              </wp:positionV>
              <wp:extent cx="363855" cy="20510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63855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1"/>
                            <w:ind w:left="60"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17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7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8.194pt;margin-top:739.431152pt;width:28.65pt;height:16.1500pt;mso-position-horizontal-relative:page;mso-position-vertical-relative:page;z-index:-158376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1"/>
                      <w:ind w:left="6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17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7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1"/>
    </w:pPr>
    <w:rPr>
      <w:rFonts w:ascii="Times New Roman" w:hAnsi="Times New Roman" w:eastAsia="Times New Roman" w:cs="Times New Roman"/>
      <w:sz w:val="49"/>
      <w:szCs w:val="49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dkreisman.com/" TargetMode="External"/><Relationship Id="rId7" Type="http://schemas.openxmlformats.org/officeDocument/2006/relationships/hyperlink" Target="mailto:dkreisman@gsu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2025-12-06T06:06:24Z</dcterms:created>
  <dcterms:modified xsi:type="dcterms:W3CDTF">2025-12-06T06:06:24Z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2019-04-30T00:00:00Z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3.14159265-2.6-1.40.19 (TeX Live 2018) kpathsea version 6.3.0</vt:lpwstr>
  </property>
  <property fmtid="{D5CDD505-2E9C-101B-9397-08002B2CF9AE}" pid="6" name="Producer">
    <vt:lpwstr>pdfTeX-1.40.19</vt:lpwstr>
  </property>
</Properties>
</file>