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Mikhail</w:t>
      </w:r>
      <w:r>
        <w:rPr>
          <w:spacing w:val="-3"/>
        </w:rPr>
        <w:t> </w:t>
      </w:r>
      <w:r>
        <w:rPr>
          <w:spacing w:val="-2"/>
        </w:rPr>
        <w:t>Klimenko</w:t>
      </w:r>
    </w:p>
    <w:p>
      <w:pPr>
        <w:spacing w:before="298"/>
        <w:ind w:left="116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School</w:t>
      </w:r>
      <w:r>
        <w:rPr>
          <w:b/>
          <w:i/>
          <w:spacing w:val="8"/>
          <w:sz w:val="21"/>
        </w:rPr>
        <w:t> </w:t>
      </w:r>
      <w:r>
        <w:rPr>
          <w:b/>
          <w:i/>
          <w:sz w:val="21"/>
        </w:rPr>
        <w:t>of</w:t>
      </w:r>
      <w:r>
        <w:rPr>
          <w:b/>
          <w:i/>
          <w:spacing w:val="8"/>
          <w:sz w:val="21"/>
        </w:rPr>
        <w:t> </w:t>
      </w:r>
      <w:r>
        <w:rPr>
          <w:b/>
          <w:i/>
          <w:spacing w:val="-2"/>
          <w:sz w:val="21"/>
        </w:rPr>
        <w:t>Economics</w:t>
      </w:r>
    </w:p>
    <w:p>
      <w:pPr>
        <w:spacing w:line="247" w:lineRule="auto" w:before="7"/>
        <w:ind w:left="116" w:right="8593" w:firstLine="0"/>
        <w:jc w:val="left"/>
        <w:rPr>
          <w:b/>
          <w:sz w:val="21"/>
        </w:rPr>
      </w:pPr>
      <w:r>
        <w:rPr>
          <w:b/>
          <w:i/>
          <w:sz w:val="21"/>
        </w:rPr>
        <w:t>Georgia Institute of </w:t>
      </w:r>
      <w:r>
        <w:rPr>
          <w:b/>
          <w:i/>
          <w:sz w:val="21"/>
        </w:rPr>
        <w:t>Technology </w:t>
      </w:r>
      <w:r>
        <w:rPr>
          <w:b/>
          <w:sz w:val="21"/>
        </w:rPr>
        <w:t>781 </w:t>
      </w:r>
      <w:r>
        <w:rPr>
          <w:b/>
          <w:i/>
          <w:sz w:val="21"/>
        </w:rPr>
        <w:t>Marietta Street, NW Atlanta, GA </w:t>
      </w:r>
      <w:r>
        <w:rPr>
          <w:b/>
          <w:sz w:val="21"/>
        </w:rPr>
        <w:t>30332-5750</w:t>
      </w:r>
    </w:p>
    <w:p>
      <w:pPr>
        <w:pStyle w:val="BodyText"/>
        <w:spacing w:before="7"/>
        <w:rPr>
          <w:b/>
          <w:sz w:val="21"/>
        </w:rPr>
      </w:pPr>
    </w:p>
    <w:p>
      <w:pPr>
        <w:spacing w:before="0"/>
        <w:ind w:left="116" w:right="0" w:firstLine="0"/>
        <w:jc w:val="left"/>
        <w:rPr>
          <w:b/>
          <w:sz w:val="21"/>
        </w:rPr>
      </w:pPr>
      <w:r>
        <w:rPr>
          <w:b/>
          <w:i/>
          <w:sz w:val="21"/>
        </w:rPr>
        <w:t>Office</w:t>
      </w:r>
      <w:r>
        <w:rPr>
          <w:b/>
          <w:i/>
          <w:spacing w:val="16"/>
          <w:sz w:val="21"/>
        </w:rPr>
        <w:t> </w:t>
      </w:r>
      <w:r>
        <w:rPr>
          <w:b/>
          <w:i/>
          <w:sz w:val="21"/>
        </w:rPr>
        <w:t>phone:</w:t>
      </w:r>
      <w:r>
        <w:rPr>
          <w:b/>
          <w:i/>
          <w:spacing w:val="16"/>
          <w:sz w:val="21"/>
        </w:rPr>
        <w:t> </w:t>
      </w:r>
      <w:r>
        <w:rPr>
          <w:b/>
          <w:sz w:val="21"/>
        </w:rPr>
        <w:t>404-894-</w:t>
      </w:r>
      <w:r>
        <w:rPr>
          <w:b/>
          <w:spacing w:val="-4"/>
          <w:sz w:val="21"/>
        </w:rPr>
        <w:t>0353</w:t>
      </w:r>
    </w:p>
    <w:p>
      <w:pPr>
        <w:spacing w:before="7"/>
        <w:ind w:left="116" w:right="0" w:firstLine="0"/>
        <w:jc w:val="left"/>
        <w:rPr>
          <w:b/>
          <w:sz w:val="21"/>
        </w:rPr>
      </w:pPr>
      <w:r>
        <w:rPr>
          <w:b/>
          <w:i/>
          <w:sz w:val="21"/>
        </w:rPr>
        <w:t>Fax:</w:t>
      </w:r>
      <w:r>
        <w:rPr>
          <w:b/>
          <w:i/>
          <w:spacing w:val="24"/>
          <w:sz w:val="21"/>
        </w:rPr>
        <w:t> </w:t>
      </w:r>
      <w:r>
        <w:rPr>
          <w:b/>
          <w:sz w:val="21"/>
        </w:rPr>
        <w:t>404-894-</w:t>
      </w:r>
      <w:r>
        <w:rPr>
          <w:b/>
          <w:spacing w:val="-4"/>
          <w:sz w:val="21"/>
        </w:rPr>
        <w:t>1890</w:t>
      </w:r>
    </w:p>
    <w:p>
      <w:pPr>
        <w:spacing w:before="7"/>
        <w:ind w:left="116" w:right="0" w:firstLine="0"/>
        <w:jc w:val="left"/>
        <w:rPr>
          <w:b/>
          <w:sz w:val="21"/>
        </w:rPr>
      </w:pPr>
      <w:r>
        <w:rPr>
          <w:b/>
          <w:i/>
          <w:sz w:val="21"/>
        </w:rPr>
        <w:t>Office</w:t>
      </w:r>
      <w:r>
        <w:rPr>
          <w:b/>
          <w:i/>
          <w:spacing w:val="7"/>
          <w:sz w:val="21"/>
        </w:rPr>
        <w:t> </w:t>
      </w:r>
      <w:r>
        <w:rPr>
          <w:b/>
          <w:i/>
          <w:sz w:val="21"/>
        </w:rPr>
        <w:t>hours:</w:t>
      </w:r>
      <w:r>
        <w:rPr>
          <w:b/>
          <w:i/>
          <w:spacing w:val="8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8"/>
          <w:sz w:val="21"/>
        </w:rPr>
        <w:t> </w:t>
      </w:r>
      <w:r>
        <w:rPr>
          <w:b/>
          <w:spacing w:val="-2"/>
          <w:sz w:val="21"/>
        </w:rPr>
        <w:t>appointment</w:t>
      </w:r>
    </w:p>
    <w:p>
      <w:pPr>
        <w:pStyle w:val="BodyText"/>
        <w:spacing w:before="15"/>
        <w:rPr>
          <w:b/>
          <w:sz w:val="21"/>
        </w:rPr>
      </w:pPr>
    </w:p>
    <w:p>
      <w:pPr>
        <w:spacing w:before="0"/>
        <w:ind w:left="116" w:right="0" w:firstLine="0"/>
        <w:jc w:val="left"/>
        <w:rPr>
          <w:rFonts w:ascii="Comic Sans MS"/>
          <w:b/>
          <w:sz w:val="23"/>
        </w:rPr>
      </w:pPr>
      <w:r>
        <w:rPr>
          <w:rFonts w:ascii="Comic Sans MS"/>
          <w:b/>
          <w:sz w:val="23"/>
        </w:rPr>
        <w:t>Research</w:t>
      </w:r>
      <w:r>
        <w:rPr>
          <w:rFonts w:ascii="Comic Sans MS"/>
          <w:b/>
          <w:spacing w:val="11"/>
          <w:sz w:val="23"/>
        </w:rPr>
        <w:t> </w:t>
      </w:r>
      <w:r>
        <w:rPr>
          <w:rFonts w:ascii="Comic Sans MS"/>
          <w:b/>
          <w:spacing w:val="-2"/>
          <w:sz w:val="23"/>
        </w:rPr>
        <w:t>interests:</w:t>
      </w:r>
    </w:p>
    <w:p>
      <w:pPr>
        <w:spacing w:line="336" w:lineRule="auto" w:before="242"/>
        <w:ind w:left="529" w:right="6630" w:firstLine="0"/>
        <w:jc w:val="left"/>
        <w:rPr>
          <w:rFonts w:ascii="Comic Sans MS"/>
          <w:sz w:val="21"/>
        </w:rPr>
      </w:pPr>
      <w:r>
        <w:rPr>
          <w:rFonts w:ascii="Comic Sans MS"/>
          <w:sz w:val="21"/>
        </w:rPr>
        <w:t>International Trade and Trade Policies Trade Agreements</w:t>
      </w:r>
    </w:p>
    <w:p>
      <w:pPr>
        <w:spacing w:line="336" w:lineRule="auto" w:before="0"/>
        <w:ind w:left="529" w:right="5274" w:firstLine="0"/>
        <w:jc w:val="left"/>
        <w:rPr>
          <w:rFonts w:ascii="Comic Sans MS"/>
          <w:sz w:val="21"/>
        </w:rPr>
      </w:pPr>
      <w:r>
        <w:rPr>
          <w:rFonts w:ascii="Comic Sans MS"/>
          <w:sz w:val="21"/>
        </w:rPr>
        <w:t>Trade, Human Capital Accumulation and Economic </w:t>
      </w:r>
      <w:r>
        <w:rPr>
          <w:rFonts w:ascii="Comic Sans MS"/>
          <w:sz w:val="21"/>
        </w:rPr>
        <w:t>Growth Open-economy industrial organization</w:t>
      </w:r>
    </w:p>
    <w:p>
      <w:pPr>
        <w:spacing w:line="292" w:lineRule="exact" w:before="0"/>
        <w:ind w:left="529" w:right="0" w:firstLine="0"/>
        <w:jc w:val="left"/>
        <w:rPr>
          <w:rFonts w:ascii="Comic Sans MS"/>
          <w:sz w:val="21"/>
        </w:rPr>
      </w:pPr>
      <w:r>
        <w:rPr>
          <w:rFonts w:ascii="Comic Sans MS"/>
          <w:sz w:val="21"/>
        </w:rPr>
        <w:t>International</w:t>
      </w:r>
      <w:r>
        <w:rPr>
          <w:rFonts w:ascii="Comic Sans MS"/>
          <w:spacing w:val="16"/>
          <w:sz w:val="21"/>
        </w:rPr>
        <w:t> </w:t>
      </w:r>
      <w:r>
        <w:rPr>
          <w:rFonts w:ascii="Comic Sans MS"/>
          <w:sz w:val="21"/>
        </w:rPr>
        <w:t>trade</w:t>
      </w:r>
      <w:r>
        <w:rPr>
          <w:rFonts w:ascii="Comic Sans MS"/>
          <w:spacing w:val="18"/>
          <w:sz w:val="21"/>
        </w:rPr>
        <w:t> </w:t>
      </w:r>
      <w:r>
        <w:rPr>
          <w:rFonts w:ascii="Comic Sans MS"/>
          <w:sz w:val="21"/>
        </w:rPr>
        <w:t>in</w:t>
      </w:r>
      <w:r>
        <w:rPr>
          <w:rFonts w:ascii="Comic Sans MS"/>
          <w:spacing w:val="18"/>
          <w:sz w:val="21"/>
        </w:rPr>
        <w:t> </w:t>
      </w:r>
      <w:r>
        <w:rPr>
          <w:rFonts w:ascii="Comic Sans MS"/>
          <w:sz w:val="21"/>
        </w:rPr>
        <w:t>telecommunications</w:t>
      </w:r>
      <w:r>
        <w:rPr>
          <w:rFonts w:ascii="Comic Sans MS"/>
          <w:spacing w:val="18"/>
          <w:sz w:val="21"/>
        </w:rPr>
        <w:t> </w:t>
      </w:r>
      <w:r>
        <w:rPr>
          <w:rFonts w:ascii="Comic Sans MS"/>
          <w:sz w:val="21"/>
        </w:rPr>
        <w:t>services</w:t>
      </w:r>
      <w:r>
        <w:rPr>
          <w:rFonts w:ascii="Comic Sans MS"/>
          <w:spacing w:val="18"/>
          <w:sz w:val="21"/>
        </w:rPr>
        <w:t> </w:t>
      </w:r>
      <w:r>
        <w:rPr>
          <w:rFonts w:ascii="Comic Sans MS"/>
          <w:sz w:val="21"/>
        </w:rPr>
        <w:t>and</w:t>
      </w:r>
      <w:r>
        <w:rPr>
          <w:rFonts w:ascii="Comic Sans MS"/>
          <w:spacing w:val="18"/>
          <w:sz w:val="21"/>
        </w:rPr>
        <w:t> </w:t>
      </w:r>
      <w:r>
        <w:rPr>
          <w:rFonts w:ascii="Comic Sans MS"/>
          <w:sz w:val="21"/>
        </w:rPr>
        <w:t>information</w:t>
      </w:r>
      <w:r>
        <w:rPr>
          <w:rFonts w:ascii="Comic Sans MS"/>
          <w:spacing w:val="19"/>
          <w:sz w:val="21"/>
        </w:rPr>
        <w:t> </w:t>
      </w:r>
      <w:r>
        <w:rPr>
          <w:rFonts w:ascii="Comic Sans MS"/>
          <w:spacing w:val="-2"/>
          <w:sz w:val="21"/>
        </w:rPr>
        <w:t>technology</w:t>
      </w:r>
    </w:p>
    <w:p>
      <w:pPr>
        <w:spacing w:before="116"/>
        <w:ind w:left="529" w:right="0" w:firstLine="0"/>
        <w:jc w:val="left"/>
        <w:rPr>
          <w:rFonts w:ascii="Comic Sans MS"/>
          <w:sz w:val="21"/>
        </w:rPr>
      </w:pPr>
      <w:r>
        <w:rPr>
          <w:rFonts w:ascii="Comic Sans MS"/>
          <w:sz w:val="21"/>
        </w:rPr>
        <w:t>Public</w:t>
      </w:r>
      <w:r>
        <w:rPr>
          <w:rFonts w:ascii="Comic Sans MS"/>
          <w:spacing w:val="16"/>
          <w:sz w:val="21"/>
        </w:rPr>
        <w:t> </w:t>
      </w:r>
      <w:r>
        <w:rPr>
          <w:rFonts w:ascii="Comic Sans MS"/>
          <w:sz w:val="21"/>
        </w:rPr>
        <w:t>Policy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and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Business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Strategy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for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Information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Technology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and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z w:val="21"/>
        </w:rPr>
        <w:t>Telecommunications</w:t>
      </w:r>
      <w:r>
        <w:rPr>
          <w:rFonts w:ascii="Comic Sans MS"/>
          <w:spacing w:val="17"/>
          <w:sz w:val="21"/>
        </w:rPr>
        <w:t> </w:t>
      </w:r>
      <w:r>
        <w:rPr>
          <w:rFonts w:ascii="Comic Sans MS"/>
          <w:spacing w:val="-2"/>
          <w:sz w:val="21"/>
        </w:rPr>
        <w:t>Networks</w:t>
      </w:r>
    </w:p>
    <w:p>
      <w:pPr>
        <w:pStyle w:val="BodyText"/>
        <w:rPr>
          <w:rFonts w:ascii="Comic Sans MS"/>
          <w:sz w:val="21"/>
        </w:rPr>
      </w:pPr>
    </w:p>
    <w:p>
      <w:pPr>
        <w:pStyle w:val="BodyText"/>
        <w:spacing w:before="110"/>
        <w:rPr>
          <w:rFonts w:ascii="Comic Sans MS"/>
          <w:sz w:val="21"/>
        </w:rPr>
      </w:pPr>
    </w:p>
    <w:p>
      <w:pPr>
        <w:pStyle w:val="Heading1"/>
        <w:spacing w:before="1"/>
        <w:rPr>
          <w:rFonts w:ascii="Times New Roman"/>
        </w:rPr>
      </w:pPr>
      <w:r>
        <w:rPr>
          <w:rFonts w:ascii="Times New Roman"/>
        </w:rPr>
        <w:t>SELECTED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"/>
        </w:rPr>
        <w:t>PUBLICATIONS</w:t>
      </w:r>
    </w:p>
    <w:p>
      <w:pPr>
        <w:spacing w:before="287"/>
        <w:ind w:left="116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smallCaps/>
          <w:w w:val="90"/>
          <w:sz w:val="27"/>
        </w:rPr>
        <w:t>Journal</w:t>
      </w:r>
      <w:r>
        <w:rPr>
          <w:rFonts w:ascii="Arial"/>
          <w:b/>
          <w:smallCaps/>
          <w:spacing w:val="-1"/>
          <w:w w:val="90"/>
          <w:sz w:val="27"/>
        </w:rPr>
        <w:t> </w:t>
      </w:r>
      <w:r>
        <w:rPr>
          <w:rFonts w:ascii="Arial"/>
          <w:b/>
          <w:smallCaps/>
          <w:spacing w:val="-2"/>
          <w:sz w:val="27"/>
        </w:rPr>
        <w:t>Articles</w:t>
      </w:r>
    </w:p>
    <w:p>
      <w:pPr>
        <w:pStyle w:val="BodyText"/>
        <w:spacing w:before="209"/>
        <w:rPr>
          <w:rFonts w:ascii="Arial"/>
          <w:b/>
        </w:rPr>
      </w:pPr>
    </w:p>
    <w:p>
      <w:pPr>
        <w:pStyle w:val="BodyText"/>
        <w:spacing w:line="319" w:lineRule="auto" w:before="1"/>
        <w:ind w:left="818" w:right="294"/>
      </w:pPr>
      <w:r>
        <w:rPr>
          <w:color w:val="0000FF"/>
          <w:u w:val="single" w:color="000000"/>
        </w:rPr>
        <w:t>Investor perception of ESG-linked credit risk during the COVID-19 pandemic for U.S. and European firms</w:t>
      </w:r>
      <w:r>
        <w:rPr>
          <w:color w:val="0000FF"/>
        </w:rPr>
        <w:t>, </w:t>
      </w:r>
      <w:r>
        <w:rPr/>
        <w:t>(With Kirill Romanyuk.) </w:t>
      </w:r>
      <w:r>
        <w:rPr>
          <w:i/>
        </w:rPr>
        <w:t>Finance Research Letters </w:t>
      </w:r>
      <w:r>
        <w:rPr/>
        <w:t>86 (December 2025, Part B).</w:t>
      </w:r>
    </w:p>
    <w:p>
      <w:pPr>
        <w:pStyle w:val="BodyText"/>
        <w:spacing w:before="115"/>
        <w:ind w:left="818"/>
      </w:pPr>
      <w:r>
        <w:rPr>
          <w:color w:val="0000FF"/>
          <w:u w:val="single" w:color="000000"/>
        </w:rPr>
        <w:t>Global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Di</w:t>
      </w:r>
      <w:r>
        <w:rPr>
          <w:color w:val="0000FF"/>
        </w:rPr>
        <w:t>g</w:t>
      </w:r>
      <w:r>
        <w:rPr>
          <w:color w:val="0000FF"/>
          <w:u w:val="single" w:color="000000"/>
        </w:rPr>
        <w:t>ital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Platforms,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Technolo</w:t>
      </w:r>
      <w:r>
        <w:rPr>
          <w:color w:val="0000FF"/>
        </w:rPr>
        <w:t>gy</w:t>
      </w:r>
      <w:r>
        <w:rPr>
          <w:color w:val="0000FF"/>
          <w:spacing w:val="39"/>
          <w:u w:val="single" w:color="000000"/>
        </w:rPr>
        <w:t> </w:t>
      </w:r>
      <w:r>
        <w:rPr>
          <w:color w:val="0000FF"/>
          <w:u w:val="single" w:color="000000"/>
        </w:rPr>
        <w:t>Transfer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and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FDI</w:t>
      </w:r>
      <w:r>
        <w:rPr>
          <w:color w:val="0000FF"/>
          <w:spacing w:val="-1"/>
          <w:u w:val="single" w:color="000000"/>
        </w:rPr>
        <w:t> </w:t>
      </w:r>
      <w:r>
        <w:rPr>
          <w:color w:val="0000FF"/>
          <w:u w:val="single" w:color="000000"/>
        </w:rPr>
        <w:t>Policies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in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Two-Sided</w:t>
      </w:r>
      <w:r>
        <w:rPr>
          <w:color w:val="0000FF"/>
          <w:spacing w:val="-2"/>
          <w:u w:val="single" w:color="000000"/>
        </w:rPr>
        <w:t> </w:t>
      </w:r>
      <w:r>
        <w:rPr>
          <w:color w:val="0000FF"/>
          <w:u w:val="single" w:color="000000"/>
        </w:rPr>
        <w:t>Markets</w:t>
      </w:r>
      <w:r>
        <w:rPr>
          <w:color w:val="0000FF"/>
        </w:rPr>
        <w:t>,</w:t>
      </w:r>
      <w:r>
        <w:rPr>
          <w:color w:val="0000FF"/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Jingwen</w:t>
      </w:r>
      <w:r>
        <w:rPr>
          <w:spacing w:val="-1"/>
        </w:rPr>
        <w:t> </w:t>
      </w:r>
      <w:r>
        <w:rPr>
          <w:spacing w:val="-4"/>
        </w:rPr>
        <w:t>Qu.)</w:t>
      </w:r>
    </w:p>
    <w:p>
      <w:pPr>
        <w:spacing w:before="86"/>
        <w:ind w:left="818" w:right="0" w:firstLine="0"/>
        <w:jc w:val="left"/>
        <w:rPr>
          <w:sz w:val="23"/>
        </w:rPr>
      </w:pPr>
      <w:r>
        <w:rPr>
          <w:i/>
          <w:sz w:val="23"/>
        </w:rPr>
        <w:t>Economic</w:t>
      </w:r>
      <w:r>
        <w:rPr>
          <w:i/>
          <w:spacing w:val="2"/>
          <w:sz w:val="23"/>
        </w:rPr>
        <w:t> </w:t>
      </w:r>
      <w:r>
        <w:rPr>
          <w:i/>
          <w:sz w:val="23"/>
        </w:rPr>
        <w:t>Inquiry</w:t>
      </w:r>
      <w:r>
        <w:rPr>
          <w:i/>
          <w:spacing w:val="3"/>
          <w:sz w:val="23"/>
        </w:rPr>
        <w:t> </w:t>
      </w:r>
      <w:r>
        <w:rPr>
          <w:sz w:val="23"/>
        </w:rPr>
        <w:t>61</w:t>
      </w:r>
      <w:r>
        <w:rPr>
          <w:spacing w:val="2"/>
          <w:sz w:val="23"/>
        </w:rPr>
        <w:t> </w:t>
      </w:r>
      <w:r>
        <w:rPr>
          <w:sz w:val="23"/>
        </w:rPr>
        <w:t>(July,</w:t>
      </w:r>
      <w:r>
        <w:rPr>
          <w:spacing w:val="3"/>
          <w:sz w:val="23"/>
        </w:rPr>
        <w:t> </w:t>
      </w:r>
      <w:r>
        <w:rPr>
          <w:sz w:val="23"/>
        </w:rPr>
        <w:t>2023):</w:t>
      </w:r>
      <w:r>
        <w:rPr>
          <w:spacing w:val="2"/>
          <w:sz w:val="23"/>
        </w:rPr>
        <w:t> </w:t>
      </w:r>
      <w:r>
        <w:rPr>
          <w:sz w:val="23"/>
        </w:rPr>
        <w:t>584-</w:t>
      </w:r>
      <w:r>
        <w:rPr>
          <w:spacing w:val="-4"/>
          <w:sz w:val="23"/>
        </w:rPr>
        <w:t>604.</w:t>
      </w:r>
    </w:p>
    <w:p>
      <w:pPr>
        <w:pStyle w:val="BodyText"/>
        <w:spacing w:before="203"/>
        <w:ind w:left="818"/>
      </w:pPr>
      <w:r>
        <w:rPr>
          <w:color w:val="0000FF"/>
          <w:u w:val="single" w:color="0000FF"/>
        </w:rPr>
        <w:t>Recurrent Trade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u w:val="single" w:color="0000FF"/>
        </w:rPr>
        <w:t>Agreements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u w:val="single" w:color="0000FF"/>
        </w:rPr>
        <w:t>and the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u w:val="single" w:color="0000FF"/>
        </w:rPr>
        <w:t>Value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u w:val="single" w:color="0000FF"/>
        </w:rPr>
        <w:t>of External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u w:val="single" w:color="0000FF"/>
        </w:rPr>
        <w:t>Enforcement,</w:t>
      </w:r>
      <w:r>
        <w:rPr>
          <w:color w:val="0000FF"/>
          <w:spacing w:val="1"/>
          <w:u w:val="single" w:color="0000FF"/>
        </w:rPr>
        <w:t> </w:t>
      </w:r>
      <w:r>
        <w:rPr/>
        <w:t>(with</w:t>
      </w:r>
      <w:r>
        <w:rPr>
          <w:spacing w:val="1"/>
        </w:rPr>
        <w:t> </w:t>
      </w:r>
      <w:r>
        <w:rPr/>
        <w:t>Joel Watson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Garey </w:t>
      </w:r>
      <w:r>
        <w:rPr>
          <w:spacing w:val="-2"/>
        </w:rPr>
        <w:t>Ramey.)</w:t>
      </w:r>
    </w:p>
    <w:p>
      <w:pPr>
        <w:spacing w:before="87"/>
        <w:ind w:left="818" w:right="0" w:firstLine="0"/>
        <w:jc w:val="left"/>
        <w:rPr>
          <w:sz w:val="23"/>
        </w:rPr>
      </w:pPr>
      <w:r>
        <w:rPr>
          <w:i/>
          <w:sz w:val="23"/>
        </w:rPr>
        <w:t>Journal</w:t>
      </w:r>
      <w:r>
        <w:rPr>
          <w:i/>
          <w:spacing w:val="5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5"/>
          <w:sz w:val="23"/>
        </w:rPr>
        <w:t> </w:t>
      </w:r>
      <w:r>
        <w:rPr>
          <w:i/>
          <w:sz w:val="23"/>
        </w:rPr>
        <w:t>International</w:t>
      </w:r>
      <w:r>
        <w:rPr>
          <w:i/>
          <w:spacing w:val="5"/>
          <w:sz w:val="23"/>
        </w:rPr>
        <w:t> </w:t>
      </w:r>
      <w:r>
        <w:rPr>
          <w:i/>
          <w:sz w:val="23"/>
        </w:rPr>
        <w:t>Economics</w:t>
      </w:r>
      <w:r>
        <w:rPr>
          <w:sz w:val="23"/>
        </w:rPr>
        <w:t>:</w:t>
      </w:r>
      <w:r>
        <w:rPr>
          <w:spacing w:val="5"/>
          <w:sz w:val="23"/>
        </w:rPr>
        <w:t> </w:t>
      </w:r>
      <w:r>
        <w:rPr>
          <w:sz w:val="23"/>
        </w:rPr>
        <w:t>475</w:t>
      </w:r>
      <w:r>
        <w:rPr>
          <w:spacing w:val="5"/>
          <w:sz w:val="23"/>
        </w:rPr>
        <w:t> </w:t>
      </w:r>
      <w:r>
        <w:rPr>
          <w:spacing w:val="-4"/>
          <w:sz w:val="23"/>
        </w:rPr>
        <w:t>499.</w:t>
      </w:r>
    </w:p>
    <w:p>
      <w:pPr>
        <w:spacing w:line="319" w:lineRule="auto" w:before="203"/>
        <w:ind w:left="818" w:right="294" w:firstLine="0"/>
        <w:jc w:val="left"/>
        <w:rPr>
          <w:i/>
          <w:sz w:val="23"/>
        </w:rPr>
      </w:pPr>
      <w:r>
        <w:rPr>
          <w:color w:val="0000FF"/>
          <w:sz w:val="23"/>
          <w:u w:val="single" w:color="000000"/>
        </w:rPr>
        <w:t>"Langua</w:t>
      </w:r>
      <w:r>
        <w:rPr>
          <w:color w:val="0000FF"/>
          <w:sz w:val="23"/>
        </w:rPr>
        <w:t>g</w:t>
      </w:r>
      <w:r>
        <w:rPr>
          <w:color w:val="0000FF"/>
          <w:sz w:val="23"/>
          <w:u w:val="single" w:color="000000"/>
        </w:rPr>
        <w:t>e, Internet and Platform Competition," </w:t>
      </w:r>
      <w:r>
        <w:rPr>
          <w:sz w:val="23"/>
        </w:rPr>
        <w:t>(With Doh-Shin Jeon and Bruno Jullien (University of Toulouse, France).) </w:t>
      </w:r>
      <w:r>
        <w:rPr>
          <w:i/>
          <w:sz w:val="23"/>
        </w:rPr>
        <w:t>Journal of International Economics </w:t>
      </w:r>
      <w:r>
        <w:rPr>
          <w:sz w:val="23"/>
        </w:rPr>
        <w:t>131 (July, 2021)</w:t>
      </w:r>
      <w:r>
        <w:rPr>
          <w:i/>
          <w:sz w:val="23"/>
        </w:rPr>
        <w:t>.</w:t>
      </w:r>
    </w:p>
    <w:p>
      <w:pPr>
        <w:pStyle w:val="BodyText"/>
        <w:spacing w:line="319" w:lineRule="auto" w:before="115"/>
        <w:ind w:left="818" w:right="294"/>
      </w:pPr>
      <w:r>
        <w:rPr>
          <w:color w:val="0000FF"/>
          <w:u w:val="single" w:color="000000"/>
        </w:rPr>
        <w:t>Duration and Term Structure of Trade Agreements, </w:t>
      </w:r>
      <w:r>
        <w:rPr/>
        <w:t>(with Sergei Guriev), </w:t>
      </w:r>
      <w:r>
        <w:rPr>
          <w:i/>
        </w:rPr>
        <w:t>The Economic Journal </w:t>
      </w:r>
      <w:r>
        <w:rPr/>
        <w:t>125 (2015): 1818 1849.</w:t>
      </w:r>
    </w:p>
    <w:p>
      <w:pPr>
        <w:spacing w:line="319" w:lineRule="auto" w:before="115"/>
        <w:ind w:left="818" w:right="294" w:firstLine="0"/>
        <w:jc w:val="left"/>
        <w:rPr>
          <w:sz w:val="23"/>
        </w:rPr>
      </w:pPr>
      <w:r>
        <w:rPr>
          <w:color w:val="0000FF"/>
          <w:sz w:val="23"/>
          <w:u w:val="single" w:color="000000"/>
        </w:rPr>
        <w:t>Strate</w:t>
      </w:r>
      <w:r>
        <w:rPr>
          <w:color w:val="0000FF"/>
          <w:sz w:val="23"/>
        </w:rPr>
        <w:t>g</w:t>
      </w:r>
      <w:r>
        <w:rPr>
          <w:color w:val="0000FF"/>
          <w:sz w:val="23"/>
          <w:u w:val="single" w:color="000000"/>
        </w:rPr>
        <w:t>ic Interoperability</w:t>
      </w:r>
      <w:r>
        <w:rPr>
          <w:color w:val="0000FF"/>
          <w:spacing w:val="40"/>
          <w:sz w:val="23"/>
          <w:u w:val="single" w:color="000000"/>
        </w:rPr>
        <w:t> </w:t>
      </w:r>
      <w:r>
        <w:rPr>
          <w:color w:val="0000FF"/>
          <w:sz w:val="23"/>
          <w:u w:val="single" w:color="000000"/>
        </w:rPr>
        <w:t>Standards and Trade Taxes, </w:t>
      </w:r>
      <w:r>
        <w:rPr>
          <w:i/>
          <w:sz w:val="23"/>
        </w:rPr>
        <w:t>International Review of Economics and Finance </w:t>
      </w:r>
      <w:r>
        <w:rPr>
          <w:sz w:val="23"/>
        </w:rPr>
        <w:t>18 (2009): 539-551.</w:t>
      </w:r>
    </w:p>
    <w:p>
      <w:pPr>
        <w:spacing w:line="319" w:lineRule="auto" w:before="116"/>
        <w:ind w:left="818" w:right="294" w:firstLine="0"/>
        <w:jc w:val="left"/>
        <w:rPr>
          <w:sz w:val="23"/>
        </w:rPr>
      </w:pPr>
      <w:r>
        <w:rPr>
          <w:color w:val="0000FF"/>
          <w:sz w:val="23"/>
          <w:u w:val="single" w:color="0000FF"/>
        </w:rPr>
        <w:t>Policies and International Trade Agreements on Technical Compatibility</w:t>
      </w:r>
      <w:r>
        <w:rPr>
          <w:color w:val="0000FF"/>
          <w:spacing w:val="40"/>
          <w:sz w:val="23"/>
          <w:u w:val="single" w:color="0000FF"/>
        </w:rPr>
        <w:t> </w:t>
      </w:r>
      <w:r>
        <w:rPr>
          <w:color w:val="0000FF"/>
          <w:sz w:val="23"/>
          <w:u w:val="single" w:color="0000FF"/>
        </w:rPr>
        <w:t>for Industries with Network</w:t>
      </w:r>
      <w:r>
        <w:rPr>
          <w:color w:val="0000FF"/>
          <w:sz w:val="23"/>
        </w:rPr>
        <w:t> </w:t>
      </w:r>
      <w:r>
        <w:rPr>
          <w:color w:val="0000FF"/>
          <w:sz w:val="23"/>
          <w:u w:val="single" w:color="0000FF"/>
        </w:rPr>
        <w:t>Externalities, </w:t>
      </w:r>
      <w:r>
        <w:rPr>
          <w:i/>
          <w:sz w:val="23"/>
        </w:rPr>
        <w:t>Journal of International Economics </w:t>
      </w:r>
      <w:r>
        <w:rPr>
          <w:sz w:val="23"/>
        </w:rPr>
        <w:t>77 (2009): 151 166.</w:t>
      </w:r>
    </w:p>
    <w:p>
      <w:pPr>
        <w:pStyle w:val="BodyText"/>
        <w:spacing w:before="115"/>
        <w:ind w:left="818"/>
      </w:pPr>
      <w:r>
        <w:rPr>
          <w:color w:val="0000FF"/>
          <w:u w:val="single" w:color="0000FF"/>
        </w:rPr>
        <w:t>Technical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Compatibility</w:t>
      </w:r>
      <w:r>
        <w:rPr>
          <w:color w:val="0000FF"/>
          <w:spacing w:val="39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Mode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Foreign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Entr</w:t>
      </w:r>
      <w:r>
        <w:rPr>
          <w:color w:val="0000FF"/>
        </w:rPr>
        <w:t>y</w:t>
      </w:r>
      <w:r>
        <w:rPr>
          <w:color w:val="0000FF"/>
          <w:spacing w:val="39"/>
          <w:u w:val="single" w:color="0000FF"/>
        </w:rPr>
        <w:t> </w:t>
      </w:r>
      <w:r>
        <w:rPr>
          <w:color w:val="0000FF"/>
          <w:u w:val="single" w:color="0000FF"/>
        </w:rPr>
        <w:t>with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Network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Externalities</w:t>
      </w:r>
      <w:r>
        <w:rPr/>
        <w:t>,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Kamal</w:t>
      </w:r>
      <w:r>
        <w:rPr>
          <w:spacing w:val="-2"/>
        </w:rPr>
        <w:t> Saggi),</w:t>
      </w:r>
    </w:p>
    <w:p>
      <w:pPr>
        <w:spacing w:before="86"/>
        <w:ind w:left="818" w:right="0" w:firstLine="0"/>
        <w:jc w:val="left"/>
        <w:rPr>
          <w:sz w:val="23"/>
        </w:rPr>
      </w:pPr>
      <w:r>
        <w:rPr>
          <w:i/>
          <w:sz w:val="23"/>
        </w:rPr>
        <w:t>Canadian</w:t>
      </w:r>
      <w:r>
        <w:rPr>
          <w:i/>
          <w:spacing w:val="7"/>
          <w:sz w:val="23"/>
        </w:rPr>
        <w:t> </w:t>
      </w:r>
      <w:r>
        <w:rPr>
          <w:i/>
          <w:sz w:val="23"/>
        </w:rPr>
        <w:t>Journal</w:t>
      </w:r>
      <w:r>
        <w:rPr>
          <w:i/>
          <w:spacing w:val="7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7"/>
          <w:sz w:val="23"/>
        </w:rPr>
        <w:t> </w:t>
      </w:r>
      <w:r>
        <w:rPr>
          <w:i/>
          <w:sz w:val="23"/>
        </w:rPr>
        <w:t>Economics</w:t>
      </w:r>
      <w:r>
        <w:rPr>
          <w:i/>
          <w:spacing w:val="7"/>
          <w:sz w:val="23"/>
        </w:rPr>
        <w:t> </w:t>
      </w:r>
      <w:r>
        <w:rPr>
          <w:sz w:val="23"/>
        </w:rPr>
        <w:t>40/1(2007):</w:t>
      </w:r>
      <w:r>
        <w:rPr>
          <w:spacing w:val="7"/>
          <w:sz w:val="23"/>
        </w:rPr>
        <w:t> </w:t>
      </w:r>
      <w:r>
        <w:rPr>
          <w:sz w:val="23"/>
        </w:rPr>
        <w:t>176-</w:t>
      </w:r>
      <w:r>
        <w:rPr>
          <w:spacing w:val="-4"/>
          <w:sz w:val="23"/>
        </w:rPr>
        <w:t>206.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420" w:bottom="280" w:left="360" w:right="360"/>
        </w:sectPr>
      </w:pPr>
    </w:p>
    <w:p>
      <w:pPr>
        <w:spacing w:line="319" w:lineRule="auto" w:before="74"/>
        <w:ind w:left="818" w:right="0" w:firstLine="0"/>
        <w:jc w:val="left"/>
        <w:rPr>
          <w:sz w:val="23"/>
        </w:rPr>
      </w:pPr>
      <w:r>
        <w:rPr>
          <w:color w:val="0000FF"/>
          <w:sz w:val="23"/>
          <w:u w:val="single" w:color="0000FF"/>
        </w:rPr>
        <w:t>The 'Thick Market' Effect and A</w:t>
      </w:r>
      <w:r>
        <w:rPr>
          <w:color w:val="0000FF"/>
          <w:sz w:val="23"/>
        </w:rPr>
        <w:t>gg</w:t>
      </w:r>
      <w:r>
        <w:rPr>
          <w:color w:val="0000FF"/>
          <w:sz w:val="23"/>
          <w:u w:val="single" w:color="0000FF"/>
        </w:rPr>
        <w:t>lomeration in High-Growth Industries,</w:t>
      </w:r>
      <w:r>
        <w:rPr>
          <w:color w:val="0000FF"/>
          <w:sz w:val="23"/>
        </w:rPr>
        <w:t> </w:t>
      </w:r>
      <w:r>
        <w:rPr>
          <w:i/>
          <w:sz w:val="23"/>
        </w:rPr>
        <w:t>Pacific Economic Review </w:t>
      </w:r>
      <w:r>
        <w:rPr>
          <w:sz w:val="23"/>
        </w:rPr>
        <w:t>10/2 (2005): 167 187.</w:t>
      </w:r>
    </w:p>
    <w:p>
      <w:pPr>
        <w:spacing w:line="319" w:lineRule="auto" w:before="115"/>
        <w:ind w:left="818" w:right="0" w:firstLine="0"/>
        <w:jc w:val="left"/>
        <w:rPr>
          <w:i/>
          <w:sz w:val="23"/>
        </w:rPr>
      </w:pPr>
      <w:r>
        <w:rPr>
          <w:color w:val="0000FF"/>
          <w:sz w:val="23"/>
          <w:u w:val="single" w:color="0000FF"/>
        </w:rPr>
        <w:t>Competition, Matchin</w:t>
      </w:r>
      <w:r>
        <w:rPr>
          <w:color w:val="0000FF"/>
          <w:sz w:val="23"/>
        </w:rPr>
        <w:t>g,</w:t>
      </w:r>
      <w:r>
        <w:rPr>
          <w:color w:val="0000FF"/>
          <w:sz w:val="23"/>
          <w:u w:val="single" w:color="0000FF"/>
        </w:rPr>
        <w:t> and Geographical Clustering</w:t>
      </w:r>
      <w:r>
        <w:rPr>
          <w:color w:val="0000FF"/>
          <w:spacing w:val="-4"/>
          <w:sz w:val="23"/>
          <w:u w:val="single" w:color="0000FF"/>
        </w:rPr>
        <w:t> </w:t>
      </w:r>
      <w:r>
        <w:rPr>
          <w:color w:val="0000FF"/>
          <w:sz w:val="23"/>
          <w:u w:val="single" w:color="0000FF"/>
        </w:rPr>
        <w:t>at Early</w:t>
      </w:r>
      <w:r>
        <w:rPr>
          <w:color w:val="0000FF"/>
          <w:spacing w:val="40"/>
          <w:sz w:val="23"/>
          <w:u w:val="single" w:color="0000FF"/>
        </w:rPr>
        <w:t> </w:t>
      </w:r>
      <w:r>
        <w:rPr>
          <w:color w:val="0000FF"/>
          <w:sz w:val="23"/>
          <w:u w:val="single" w:color="0000FF"/>
        </w:rPr>
        <w:t>Sta</w:t>
      </w:r>
      <w:r>
        <w:rPr>
          <w:color w:val="0000FF"/>
          <w:sz w:val="23"/>
        </w:rPr>
        <w:t>g</w:t>
      </w:r>
      <w:r>
        <w:rPr>
          <w:color w:val="0000FF"/>
          <w:sz w:val="23"/>
          <w:u w:val="single" w:color="0000FF"/>
        </w:rPr>
        <w:t>es of the Industr</w:t>
      </w:r>
      <w:r>
        <w:rPr>
          <w:color w:val="0000FF"/>
          <w:sz w:val="23"/>
        </w:rPr>
        <w:t>y</w:t>
      </w:r>
      <w:r>
        <w:rPr>
          <w:color w:val="0000FF"/>
          <w:spacing w:val="40"/>
          <w:sz w:val="23"/>
          <w:u w:val="single" w:color="0000FF"/>
        </w:rPr>
        <w:t> </w:t>
      </w:r>
      <w:r>
        <w:rPr>
          <w:color w:val="0000FF"/>
          <w:sz w:val="23"/>
          <w:u w:val="single" w:color="0000FF"/>
        </w:rPr>
        <w:t>Life Cycle, </w:t>
      </w:r>
      <w:r>
        <w:rPr>
          <w:i/>
          <w:sz w:val="23"/>
        </w:rPr>
        <w:t>Journal of Economics and Business, </w:t>
      </w:r>
      <w:r>
        <w:rPr>
          <w:sz w:val="23"/>
        </w:rPr>
        <w:t>56/3 (2004): 177 195</w:t>
      </w:r>
      <w:r>
        <w:rPr>
          <w:i/>
          <w:sz w:val="23"/>
        </w:rPr>
        <w:t>.</w:t>
      </w:r>
    </w:p>
    <w:p>
      <w:pPr>
        <w:pStyle w:val="BodyText"/>
        <w:spacing w:line="319" w:lineRule="auto" w:before="115"/>
        <w:ind w:left="818"/>
      </w:pPr>
      <w:r>
        <w:rPr>
          <w:color w:val="0000FF"/>
          <w:u w:val="single" w:color="0000FF"/>
        </w:rPr>
        <w:t>The New International Trade Re</w:t>
      </w:r>
      <w:r>
        <w:rPr>
          <w:color w:val="0000FF"/>
        </w:rPr>
        <w:t>g</w:t>
      </w:r>
      <w:r>
        <w:rPr>
          <w:color w:val="0000FF"/>
          <w:u w:val="single" w:color="0000FF"/>
        </w:rPr>
        <w:t>ime in Telecommunication Services and Network Modernization in Transition</w:t>
      </w:r>
      <w:r>
        <w:rPr>
          <w:color w:val="0000FF"/>
        </w:rPr>
        <w:t> </w:t>
      </w:r>
      <w:r>
        <w:rPr>
          <w:color w:val="0000FF"/>
          <w:u w:val="single" w:color="0000FF"/>
        </w:rPr>
        <w:t>Economies, </w:t>
      </w:r>
      <w:r>
        <w:rPr/>
        <w:t>(with Peter Cowhey), </w:t>
      </w:r>
      <w:r>
        <w:rPr>
          <w:i/>
        </w:rPr>
        <w:t>Emerging Markets Finance and Trade, </w:t>
      </w:r>
      <w:r>
        <w:rPr/>
        <w:t>40 (2004): 61 97.</w:t>
      </w:r>
    </w:p>
    <w:p>
      <w:pPr>
        <w:spacing w:line="319" w:lineRule="auto" w:before="115"/>
        <w:ind w:left="818" w:right="0" w:firstLine="0"/>
        <w:jc w:val="left"/>
        <w:rPr>
          <w:sz w:val="23"/>
        </w:rPr>
      </w:pPr>
      <w:r>
        <w:rPr>
          <w:color w:val="0000FF"/>
          <w:sz w:val="23"/>
          <w:u w:val="single" w:color="0000FF"/>
        </w:rPr>
        <w:t>Industrial Tar</w:t>
      </w:r>
      <w:r>
        <w:rPr>
          <w:color w:val="0000FF"/>
          <w:sz w:val="23"/>
        </w:rPr>
        <w:t>g</w:t>
      </w:r>
      <w:r>
        <w:rPr>
          <w:color w:val="0000FF"/>
          <w:sz w:val="23"/>
          <w:u w:val="single" w:color="0000FF"/>
        </w:rPr>
        <w:t>etin</w:t>
      </w:r>
      <w:r>
        <w:rPr>
          <w:color w:val="0000FF"/>
          <w:sz w:val="23"/>
        </w:rPr>
        <w:t>g,</w:t>
      </w:r>
      <w:r>
        <w:rPr>
          <w:color w:val="0000FF"/>
          <w:sz w:val="23"/>
          <w:u w:val="single" w:color="0000FF"/>
        </w:rPr>
        <w:t> Experimentation and Long-Run Specialization</w:t>
      </w:r>
      <w:r>
        <w:rPr>
          <w:sz w:val="23"/>
        </w:rPr>
        <w:t>, </w:t>
      </w:r>
      <w:r>
        <w:rPr>
          <w:i/>
          <w:sz w:val="23"/>
        </w:rPr>
        <w:t>Journal of Development Economics, </w:t>
      </w:r>
      <w:r>
        <w:rPr>
          <w:sz w:val="23"/>
        </w:rPr>
        <w:t>73/1 (2004): 75-105.</w:t>
      </w:r>
    </w:p>
    <w:p>
      <w:pPr>
        <w:pStyle w:val="BodyText"/>
        <w:spacing w:line="319" w:lineRule="auto" w:before="115"/>
        <w:ind w:left="818"/>
      </w:pPr>
      <w:r>
        <w:rPr>
          <w:color w:val="0000FF"/>
          <w:u w:val="single" w:color="0000FF"/>
        </w:rPr>
        <w:t>Trade Interdependence, the International Financial Institutions, and the Recent Evolution of Sovereign-Debt</w:t>
      </w:r>
      <w:r>
        <w:rPr>
          <w:color w:val="0000FF"/>
        </w:rPr>
        <w:t> </w:t>
      </w:r>
      <w:r>
        <w:rPr>
          <w:color w:val="0000FF"/>
          <w:u w:val="single" w:color="0000FF"/>
        </w:rPr>
        <w:t>Renegotiations, </w:t>
      </w:r>
      <w:r>
        <w:rPr>
          <w:i/>
        </w:rPr>
        <w:t>Journal of International Economics</w:t>
      </w:r>
      <w:r>
        <w:rPr/>
        <w:t>, 58 (2002): 177-209.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</w:pPr>
      <w:r>
        <w:rPr>
          <w:smallCaps/>
          <w:w w:val="90"/>
        </w:rPr>
        <w:t>Book</w:t>
      </w:r>
      <w:r>
        <w:rPr>
          <w:smallCaps/>
          <w:spacing w:val="13"/>
        </w:rPr>
        <w:t> </w:t>
      </w:r>
      <w:r>
        <w:rPr>
          <w:smallCaps/>
          <w:spacing w:val="-2"/>
        </w:rPr>
        <w:t>Chapters</w:t>
      </w:r>
    </w:p>
    <w:p>
      <w:pPr>
        <w:pStyle w:val="BodyText"/>
        <w:spacing w:line="319" w:lineRule="auto" w:before="211"/>
        <w:ind w:left="818" w:right="114"/>
        <w:jc w:val="both"/>
      </w:pPr>
      <w:r>
        <w:rPr>
          <w:color w:val="0000FF"/>
          <w:u w:val="single" w:color="0000FF"/>
        </w:rPr>
        <w:t>Implementing Telecommunications Liberalization in Developing Countries after the WTO Agreement on Basic</w:t>
      </w:r>
      <w:r>
        <w:rPr>
          <w:color w:val="0000FF"/>
        </w:rPr>
        <w:t> </w:t>
      </w:r>
      <w:r>
        <w:rPr>
          <w:color w:val="0000FF"/>
          <w:u w:val="single" w:color="0000FF"/>
        </w:rPr>
        <w:t>Telecommunications Services </w:t>
      </w:r>
      <w:r>
        <w:rPr/>
        <w:t>(with Peter Cowhey), in Robert M. Stern, ed., </w:t>
      </w:r>
      <w:r>
        <w:rPr>
          <w:i/>
        </w:rPr>
        <w:t>Services in the international</w:t>
      </w:r>
      <w:r>
        <w:rPr>
          <w:i/>
          <w:spacing w:val="40"/>
        </w:rPr>
        <w:t> </w:t>
      </w:r>
      <w:r>
        <w:rPr>
          <w:i/>
        </w:rPr>
        <w:t>economy. </w:t>
      </w:r>
      <w:r>
        <w:rPr/>
        <w:t>Ann Arbor: University of Michigan Press (2001): 349-369.</w:t>
      </w:r>
    </w:p>
    <w:p>
      <w:pPr>
        <w:spacing w:line="319" w:lineRule="auto" w:before="114"/>
        <w:ind w:left="818" w:right="114" w:firstLine="0"/>
        <w:jc w:val="both"/>
        <w:rPr>
          <w:sz w:val="23"/>
        </w:rPr>
      </w:pPr>
      <w:r>
        <w:rPr>
          <w:color w:val="0000FF"/>
          <w:sz w:val="23"/>
          <w:u w:val="single" w:color="000000"/>
        </w:rPr>
        <w:t>Telecommunications Liberalization in Developing Countries after the WTO Agreement on Basic Telecomms</w:t>
      </w:r>
      <w:r>
        <w:rPr>
          <w:color w:val="0000FF"/>
          <w:sz w:val="23"/>
        </w:rPr>
        <w:t>, </w:t>
      </w:r>
      <w:r>
        <w:rPr>
          <w:sz w:val="23"/>
        </w:rPr>
        <w:t>(with</w:t>
      </w:r>
      <w:r>
        <w:rPr>
          <w:spacing w:val="40"/>
          <w:sz w:val="23"/>
        </w:rPr>
        <w:t> </w:t>
      </w:r>
      <w:r>
        <w:rPr>
          <w:sz w:val="23"/>
        </w:rPr>
        <w:t>Peter</w:t>
      </w:r>
      <w:r>
        <w:rPr>
          <w:spacing w:val="40"/>
          <w:sz w:val="23"/>
        </w:rPr>
        <w:t> </w:t>
      </w:r>
      <w:r>
        <w:rPr>
          <w:sz w:val="23"/>
        </w:rPr>
        <w:t>Cowhey),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Rohan</w:t>
      </w:r>
      <w:r>
        <w:rPr>
          <w:spacing w:val="40"/>
          <w:sz w:val="23"/>
        </w:rPr>
        <w:t> </w:t>
      </w:r>
      <w:r>
        <w:rPr>
          <w:sz w:val="23"/>
        </w:rPr>
        <w:t>Kariyawasam,</w:t>
      </w:r>
      <w:r>
        <w:rPr>
          <w:spacing w:val="40"/>
          <w:sz w:val="23"/>
        </w:rPr>
        <w:t> </w:t>
      </w:r>
      <w:r>
        <w:rPr>
          <w:sz w:val="23"/>
        </w:rPr>
        <w:t>ed.,</w:t>
      </w:r>
      <w:r>
        <w:rPr>
          <w:spacing w:val="40"/>
          <w:sz w:val="23"/>
        </w:rPr>
        <w:t> </w:t>
      </w:r>
      <w:r>
        <w:rPr>
          <w:i/>
          <w:sz w:val="23"/>
        </w:rPr>
        <w:t>The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WTO,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Intellectual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property,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E-Commerce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the Internet </w:t>
      </w:r>
      <w:r>
        <w:rPr>
          <w:sz w:val="23"/>
        </w:rPr>
        <w:t>(Edward Elgar, 2009).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</w:pPr>
      <w:r>
        <w:rPr>
          <w:smallCaps/>
          <w:w w:val="90"/>
        </w:rPr>
        <w:t>Submitted</w:t>
      </w:r>
      <w:r>
        <w:rPr>
          <w:smallCaps/>
        </w:rPr>
        <w:t> </w:t>
      </w:r>
      <w:r>
        <w:rPr>
          <w:smallCaps/>
          <w:w w:val="90"/>
        </w:rPr>
        <w:t>Papers</w:t>
      </w:r>
      <w:r>
        <w:rPr>
          <w:smallCaps/>
          <w:spacing w:val="1"/>
        </w:rPr>
        <w:t> </w:t>
      </w:r>
      <w:r>
        <w:rPr>
          <w:smallCaps/>
          <w:w w:val="90"/>
        </w:rPr>
        <w:t>and</w:t>
      </w:r>
      <w:r>
        <w:rPr>
          <w:smallCaps/>
        </w:rPr>
        <w:t> </w:t>
      </w:r>
      <w:r>
        <w:rPr>
          <w:smallCaps/>
          <w:w w:val="90"/>
        </w:rPr>
        <w:t>Work-in-</w:t>
      </w:r>
      <w:r>
        <w:rPr>
          <w:smallCaps/>
          <w:spacing w:val="-2"/>
          <w:w w:val="90"/>
        </w:rPr>
        <w:t>Progress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4"/>
        <w:rPr>
          <w:rFonts w:ascii="Arial"/>
          <w:b/>
          <w:sz w:val="19"/>
        </w:rPr>
      </w:pPr>
    </w:p>
    <w:p>
      <w:pPr>
        <w:pStyle w:val="BodyText"/>
        <w:spacing w:line="211" w:lineRule="auto"/>
        <w:ind w:left="818"/>
      </w:pPr>
      <w:r>
        <w:rPr/>
        <w:t>Human capital accumulation and trade liberalization. 2025. Joint with Kirill Borisov (European University, St. Petersburg, Russia) and Maurizio Iacopetta (SKEMA, Nice, France). Under review.</w:t>
      </w:r>
    </w:p>
    <w:p>
      <w:pPr>
        <w:pStyle w:val="BodyText"/>
        <w:spacing w:line="319" w:lineRule="auto" w:before="93"/>
        <w:ind w:left="818" w:right="1467"/>
      </w:pPr>
      <w:r>
        <w:rPr/>
        <w:t>Vertical contracting in two sided markets. 2023. Joint with Constantine Dovrolis, Lian Zhu. "Foreign Direct Investment in E-commerce Platforms." 2020. Joint with Jingwen Qu.</w:t>
      </w:r>
    </w:p>
    <w:p>
      <w:pPr>
        <w:pStyle w:val="BodyText"/>
        <w:spacing w:line="211" w:lineRule="auto" w:before="24"/>
        <w:ind w:left="818" w:right="294"/>
      </w:pPr>
      <w:r>
        <w:rPr/>
        <w:t>Paid peering vs settlement free peering: a two-sided market model of ISP</w:t>
      </w:r>
      <w:r>
        <w:rPr>
          <w:spacing w:val="-1"/>
        </w:rPr>
        <w:t> </w:t>
      </w:r>
      <w:r>
        <w:rPr/>
        <w:t>competition. 2019. Joint with Constantine Dovrolis (College of Computing, Georgia Tech).</w:t>
      </w:r>
    </w:p>
    <w:p>
      <w:pPr>
        <w:pStyle w:val="BodyText"/>
        <w:spacing w:line="211" w:lineRule="auto" w:before="119"/>
        <w:ind w:left="818"/>
      </w:pPr>
      <w:r>
        <w:rPr/>
        <w:t>Evolution of the Internet ecosystem: Network Economics and Computational Perspectives. 2014. Joint with Constantine Dovrolis, (College of Computing, Georgia Tech).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748461</wp:posOffset>
                </wp:positionH>
                <wp:positionV relativeFrom="paragraph">
                  <wp:posOffset>242663</wp:posOffset>
                </wp:positionV>
                <wp:extent cx="3746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9525">
                              <a:moveTo>
                                <a:pt x="37132" y="0"/>
                              </a:move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37132" y="9283"/>
                              </a:lnTo>
                              <a:lnTo>
                                <a:pt x="37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93401pt;margin-top:19.107336pt;width:2.923858pt;height:.73096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smallCaps/>
          <w:w w:val="90"/>
        </w:rPr>
        <w:t>Selected</w:t>
      </w:r>
      <w:r>
        <w:rPr>
          <w:smallCaps/>
          <w:spacing w:val="-3"/>
        </w:rPr>
        <w:t> </w:t>
      </w:r>
      <w:r>
        <w:rPr>
          <w:smallCaps/>
          <w:w w:val="90"/>
        </w:rPr>
        <w:t>Grants</w:t>
      </w:r>
      <w:r>
        <w:rPr>
          <w:smallCaps/>
          <w:spacing w:val="-3"/>
        </w:rPr>
        <w:t> </w:t>
      </w:r>
      <w:r>
        <w:rPr>
          <w:smallCaps/>
          <w:w w:val="90"/>
        </w:rPr>
        <w:t>and</w:t>
      </w:r>
      <w:r>
        <w:rPr>
          <w:smallCaps/>
          <w:spacing w:val="-2"/>
        </w:rPr>
        <w:t> </w:t>
      </w:r>
      <w:r>
        <w:rPr>
          <w:smallCaps/>
          <w:spacing w:val="-2"/>
          <w:w w:val="90"/>
        </w:rPr>
        <w:t>Contracts</w:t>
      </w:r>
    </w:p>
    <w:p>
      <w:pPr>
        <w:pStyle w:val="BodyText"/>
        <w:spacing w:before="167"/>
        <w:ind w:left="818" w:right="73"/>
        <w:jc w:val="both"/>
      </w:pPr>
      <w:r>
        <w:rPr/>
        <w:t>National Science Foundation interdisciplinary research grant, Economics of contractual arrangements for Internet interconnections. Co PI with Constatine Dovrolis (College of Computing, Georgia Tech), $1,200,000 total. 2015- </w:t>
      </w:r>
      <w:r>
        <w:rPr>
          <w:spacing w:val="-2"/>
        </w:rPr>
        <w:t>2020.</w:t>
      </w:r>
    </w:p>
    <w:p>
      <w:pPr>
        <w:pStyle w:val="BodyText"/>
        <w:spacing w:before="259"/>
        <w:ind w:left="818"/>
      </w:pPr>
      <w:r>
        <w:rPr/>
        <w:t>Comcast Corporation, Measuring the effect of contractual agreements on internet interconnections. Co PI with Constatine Dovrolis (College of Computing, Georgia Tech), $130,000, 2017.</w:t>
      </w:r>
    </w:p>
    <w:p>
      <w:pPr>
        <w:spacing w:before="261"/>
        <w:ind w:left="818" w:right="0" w:firstLine="0"/>
        <w:jc w:val="left"/>
        <w:rPr>
          <w:sz w:val="23"/>
        </w:rPr>
      </w:pPr>
      <w:r>
        <w:rPr>
          <w:sz w:val="23"/>
        </w:rPr>
        <w:t>SKEMA</w:t>
      </w:r>
      <w:r>
        <w:rPr>
          <w:spacing w:val="-4"/>
          <w:sz w:val="23"/>
        </w:rPr>
        <w:t> </w:t>
      </w:r>
      <w:r>
        <w:rPr>
          <w:sz w:val="23"/>
        </w:rPr>
        <w:t>and OFCE (Sciences-Po s Research Center in Economics) research grant, </w:t>
      </w:r>
      <w:r>
        <w:rPr>
          <w:sz w:val="22"/>
        </w:rPr>
        <w:t>Economic growth and human capital formation in developing and </w:t>
      </w:r>
      <w:r>
        <w:rPr>
          <w:sz w:val="23"/>
        </w:rPr>
        <w:t>transition economies, 5,000, 2012</w:t>
      </w:r>
    </w:p>
    <w:p>
      <w:pPr>
        <w:spacing w:after="0"/>
        <w:jc w:val="left"/>
        <w:rPr>
          <w:sz w:val="23"/>
        </w:rPr>
        <w:sectPr>
          <w:pgSz w:w="12240" w:h="15840"/>
          <w:pgMar w:top="340" w:bottom="280" w:left="360" w:right="360"/>
        </w:sectPr>
      </w:pPr>
    </w:p>
    <w:p>
      <w:pPr>
        <w:pStyle w:val="BodyText"/>
        <w:spacing w:before="73"/>
        <w:ind w:left="818" w:right="294"/>
      </w:pPr>
      <w:r>
        <w:rPr/>
        <w:t>The Net Institute, Technical Compatibility, the Mode of Foreign Entry and FDI policy under Network Externalities, $12,000, 2004/05. (With Kamal Saggi.)</w:t>
      </w:r>
    </w:p>
    <w:p>
      <w:pPr>
        <w:pStyle w:val="BodyText"/>
        <w:spacing w:before="260"/>
        <w:ind w:left="818"/>
      </w:pPr>
      <w:r>
        <w:rPr/>
        <w:t>POSCO</w:t>
      </w:r>
      <w:r>
        <w:rPr>
          <w:spacing w:val="5"/>
        </w:rPr>
        <w:t> </w:t>
      </w:r>
      <w:r>
        <w:rPr/>
        <w:t>Foundation</w:t>
      </w:r>
      <w:r>
        <w:rPr>
          <w:spacing w:val="5"/>
        </w:rPr>
        <w:t> </w:t>
      </w:r>
      <w:r>
        <w:rPr/>
        <w:t>Fellowship,</w:t>
      </w:r>
      <w:r>
        <w:rPr>
          <w:spacing w:val="6"/>
        </w:rPr>
        <w:t> </w:t>
      </w:r>
      <w:r>
        <w:rPr/>
        <w:t>Telecommunications</w:t>
      </w:r>
      <w:r>
        <w:rPr>
          <w:spacing w:val="5"/>
        </w:rPr>
        <w:t> </w:t>
      </w:r>
      <w:r>
        <w:rPr/>
        <w:t>Policy</w:t>
      </w:r>
      <w:r>
        <w:rPr>
          <w:spacing w:val="6"/>
        </w:rPr>
        <w:t> </w:t>
      </w:r>
      <w:r>
        <w:rPr/>
        <w:t>Reforms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North-East</w:t>
      </w:r>
      <w:r>
        <w:rPr>
          <w:spacing w:val="5"/>
        </w:rPr>
        <w:t> </w:t>
      </w:r>
      <w:r>
        <w:rPr/>
        <w:t>Asia,</w:t>
      </w:r>
      <w:r>
        <w:rPr>
          <w:spacing w:val="6"/>
        </w:rPr>
        <w:t> </w:t>
      </w:r>
      <w:r>
        <w:rPr/>
        <w:t>$10,000,</w:t>
      </w:r>
      <w:r>
        <w:rPr>
          <w:spacing w:val="5"/>
        </w:rPr>
        <w:t> </w:t>
      </w:r>
      <w:r>
        <w:rPr>
          <w:spacing w:val="-2"/>
        </w:rPr>
        <w:t>2002.</w:t>
      </w:r>
    </w:p>
    <w:p>
      <w:pPr>
        <w:pStyle w:val="BodyText"/>
        <w:spacing w:before="262"/>
        <w:ind w:left="818"/>
      </w:pPr>
      <w:r>
        <w:rPr/>
        <w:t>The World Bank, The WTO Agreement on and Telecommunications Policy Reform in Developing and Transition Economies, $10,000. 1998-1999. (With Peter Cowhey).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748461</wp:posOffset>
                </wp:positionH>
                <wp:positionV relativeFrom="paragraph">
                  <wp:posOffset>193106</wp:posOffset>
                </wp:positionV>
                <wp:extent cx="374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9525">
                              <a:moveTo>
                                <a:pt x="37132" y="0"/>
                              </a:move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37132" y="9283"/>
                              </a:lnTo>
                              <a:lnTo>
                                <a:pt x="37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93401pt;margin-top:15.205227pt;width:2.923858pt;height:.73096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302856</wp:posOffset>
                </wp:positionH>
                <wp:positionV relativeFrom="paragraph">
                  <wp:posOffset>255608</wp:posOffset>
                </wp:positionV>
                <wp:extent cx="742950" cy="260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42950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260350">
                              <a:moveTo>
                                <a:pt x="742657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25730"/>
                              </a:lnTo>
                              <a:lnTo>
                                <a:pt x="0" y="130810"/>
                              </a:lnTo>
                              <a:lnTo>
                                <a:pt x="0" y="134620"/>
                              </a:lnTo>
                              <a:lnTo>
                                <a:pt x="0" y="255270"/>
                              </a:lnTo>
                              <a:lnTo>
                                <a:pt x="0" y="260350"/>
                              </a:lnTo>
                              <a:lnTo>
                                <a:pt x="742657" y="260350"/>
                              </a:lnTo>
                              <a:lnTo>
                                <a:pt x="742657" y="255892"/>
                              </a:lnTo>
                              <a:lnTo>
                                <a:pt x="742657" y="255270"/>
                              </a:lnTo>
                              <a:lnTo>
                                <a:pt x="742657" y="135204"/>
                              </a:lnTo>
                              <a:lnTo>
                                <a:pt x="738022" y="135204"/>
                              </a:lnTo>
                              <a:lnTo>
                                <a:pt x="738022" y="255270"/>
                              </a:lnTo>
                              <a:lnTo>
                                <a:pt x="4648" y="255270"/>
                              </a:lnTo>
                              <a:lnTo>
                                <a:pt x="4648" y="134620"/>
                              </a:lnTo>
                              <a:lnTo>
                                <a:pt x="742657" y="134620"/>
                              </a:lnTo>
                              <a:lnTo>
                                <a:pt x="742657" y="130810"/>
                              </a:lnTo>
                              <a:lnTo>
                                <a:pt x="742657" y="125920"/>
                              </a:lnTo>
                              <a:lnTo>
                                <a:pt x="742657" y="125730"/>
                              </a:lnTo>
                              <a:lnTo>
                                <a:pt x="742657" y="5245"/>
                              </a:lnTo>
                              <a:lnTo>
                                <a:pt x="738022" y="5245"/>
                              </a:lnTo>
                              <a:lnTo>
                                <a:pt x="738022" y="125730"/>
                              </a:lnTo>
                              <a:lnTo>
                                <a:pt x="4648" y="125730"/>
                              </a:lnTo>
                              <a:lnTo>
                                <a:pt x="4648" y="5080"/>
                              </a:lnTo>
                              <a:lnTo>
                                <a:pt x="742657" y="5080"/>
                              </a:lnTo>
                              <a:lnTo>
                                <a:pt x="742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847002pt;margin-top:20.126638pt;width:58.5pt;height:20.5pt;mso-position-horizontal-relative:page;mso-position-vertical-relative:paragraph;z-index:-15727616;mso-wrap-distance-left:0;mso-wrap-distance-right:0" id="docshape3" coordorigin="477,403" coordsize="1170,410" path="m1646,403l477,403,477,411,477,601,477,609,477,615,477,805,477,813,1646,813,1646,806,1646,805,1646,615,1639,615,1639,805,484,805,484,615,1646,615,1646,609,1646,601,1646,601,1646,411,1639,411,1639,601,484,601,484,411,1646,411,1646,403xe" filled="true" fillcolor="#c0c0c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302866</wp:posOffset>
            </wp:positionH>
            <wp:positionV relativeFrom="paragraph">
              <wp:posOffset>664537</wp:posOffset>
            </wp:positionV>
            <wp:extent cx="739139" cy="1385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13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8"/>
        </w:rPr>
      </w:pPr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6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116"/>
    </w:pPr>
    <w:rPr>
      <w:rFonts w:ascii="Times New Roman" w:hAnsi="Times New Roman" w:eastAsia="Times New Roman" w:cs="Times New Roman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Klimenko: Homepage</dc:title>
  <dcterms:created xsi:type="dcterms:W3CDTF">2025-12-06T06:10:27Z</dcterms:created>
  <dcterms:modified xsi:type="dcterms:W3CDTF">2025-12-06T06:10:27Z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版本26.1（版号25B78） Quartz PDFContext</vt:lpwstr>
  </property>
</Properties>
</file>