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80" w:bottom="460" w:left="708" w:right="708"/>
          <w:pgNumType w:start="2"/>
        </w:sectPr>
      </w:pPr>
    </w:p>
    <w:p>
      <w:pPr>
        <w:tabs>
          <w:tab w:pos="3832" w:val="left" w:leader="none"/>
          <w:tab w:pos="4817" w:val="left" w:leader="none"/>
          <w:tab w:pos="6939" w:val="left" w:leader="none"/>
        </w:tabs>
        <w:spacing w:line="347" w:lineRule="exact" w:before="101"/>
        <w:ind w:left="560" w:right="0" w:firstLine="0"/>
        <w:jc w:val="left"/>
        <w:rPr>
          <w:position w:val="17"/>
          <w:sz w:val="19"/>
        </w:rPr>
      </w:pPr>
      <w:hyperlink r:id="rId7">
        <w:r>
          <w:rPr>
            <w:rFonts w:ascii="Tahoma"/>
            <w:color w:val="ABABAB"/>
            <w:sz w:val="29"/>
          </w:rPr>
          <w:t>Mike</w:t>
        </w:r>
        <w:r>
          <w:rPr>
            <w:rFonts w:ascii="Tahoma"/>
            <w:color w:val="ABABAB"/>
            <w:spacing w:val="-9"/>
            <w:sz w:val="29"/>
          </w:rPr>
          <w:t> </w:t>
        </w:r>
        <w:r>
          <w:rPr>
            <w:rFonts w:ascii="Tahoma"/>
            <w:color w:val="ABABAB"/>
            <w:spacing w:val="-2"/>
            <w:sz w:val="29"/>
          </w:rPr>
          <w:t>Conlin</w:t>
        </w:r>
      </w:hyperlink>
      <w:r>
        <w:rPr>
          <w:rFonts w:ascii="Tahoma"/>
          <w:color w:val="ABABAB"/>
          <w:sz w:val="29"/>
        </w:rPr>
        <w:tab/>
      </w:r>
      <w:hyperlink r:id="rId7">
        <w:r>
          <w:rPr>
            <w:rFonts w:ascii="Tahoma"/>
            <w:color w:val="ABABAB"/>
            <w:spacing w:val="-4"/>
            <w:position w:val="1"/>
            <w:sz w:val="23"/>
          </w:rPr>
          <w:t>Home</w:t>
        </w:r>
      </w:hyperlink>
      <w:r>
        <w:rPr>
          <w:rFonts w:ascii="Tahoma"/>
          <w:color w:val="ABABAB"/>
          <w:position w:val="1"/>
          <w:sz w:val="23"/>
        </w:rPr>
        <w:tab/>
      </w:r>
      <w:hyperlink r:id="rId8">
        <w:r>
          <w:rPr>
            <w:rFonts w:ascii="Tahoma"/>
            <w:color w:val="ABABAB"/>
            <w:spacing w:val="2"/>
            <w:position w:val="1"/>
            <w:sz w:val="23"/>
          </w:rPr>
          <w:t>Curriculum</w:t>
        </w:r>
        <w:r>
          <w:rPr>
            <w:rFonts w:ascii="Tahoma"/>
            <w:color w:val="ABABAB"/>
            <w:spacing w:val="7"/>
            <w:position w:val="1"/>
            <w:sz w:val="23"/>
          </w:rPr>
          <w:t> </w:t>
        </w:r>
        <w:r>
          <w:rPr>
            <w:rFonts w:ascii="Tahoma"/>
            <w:color w:val="ABABAB"/>
            <w:spacing w:val="-2"/>
            <w:position w:val="1"/>
            <w:sz w:val="23"/>
          </w:rPr>
          <w:t>Vitae</w:t>
        </w:r>
      </w:hyperlink>
      <w:r>
        <w:rPr>
          <w:rFonts w:ascii="Tahoma"/>
          <w:color w:val="ABABAB"/>
          <w:position w:val="1"/>
          <w:sz w:val="23"/>
        </w:rPr>
        <w:tab/>
      </w:r>
      <w:hyperlink r:id="rId9">
        <w:r>
          <w:rPr>
            <w:rFonts w:ascii="Tahoma"/>
            <w:color w:val="ABABAB"/>
            <w:spacing w:val="-107"/>
            <w:w w:val="116"/>
            <w:position w:val="1"/>
            <w:sz w:val="23"/>
          </w:rPr>
          <w:t>C</w:t>
        </w:r>
      </w:hyperlink>
      <w:r>
        <w:rPr>
          <w:position w:val="17"/>
          <w:sz w:val="19"/>
        </w:rPr>
        <w:t>J</w:t>
      </w:r>
      <w:r>
        <w:rPr>
          <w:spacing w:val="-67"/>
          <w:position w:val="17"/>
          <w:sz w:val="19"/>
        </w:rPr>
        <w:t>u</w:t>
      </w:r>
      <w:hyperlink r:id="rId9">
        <w:r>
          <w:rPr>
            <w:rFonts w:ascii="Tahoma"/>
            <w:color w:val="ABABAB"/>
            <w:w w:val="103"/>
            <w:position w:val="1"/>
            <w:sz w:val="23"/>
          </w:rPr>
          <w:t>l</w:t>
        </w:r>
        <w:r>
          <w:rPr>
            <w:rFonts w:ascii="Tahoma"/>
            <w:color w:val="ABABAB"/>
            <w:spacing w:val="-103"/>
            <w:w w:val="91"/>
            <w:position w:val="1"/>
            <w:sz w:val="23"/>
          </w:rPr>
          <w:t>a</w:t>
        </w:r>
      </w:hyperlink>
      <w:r>
        <w:rPr>
          <w:position w:val="17"/>
          <w:sz w:val="19"/>
        </w:rPr>
        <w:t>n</w:t>
      </w:r>
      <w:r>
        <w:rPr>
          <w:spacing w:val="-81"/>
          <w:position w:val="17"/>
          <w:sz w:val="19"/>
        </w:rPr>
        <w:t>e</w:t>
      </w:r>
      <w:hyperlink r:id="rId9">
        <w:r>
          <w:rPr>
            <w:rFonts w:ascii="Tahoma"/>
            <w:color w:val="ABABAB"/>
            <w:w w:val="95"/>
            <w:position w:val="1"/>
            <w:sz w:val="23"/>
          </w:rPr>
          <w:t>s</w:t>
        </w:r>
        <w:r>
          <w:rPr>
            <w:rFonts w:ascii="Tahoma"/>
            <w:color w:val="ABABAB"/>
            <w:spacing w:val="-71"/>
            <w:w w:val="95"/>
            <w:position w:val="1"/>
            <w:sz w:val="23"/>
          </w:rPr>
          <w:t>s</w:t>
        </w:r>
      </w:hyperlink>
      <w:r>
        <w:rPr>
          <w:spacing w:val="-26"/>
          <w:position w:val="17"/>
          <w:sz w:val="19"/>
        </w:rPr>
        <w:t>2</w:t>
      </w:r>
      <w:hyperlink r:id="rId9">
        <w:r>
          <w:rPr>
            <w:rFonts w:ascii="Tahoma"/>
            <w:color w:val="ABABAB"/>
            <w:spacing w:val="-93"/>
            <w:w w:val="96"/>
            <w:position w:val="1"/>
            <w:sz w:val="23"/>
          </w:rPr>
          <w:t>e</w:t>
        </w:r>
      </w:hyperlink>
      <w:r>
        <w:rPr>
          <w:spacing w:val="-4"/>
          <w:position w:val="17"/>
          <w:sz w:val="19"/>
        </w:rPr>
        <w:t>0</w:t>
      </w:r>
      <w:hyperlink r:id="rId9">
        <w:r>
          <w:rPr>
            <w:rFonts w:ascii="Tahoma"/>
            <w:color w:val="ABABAB"/>
            <w:spacing w:val="-97"/>
            <w:w w:val="95"/>
            <w:position w:val="1"/>
            <w:sz w:val="23"/>
          </w:rPr>
          <w:t>s</w:t>
        </w:r>
      </w:hyperlink>
      <w:r>
        <w:rPr>
          <w:position w:val="17"/>
          <w:sz w:val="19"/>
        </w:rPr>
        <w:t>24</w:t>
      </w:r>
    </w:p>
    <w:p>
      <w:pPr>
        <w:pStyle w:val="Heading2"/>
        <w:spacing w:line="193" w:lineRule="exact"/>
        <w:ind w:left="3476"/>
      </w:pPr>
      <w:r>
        <w:rPr/>
        <w:t>Curriculum Vitae</w:t>
      </w:r>
      <w:r>
        <w:rPr>
          <w:spacing w:val="4"/>
        </w:rPr>
        <w:t> </w:t>
      </w:r>
      <w:r>
        <w:rPr/>
        <w:t>for</w:t>
      </w:r>
      <w:r>
        <w:rPr>
          <w:spacing w:val="1"/>
        </w:rPr>
        <w:t> </w:t>
      </w:r>
      <w:r>
        <w:rPr/>
        <w:t>Michael</w:t>
      </w:r>
      <w:r>
        <w:rPr>
          <w:spacing w:val="4"/>
        </w:rPr>
        <w:t> </w:t>
      </w:r>
      <w:r>
        <w:rPr>
          <w:spacing w:val="-2"/>
        </w:rPr>
        <w:t>Conlin</w:t>
      </w:r>
    </w:p>
    <w:p>
      <w:pPr>
        <w:pStyle w:val="BodyText"/>
        <w:spacing w:before="163"/>
        <w:rPr>
          <w:b/>
        </w:rPr>
      </w:pPr>
    </w:p>
    <w:p>
      <w:pPr>
        <w:tabs>
          <w:tab w:pos="2746" w:val="left" w:leader="none"/>
        </w:tabs>
        <w:spacing w:line="304" w:lineRule="auto" w:before="0"/>
        <w:ind w:left="2670" w:right="2699" w:hanging="2619"/>
        <w:jc w:val="left"/>
        <w:rPr>
          <w:sz w:val="22"/>
        </w:rPr>
      </w:pPr>
      <w:r>
        <w:rPr>
          <w:b/>
          <w:sz w:val="22"/>
        </w:rPr>
        <w:t>Business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Address</w:t>
        <w:tab/>
        <w:tab/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Economics Michigan State University 101 Old Botany Hall</w:t>
      </w:r>
    </w:p>
    <w:p>
      <w:pPr>
        <w:pStyle w:val="BodyText"/>
        <w:spacing w:line="249" w:lineRule="exact"/>
        <w:ind w:left="2670"/>
      </w:pPr>
      <w:r>
        <w:rPr/>
        <w:t>East</w:t>
      </w:r>
      <w:r>
        <w:rPr>
          <w:spacing w:val="5"/>
        </w:rPr>
        <w:t> </w:t>
      </w:r>
      <w:r>
        <w:rPr/>
        <w:t>Lansing,</w:t>
      </w:r>
      <w:r>
        <w:rPr>
          <w:spacing w:val="6"/>
        </w:rPr>
        <w:t> </w:t>
      </w:r>
      <w:r>
        <w:rPr>
          <w:spacing w:val="-5"/>
        </w:rPr>
        <w:t>MI</w:t>
      </w:r>
    </w:p>
    <w:p>
      <w:pPr>
        <w:pStyle w:val="BodyText"/>
        <w:spacing w:before="67"/>
        <w:ind w:left="2670"/>
      </w:pPr>
      <w:r>
        <w:rPr/>
        <w:t>(517)</w:t>
      </w:r>
      <w:r>
        <w:rPr>
          <w:spacing w:val="8"/>
        </w:rPr>
        <w:t> </w:t>
      </w:r>
      <w:r>
        <w:rPr/>
        <w:t>355-</w:t>
      </w:r>
      <w:r>
        <w:rPr>
          <w:spacing w:val="-4"/>
        </w:rPr>
        <w:t>0285</w:t>
      </w:r>
    </w:p>
    <w:p>
      <w:pPr>
        <w:pStyle w:val="BodyText"/>
        <w:spacing w:before="67"/>
        <w:ind w:left="2670"/>
      </w:pPr>
      <w:hyperlink r:id="rId10">
        <w:r>
          <w:rPr>
            <w:spacing w:val="-2"/>
          </w:rPr>
          <w:t>conlinmi@msu.edu</w:t>
        </w:r>
      </w:hyperlink>
    </w:p>
    <w:p>
      <w:pPr>
        <w:pStyle w:val="BodyText"/>
        <w:spacing w:before="178"/>
      </w:pPr>
    </w:p>
    <w:p>
      <w:pPr>
        <w:tabs>
          <w:tab w:pos="2685" w:val="left" w:leader="none"/>
        </w:tabs>
        <w:spacing w:before="0"/>
        <w:ind w:left="51" w:right="0" w:firstLine="0"/>
        <w:jc w:val="left"/>
        <w:rPr>
          <w:sz w:val="22"/>
        </w:rPr>
      </w:pPr>
      <w:r>
        <w:rPr>
          <w:b/>
          <w:spacing w:val="-2"/>
          <w:sz w:val="22"/>
        </w:rPr>
        <w:t>Title</w:t>
      </w:r>
      <w:r>
        <w:rPr>
          <w:b/>
          <w:sz w:val="22"/>
        </w:rPr>
        <w:tab/>
      </w:r>
      <w:r>
        <w:rPr>
          <w:spacing w:val="-2"/>
          <w:sz w:val="22"/>
        </w:rPr>
        <w:t>Professor</w:t>
      </w:r>
    </w:p>
    <w:p>
      <w:pPr>
        <w:pStyle w:val="BodyText"/>
        <w:spacing w:before="163"/>
      </w:pPr>
    </w:p>
    <w:p>
      <w:pPr>
        <w:pStyle w:val="Heading2"/>
      </w:pPr>
      <w:r>
        <w:rPr/>
        <w:t>Academic</w:t>
      </w:r>
      <w:r>
        <w:rPr>
          <w:spacing w:val="9"/>
        </w:rPr>
        <w:t> </w:t>
      </w:r>
      <w:r>
        <w:rPr>
          <w:spacing w:val="-2"/>
        </w:rPr>
        <w:t>Background</w:t>
      </w:r>
    </w:p>
    <w:p>
      <w:pPr>
        <w:pStyle w:val="BodyText"/>
        <w:spacing w:before="135"/>
        <w:rPr>
          <w:b/>
        </w:rPr>
      </w:pPr>
    </w:p>
    <w:p>
      <w:pPr>
        <w:pStyle w:val="BodyText"/>
        <w:spacing w:line="304" w:lineRule="auto"/>
        <w:ind w:left="709" w:right="1085" w:hanging="330"/>
      </w:pPr>
      <w:r>
        <w:rPr/>
        <w:t>Ph.D., Economics, University of Wisconsin-Madison, December, </w:t>
      </w:r>
      <w:r>
        <w:rPr/>
        <w:t>1995 Dissertation:</w:t>
      </w:r>
      <w:r>
        <w:rPr>
          <w:spacing w:val="40"/>
        </w:rPr>
        <w:t> </w:t>
      </w:r>
      <w:r>
        <w:rPr/>
        <w:t>Three Essays in Applied Game Theory</w:t>
      </w:r>
    </w:p>
    <w:p>
      <w:pPr>
        <w:pStyle w:val="BodyText"/>
        <w:spacing w:line="304" w:lineRule="auto"/>
        <w:ind w:left="380" w:right="1539"/>
      </w:pPr>
      <w:r>
        <w:rPr/>
        <w:t>M.S., Economics, University of Wisconsin-Madison, 1992 M.B.A., Finance, University of Illinois-Champaign/Urbana, </w:t>
      </w:r>
      <w:r>
        <w:rPr/>
        <w:t>1988</w:t>
      </w:r>
      <w:r>
        <w:rPr/>
        <w:t> B.S., Mechanical Engineering, University of Notre Dame, 1985</w:t>
      </w:r>
    </w:p>
    <w:p>
      <w:pPr>
        <w:pStyle w:val="BodyText"/>
        <w:spacing w:before="90"/>
      </w:pPr>
    </w:p>
    <w:p>
      <w:pPr>
        <w:pStyle w:val="Heading2"/>
      </w:pPr>
      <w:r>
        <w:rPr/>
        <w:t>Work</w:t>
      </w:r>
      <w:r>
        <w:rPr>
          <w:spacing w:val="-8"/>
        </w:rPr>
        <w:t> </w:t>
      </w:r>
      <w:r>
        <w:rPr>
          <w:spacing w:val="-2"/>
        </w:rPr>
        <w:t>Experience</w:t>
      </w:r>
    </w:p>
    <w:p>
      <w:pPr>
        <w:pStyle w:val="BodyText"/>
        <w:spacing w:before="67"/>
        <w:ind w:left="380"/>
      </w:pPr>
      <w:r>
        <w:rPr/>
        <w:t>Professor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Economics,</w:t>
      </w:r>
      <w:r>
        <w:rPr>
          <w:spacing w:val="5"/>
        </w:rPr>
        <w:t> </w:t>
      </w:r>
      <w:r>
        <w:rPr/>
        <w:t>Michigan</w:t>
      </w:r>
      <w:r>
        <w:rPr>
          <w:spacing w:val="4"/>
        </w:rPr>
        <w:t> </w:t>
      </w:r>
      <w:r>
        <w:rPr/>
        <w:t>State</w:t>
      </w:r>
      <w:r>
        <w:rPr>
          <w:spacing w:val="5"/>
        </w:rPr>
        <w:t> </w:t>
      </w:r>
      <w:r>
        <w:rPr/>
        <w:t>University,</w:t>
      </w:r>
      <w:r>
        <w:rPr>
          <w:spacing w:val="5"/>
        </w:rPr>
        <w:t> </w:t>
      </w:r>
      <w:r>
        <w:rPr>
          <w:spacing w:val="-2"/>
        </w:rPr>
        <w:t>2009-</w:t>
      </w:r>
    </w:p>
    <w:p>
      <w:pPr>
        <w:pStyle w:val="BodyText"/>
        <w:spacing w:line="304" w:lineRule="auto" w:before="67"/>
        <w:ind w:left="380" w:right="67"/>
      </w:pPr>
      <w:r>
        <w:rPr/>
        <w:t>Associate Professor of Economics, Michigan State University, 2005-2009 Associate Professor of Economics (with tenure), Syracuse University, 2004-</w:t>
      </w:r>
      <w:r>
        <w:rPr/>
        <w:t>2005 Assistant Professor of Economics, Syracuse University, 2000-2004</w:t>
      </w:r>
    </w:p>
    <w:p>
      <w:pPr>
        <w:pStyle w:val="BodyText"/>
        <w:spacing w:line="304" w:lineRule="auto"/>
        <w:ind w:left="380" w:right="831"/>
      </w:pPr>
      <w:r>
        <w:rPr/>
        <w:t>Assistant Professor of Economics, Cornell University, 1995-2000 Teaching &amp; Research</w:t>
      </w:r>
      <w:r>
        <w:rPr>
          <w:spacing w:val="-10"/>
        </w:rPr>
        <w:t> </w:t>
      </w:r>
      <w:r>
        <w:rPr/>
        <w:t>Assistant, University of</w:t>
      </w:r>
      <w:r>
        <w:rPr>
          <w:spacing w:val="-1"/>
        </w:rPr>
        <w:t> </w:t>
      </w:r>
      <w:r>
        <w:rPr/>
        <w:t>Wisconsin, 1991-</w:t>
      </w:r>
      <w:r>
        <w:rPr/>
        <w:t>1994 Mechanical Engineer, Sargent &amp; Lundy Engineers, 1988-1990</w:t>
      </w:r>
    </w:p>
    <w:p>
      <w:pPr>
        <w:pStyle w:val="Heading1"/>
        <w:spacing w:before="203"/>
        <w:rPr>
          <w:rFonts w:ascii="Tahoma"/>
        </w:rPr>
      </w:pPr>
      <w:r>
        <w:rPr/>
        <w:br w:type="column"/>
      </w:r>
      <w:hyperlink r:id="rId11">
        <w:r>
          <w:rPr>
            <w:rFonts w:ascii="Tahoma"/>
            <w:color w:val="ABABAB"/>
            <w:w w:val="105"/>
          </w:rPr>
          <w:t>Other</w:t>
        </w:r>
        <w:r>
          <w:rPr>
            <w:rFonts w:ascii="Tahoma"/>
            <w:color w:val="ABABAB"/>
            <w:spacing w:val="-27"/>
            <w:w w:val="105"/>
          </w:rPr>
          <w:t> </w:t>
        </w:r>
        <w:r>
          <w:rPr>
            <w:rFonts w:ascii="Tahoma"/>
            <w:color w:val="ABABAB"/>
            <w:spacing w:val="-2"/>
            <w:w w:val="105"/>
          </w:rPr>
          <w:t>Resources</w:t>
        </w:r>
      </w:hyperlink>
    </w:p>
    <w:p>
      <w:pPr>
        <w:pStyle w:val="Heading1"/>
        <w:spacing w:after="0"/>
        <w:rPr>
          <w:rFonts w:ascii="Tahoma"/>
        </w:rPr>
        <w:sectPr>
          <w:type w:val="continuous"/>
          <w:pgSz w:w="11900" w:h="16840"/>
          <w:pgMar w:header="284" w:footer="268" w:top="480" w:bottom="460" w:left="708" w:right="708"/>
          <w:cols w:num="2" w:equalWidth="0">
            <w:col w:w="7790" w:space="229"/>
            <w:col w:w="2465"/>
          </w:cols>
        </w:sectPr>
      </w:pPr>
    </w:p>
    <w:p>
      <w:pPr>
        <w:pStyle w:val="BodyText"/>
        <w:spacing w:before="91"/>
        <w:rPr>
          <w:rFonts w:ascii="Tahoma"/>
        </w:rPr>
      </w:pPr>
    </w:p>
    <w:p>
      <w:pPr>
        <w:spacing w:before="0"/>
        <w:ind w:left="5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Publications</w:t>
      </w:r>
    </w:p>
    <w:p>
      <w:pPr>
        <w:pStyle w:val="Heading1"/>
        <w:spacing w:line="304" w:lineRule="auto"/>
        <w:ind w:left="749" w:right="282"/>
        <w:rPr>
          <w:i/>
          <w:sz w:val="22"/>
        </w:rPr>
      </w:pPr>
      <w:r>
        <w:rPr/>
        <w:t>“</w:t>
      </w:r>
      <w:hyperlink r:id="rId12">
        <w:r>
          <w:rPr>
            <w:color w:val="006580"/>
            <w:u w:val="single" w:color="006580"/>
          </w:rPr>
          <w:t>Establishment Level Information as Proxies for Demand, Congestion and Social Interaction</w:t>
        </w:r>
      </w:hyperlink>
      <w:r>
        <w:rPr/>
        <w:t>” with Stacy Dickert-Conlin and Katie Harris-Lagoudakis, </w:t>
      </w:r>
      <w:r>
        <w:rPr>
          <w:i/>
          <w:sz w:val="22"/>
        </w:rPr>
        <w:t>Economic Letters, </w:t>
      </w:r>
      <w:r>
        <w:rPr>
          <w:sz w:val="22"/>
        </w:rPr>
        <w:t>2024</w:t>
      </w:r>
      <w:r>
        <w:rPr>
          <w:i/>
          <w:sz w:val="22"/>
        </w:rPr>
        <w:t>.</w:t>
      </w:r>
    </w:p>
    <w:p>
      <w:pPr>
        <w:pStyle w:val="BodyText"/>
        <w:spacing w:line="304" w:lineRule="auto"/>
        <w:ind w:left="749" w:right="3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6716617</wp:posOffset>
                </wp:positionH>
                <wp:positionV relativeFrom="paragraph">
                  <wp:posOffset>541309</wp:posOffset>
                </wp:positionV>
                <wp:extent cx="22225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9525">
                              <a:moveTo>
                                <a:pt x="21858" y="9239"/>
                              </a:move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  <a:lnTo>
                                <a:pt x="21858" y="0"/>
                              </a:lnTo>
                              <a:lnTo>
                                <a:pt x="21858" y="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8.867554pt;margin-top:42.622761pt;width:1.721128pt;height:.7275pt;mso-position-horizontal-relative:page;mso-position-vertical-relative:paragraph;z-index:15728640" id="docshape5" filled="true" fillcolor="#006580" stroked="false">
                <v:fill type="solid"/>
                <w10:wrap type="none"/>
              </v:rect>
            </w:pict>
          </mc:Fallback>
        </mc:AlternateContent>
      </w:r>
      <w:r>
        <w:rPr/>
        <w:t>“</w:t>
      </w:r>
      <w:hyperlink r:id="rId13">
        <w:r>
          <w:rPr>
            <w:color w:val="006580"/>
            <w:u w:val="single" w:color="006580"/>
          </w:rPr>
          <w:t>Grocery Sho</w:t>
        </w:r>
        <w:r>
          <w:rPr>
            <w:color w:val="006580"/>
          </w:rPr>
          <w:t>p</w:t>
        </w:r>
        <w:r>
          <w:rPr>
            <w:color w:val="006580"/>
            <w:u w:val="single" w:color="006580"/>
          </w:rPr>
          <w:t> </w:t>
        </w:r>
        <w:r>
          <w:rPr>
            <w:color w:val="006580"/>
            <w:spacing w:val="-55"/>
          </w:rPr>
          <w:t>p</w:t>
        </w:r>
        <w:r>
          <w:rPr>
            <w:color w:val="006580"/>
            <w:u w:val="single" w:color="006580"/>
          </w:rPr>
          <w:t> ing</w:t>
        </w:r>
        <w:r>
          <w:rPr>
            <w:color w:val="006580"/>
            <w:spacing w:val="-35"/>
          </w:rPr>
          <w:t> </w:t>
        </w:r>
        <w:r>
          <w:rPr>
            <w:color w:val="006580"/>
            <w:spacing w:val="-7"/>
            <w:u w:val="single" w:color="006580"/>
          </w:rPr>
          <w:t> </w:t>
        </w:r>
        <w:r>
          <w:rPr>
            <w:color w:val="006580"/>
            <w:u w:val="single" w:color="006580"/>
          </w:rPr>
          <w:t>Behavior Changes Before and</w:t>
        </w:r>
        <w:r>
          <w:rPr>
            <w:color w:val="006580"/>
            <w:spacing w:val="-1"/>
            <w:u w:val="single" w:color="006580"/>
          </w:rPr>
          <w:t> </w:t>
        </w:r>
        <w:r>
          <w:rPr>
            <w:color w:val="006580"/>
            <w:u w:val="single" w:color="006580"/>
          </w:rPr>
          <w:t>After the COVID-19 Vaccine</w:t>
        </w:r>
      </w:hyperlink>
      <w:r>
        <w:rPr/>
        <w:t>”, with Katie Harris- Lagoudakis, Cara Haughey and Seung Jung, </w:t>
      </w:r>
      <w:r>
        <w:rPr>
          <w:i/>
        </w:rPr>
        <w:t>Applied Economic Perspectives &amp; Policy</w:t>
      </w:r>
      <w:r>
        <w:rPr/>
        <w:t>, 2024, Pages 1-24. “</w:t>
      </w:r>
      <w:hyperlink r:id="rId14">
        <w:r>
          <w:rPr>
            <w:color w:val="006580"/>
            <w:u w:val="single" w:color="006580"/>
          </w:rPr>
          <w:t>Agenda-Setting</w:t>
        </w:r>
        <w:r>
          <w:rPr>
            <w:color w:val="006580"/>
            <w:spacing w:val="-33"/>
          </w:rPr>
          <w:t> </w:t>
        </w:r>
        <w:r>
          <w:rPr>
            <w:color w:val="006580"/>
            <w:u w:val="single" w:color="006580"/>
          </w:rPr>
          <w:t> and Tax Referenda: Implications for Regression Discontinuity</w:t>
        </w:r>
        <w:r>
          <w:rPr>
            <w:color w:val="006580"/>
            <w:spacing w:val="40"/>
            <w:u w:val="single" w:color="006580"/>
          </w:rPr>
          <w:t> </w:t>
        </w:r>
        <w:r>
          <w:rPr>
            <w:color w:val="006580"/>
            <w:u w:val="single" w:color="006580"/>
          </w:rPr>
          <w:t>Identification Strate</w:t>
        </w:r>
        <w:r>
          <w:rPr>
            <w:color w:val="006580"/>
          </w:rPr>
          <w:t>gy</w:t>
        </w:r>
      </w:hyperlink>
      <w:r>
        <w:rPr>
          <w:color w:val="006580"/>
        </w:rPr>
        <w:t> </w:t>
      </w:r>
      <w:hyperlink r:id="rId14">
        <w:r>
          <w:rPr>
            <w:color w:val="006580"/>
            <w:u w:val="single" w:color="006580"/>
          </w:rPr>
          <w:t>Using</w:t>
        </w:r>
        <w:r>
          <w:rPr>
            <w:color w:val="006580"/>
            <w:spacing w:val="-35"/>
          </w:rPr>
          <w:t> </w:t>
        </w:r>
        <w:r>
          <w:rPr>
            <w:color w:val="006580"/>
            <w:spacing w:val="-6"/>
            <w:u w:val="single" w:color="006580"/>
          </w:rPr>
          <w:t> </w:t>
        </w:r>
        <w:r>
          <w:rPr>
            <w:color w:val="006580"/>
            <w:u w:val="single" w:color="006580"/>
          </w:rPr>
          <w:t>Election Outcomes</w:t>
        </w:r>
      </w:hyperlink>
      <w:r>
        <w:rPr/>
        <w:t>” with Paul Thompson, </w:t>
      </w:r>
      <w:r>
        <w:rPr>
          <w:i/>
        </w:rPr>
        <w:t>National Tax Journal</w:t>
      </w:r>
      <w:r>
        <w:rPr/>
        <w:t>, December 2023, Vol 76, No. 4, Pages 1-28.</w:t>
      </w:r>
    </w:p>
    <w:p>
      <w:pPr>
        <w:spacing w:line="304" w:lineRule="auto" w:before="0"/>
        <w:ind w:left="749" w:right="328" w:firstLine="0"/>
        <w:jc w:val="left"/>
        <w:rPr>
          <w:sz w:val="22"/>
        </w:rPr>
      </w:pPr>
      <w:hyperlink r:id="rId15">
        <w:r>
          <w:rPr>
            <w:color w:val="006580"/>
            <w:sz w:val="22"/>
            <w:u w:val="single" w:color="006580"/>
          </w:rPr>
          <w:t>“Equity</w:t>
        </w:r>
        <w:r>
          <w:rPr>
            <w:color w:val="006580"/>
            <w:spacing w:val="40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and Unrestricted Funds in Special Education”</w:t>
        </w:r>
      </w:hyperlink>
      <w:r>
        <w:rPr>
          <w:color w:val="006580"/>
          <w:sz w:val="22"/>
          <w:u w:val="single" w:color="006580"/>
        </w:rPr>
        <w:t> </w:t>
      </w:r>
      <w:r>
        <w:rPr>
          <w:sz w:val="22"/>
        </w:rPr>
        <w:t>with Margaret Jalilevand, </w:t>
      </w:r>
      <w:r>
        <w:rPr>
          <w:i/>
          <w:sz w:val="22"/>
        </w:rPr>
        <w:t>Journal of Education Finance</w:t>
      </w:r>
      <w:r>
        <w:rPr>
          <w:sz w:val="22"/>
        </w:rPr>
        <w:t>, Fall 2018, Vol 44, No. 2.</w:t>
      </w:r>
    </w:p>
    <w:p>
      <w:pPr>
        <w:spacing w:line="304" w:lineRule="auto" w:before="0"/>
        <w:ind w:left="749" w:right="142" w:firstLine="0"/>
        <w:jc w:val="left"/>
        <w:rPr>
          <w:sz w:val="22"/>
        </w:rPr>
      </w:pPr>
      <w:hyperlink r:id="rId16">
        <w:r>
          <w:rPr>
            <w:color w:val="006580"/>
            <w:sz w:val="22"/>
            <w:u w:val="single" w:color="006580"/>
          </w:rPr>
          <w:t>“Inference by</w:t>
        </w:r>
        <w:r>
          <w:rPr>
            <w:color w:val="006580"/>
            <w:spacing w:val="40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College</w:t>
        </w:r>
        <w:r>
          <w:rPr>
            <w:color w:val="006580"/>
            <w:spacing w:val="-8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Admission Departments”</w:t>
        </w:r>
      </w:hyperlink>
      <w:r>
        <w:rPr>
          <w:sz w:val="22"/>
        </w:rPr>
        <w:t>, with Stacy Dickert-Conlin, </w:t>
      </w:r>
      <w:r>
        <w:rPr>
          <w:i/>
          <w:sz w:val="22"/>
        </w:rPr>
        <w:t>Journal of Economic Behavior and Organization</w:t>
      </w:r>
      <w:r>
        <w:rPr>
          <w:sz w:val="22"/>
        </w:rPr>
        <w:t>, 141, September 2017, Pages 14-28.</w:t>
      </w:r>
    </w:p>
    <w:p>
      <w:pPr>
        <w:pStyle w:val="BodyText"/>
        <w:spacing w:line="304" w:lineRule="auto"/>
        <w:ind w:left="749" w:right="142" w:firstLine="55"/>
      </w:pPr>
      <w:hyperlink r:id="rId17">
        <w:r>
          <w:rPr>
            <w:color w:val="006580"/>
            <w:u w:val="single" w:color="006580"/>
          </w:rPr>
          <w:t>“Impacts of New School Facility</w:t>
        </w:r>
        <w:r>
          <w:rPr>
            <w:color w:val="006580"/>
            <w:spacing w:val="39"/>
            <w:u w:val="single" w:color="006580"/>
          </w:rPr>
          <w:t> </w:t>
        </w:r>
        <w:r>
          <w:rPr>
            <w:color w:val="006580"/>
            <w:u w:val="single" w:color="006580"/>
          </w:rPr>
          <w:t>Construction:</w:t>
        </w:r>
        <w:r>
          <w:rPr>
            <w:color w:val="006580"/>
            <w:spacing w:val="-11"/>
            <w:u w:val="single" w:color="006580"/>
          </w:rPr>
          <w:t> </w:t>
        </w:r>
        <w:r>
          <w:rPr>
            <w:color w:val="006580"/>
            <w:u w:val="single" w:color="006580"/>
          </w:rPr>
          <w:t>An</w:t>
        </w:r>
        <w:r>
          <w:rPr>
            <w:color w:val="006580"/>
            <w:spacing w:val="-11"/>
            <w:u w:val="single" w:color="006580"/>
          </w:rPr>
          <w:t> </w:t>
        </w:r>
        <w:r>
          <w:rPr>
            <w:color w:val="006580"/>
            <w:u w:val="single" w:color="006580"/>
          </w:rPr>
          <w:t>Analysis of a State-Financed Capital Subsidy</w:t>
        </w:r>
        <w:r>
          <w:rPr>
            <w:color w:val="006580"/>
            <w:spacing w:val="39"/>
            <w:u w:val="single" w:color="006580"/>
          </w:rPr>
          <w:t> </w:t>
        </w:r>
        <w:r>
          <w:rPr>
            <w:color w:val="006580"/>
            <w:u w:val="single" w:color="006580"/>
          </w:rPr>
          <w:t>Program</w:t>
        </w:r>
      </w:hyperlink>
      <w:r>
        <w:rPr>
          <w:color w:val="006580"/>
        </w:rPr>
        <w:t> </w:t>
      </w:r>
      <w:hyperlink r:id="rId17">
        <w:r>
          <w:rPr>
            <w:color w:val="006580"/>
            <w:u w:val="single" w:color="006580"/>
          </w:rPr>
          <w:t>in Ohio”</w:t>
        </w:r>
      </w:hyperlink>
      <w:r>
        <w:rPr>
          <w:color w:val="006580"/>
        </w:rPr>
        <w:t> </w:t>
      </w:r>
      <w:r>
        <w:rPr/>
        <w:t>with Paul Thompson, </w:t>
      </w:r>
      <w:r>
        <w:rPr>
          <w:i/>
        </w:rPr>
        <w:t>Economics of Education Review</w:t>
      </w:r>
      <w:r>
        <w:rPr/>
        <w:t>, 59, August 2017, Pages 13-28.</w:t>
      </w:r>
    </w:p>
    <w:p>
      <w:pPr>
        <w:spacing w:line="304" w:lineRule="auto" w:before="0"/>
        <w:ind w:left="749" w:right="328" w:firstLine="55"/>
        <w:jc w:val="left"/>
        <w:rPr>
          <w:sz w:val="22"/>
        </w:rPr>
      </w:pPr>
      <w:hyperlink r:id="rId18">
        <w:r>
          <w:rPr>
            <w:color w:val="006580"/>
            <w:sz w:val="22"/>
            <w:u w:val="single" w:color="006580"/>
          </w:rPr>
          <w:t>“System Inequities in Special Education Financing”</w:t>
        </w:r>
      </w:hyperlink>
      <w:r>
        <w:rPr>
          <w:color w:val="006580"/>
          <w:sz w:val="22"/>
        </w:rPr>
        <w:t> </w:t>
      </w:r>
      <w:r>
        <w:rPr>
          <w:sz w:val="22"/>
        </w:rPr>
        <w:t>with Meg Jalilevand, </w:t>
      </w:r>
      <w:r>
        <w:rPr>
          <w:i/>
          <w:sz w:val="22"/>
        </w:rPr>
        <w:t>Journal of Education Finance</w:t>
      </w:r>
      <w:r>
        <w:rPr>
          <w:sz w:val="22"/>
        </w:rPr>
        <w:t>, 41, Summer 2015.</w:t>
      </w:r>
    </w:p>
    <w:p>
      <w:pPr>
        <w:pStyle w:val="BodyText"/>
        <w:tabs>
          <w:tab w:pos="749" w:val="left" w:leader="none"/>
        </w:tabs>
        <w:spacing w:line="300" w:lineRule="auto"/>
        <w:ind w:left="264" w:right="1007" w:firstLine="485"/>
      </w:pPr>
      <w:hyperlink r:id="rId19">
        <w:r>
          <w:rPr>
            <w:color w:val="006580"/>
            <w:u w:val="single" w:color="006580"/>
          </w:rPr>
          <w:t>“Michigan and Ohio K-12 Education Financing</w:t>
        </w:r>
        <w:r>
          <w:rPr>
            <w:color w:val="006580"/>
            <w:spacing w:val="-37"/>
          </w:rPr>
          <w:t> </w:t>
        </w:r>
        <w:r>
          <w:rPr>
            <w:color w:val="006580"/>
            <w:spacing w:val="-12"/>
            <w:u w:val="single" w:color="006580"/>
          </w:rPr>
          <w:t> </w:t>
        </w:r>
        <w:r>
          <w:rPr>
            <w:color w:val="006580"/>
            <w:u w:val="single" w:color="006580"/>
          </w:rPr>
          <w:t>Systems: Inefficiencies and Outcomes”</w:t>
        </w:r>
      </w:hyperlink>
      <w:r>
        <w:rPr>
          <w:color w:val="006580"/>
        </w:rPr>
        <w:t> </w:t>
      </w:r>
      <w:r>
        <w:rPr/>
        <w:t>with Paul </w:t>
      </w:r>
      <w:r>
        <w:rPr>
          <w:position w:val="-2"/>
        </w:rPr>
        <w:drawing>
          <wp:inline distT="0" distB="0" distL="0" distR="0">
            <wp:extent cx="153987" cy="15398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" cy="15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/>
        <w:tab/>
        <w:t>Thompson, </w:t>
      </w:r>
      <w:r>
        <w:rPr>
          <w:i/>
        </w:rPr>
        <w:t>Education Finance &amp; Policy</w:t>
      </w:r>
      <w:r>
        <w:rPr/>
        <w:t>, 9(4), Fall 2014, Pages 417-445.</w:t>
      </w:r>
    </w:p>
    <w:p>
      <w:pPr>
        <w:pStyle w:val="BodyText"/>
        <w:ind w:left="805"/>
      </w:pPr>
      <w:hyperlink r:id="rId21">
        <w:r>
          <w:rPr>
            <w:color w:val="006580"/>
            <w:u w:val="single" w:color="006580"/>
          </w:rPr>
          <w:t>“Voluntary</w:t>
        </w:r>
        <w:r>
          <w:rPr>
            <w:color w:val="006580"/>
            <w:spacing w:val="4"/>
            <w:u w:val="single" w:color="006580"/>
          </w:rPr>
          <w:t> </w:t>
        </w:r>
        <w:r>
          <w:rPr>
            <w:color w:val="006580"/>
            <w:u w:val="single" w:color="006580"/>
          </w:rPr>
          <w:t>Disclosure</w:t>
        </w:r>
        <w:r>
          <w:rPr>
            <w:color w:val="006580"/>
            <w:spacing w:val="4"/>
            <w:u w:val="single" w:color="006580"/>
          </w:rPr>
          <w:t> </w:t>
        </w:r>
        <w:r>
          <w:rPr>
            <w:color w:val="006580"/>
            <w:u w:val="single" w:color="006580"/>
          </w:rPr>
          <w:t>and</w:t>
        </w:r>
        <w:r>
          <w:rPr>
            <w:color w:val="006580"/>
            <w:spacing w:val="4"/>
            <w:u w:val="single" w:color="006580"/>
          </w:rPr>
          <w:t> </w:t>
        </w:r>
        <w:r>
          <w:rPr>
            <w:color w:val="006580"/>
            <w:u w:val="single" w:color="006580"/>
          </w:rPr>
          <w:t>the</w:t>
        </w:r>
        <w:r>
          <w:rPr>
            <w:color w:val="006580"/>
            <w:spacing w:val="4"/>
            <w:u w:val="single" w:color="006580"/>
          </w:rPr>
          <w:t> </w:t>
        </w:r>
        <w:r>
          <w:rPr>
            <w:color w:val="006580"/>
            <w:u w:val="single" w:color="006580"/>
          </w:rPr>
          <w:t>Strategic</w:t>
        </w:r>
        <w:r>
          <w:rPr>
            <w:color w:val="006580"/>
            <w:spacing w:val="4"/>
            <w:u w:val="single" w:color="006580"/>
          </w:rPr>
          <w:t> </w:t>
        </w:r>
        <w:r>
          <w:rPr>
            <w:color w:val="006580"/>
            <w:u w:val="single" w:color="006580"/>
          </w:rPr>
          <w:t>Behavior</w:t>
        </w:r>
        <w:r>
          <w:rPr>
            <w:color w:val="006580"/>
            <w:spacing w:val="4"/>
            <w:u w:val="single" w:color="006580"/>
          </w:rPr>
          <w:t> </w:t>
        </w:r>
        <w:r>
          <w:rPr>
            <w:color w:val="006580"/>
            <w:u w:val="single" w:color="006580"/>
          </w:rPr>
          <w:t>of</w:t>
        </w:r>
        <w:r>
          <w:rPr>
            <w:color w:val="006580"/>
            <w:spacing w:val="4"/>
            <w:u w:val="single" w:color="006580"/>
          </w:rPr>
          <w:t> </w:t>
        </w:r>
        <w:r>
          <w:rPr>
            <w:color w:val="006580"/>
            <w:u w:val="single" w:color="006580"/>
          </w:rPr>
          <w:t>Colleges”</w:t>
        </w:r>
      </w:hyperlink>
      <w:r>
        <w:rPr/>
        <w:t>,</w:t>
      </w:r>
      <w:r>
        <w:rPr>
          <w:spacing w:val="4"/>
        </w:rPr>
        <w:t> </w:t>
      </w:r>
      <w:r>
        <w:rPr/>
        <w:t>with</w:t>
      </w:r>
      <w:r>
        <w:rPr>
          <w:spacing w:val="4"/>
        </w:rPr>
        <w:t> </w:t>
      </w:r>
      <w:r>
        <w:rPr/>
        <w:t>Stacy</w:t>
      </w:r>
      <w:r>
        <w:rPr>
          <w:spacing w:val="4"/>
        </w:rPr>
        <w:t> </w:t>
      </w:r>
      <w:r>
        <w:rPr/>
        <w:t>Dickert-Conlin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2"/>
        </w:rPr>
        <w:t>Gabrielle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460" w:left="708" w:right="708"/>
        </w:sectPr>
      </w:pPr>
    </w:p>
    <w:p>
      <w:pPr>
        <w:spacing w:line="239" w:lineRule="exact" w:before="83"/>
        <w:ind w:left="749" w:right="0" w:firstLine="0"/>
        <w:jc w:val="left"/>
        <w:rPr>
          <w:sz w:val="22"/>
        </w:rPr>
      </w:pPr>
      <w:hyperlink r:id="rId7">
        <w:r>
          <w:rPr>
            <w:sz w:val="22"/>
          </w:rPr>
          <w:t>Chapman,</w:t>
        </w:r>
        <w:r>
          <w:rPr>
            <w:spacing w:val="3"/>
            <w:sz w:val="22"/>
          </w:rPr>
          <w:t> </w:t>
        </w:r>
        <w:r>
          <w:rPr>
            <w:i/>
            <w:sz w:val="22"/>
          </w:rPr>
          <w:t>Journ</w:t>
        </w:r>
      </w:hyperlink>
      <w:r>
        <w:rPr>
          <w:i/>
          <w:sz w:val="22"/>
        </w:rPr>
        <w:t>al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Organization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Volume</w:t>
      </w:r>
      <w:r>
        <w:rPr>
          <w:spacing w:val="4"/>
          <w:sz w:val="22"/>
        </w:rPr>
        <w:t> </w:t>
      </w:r>
      <w:r>
        <w:rPr>
          <w:sz w:val="22"/>
        </w:rPr>
        <w:t>96,</w:t>
      </w:r>
      <w:r>
        <w:rPr>
          <w:spacing w:val="3"/>
          <w:sz w:val="22"/>
        </w:rPr>
        <w:t> </w:t>
      </w:r>
      <w:r>
        <w:rPr>
          <w:sz w:val="22"/>
        </w:rPr>
        <w:t>December</w:t>
      </w:r>
      <w:r>
        <w:rPr>
          <w:spacing w:val="4"/>
          <w:sz w:val="22"/>
        </w:rPr>
        <w:t> </w:t>
      </w:r>
      <w:r>
        <w:rPr>
          <w:sz w:val="22"/>
        </w:rPr>
        <w:t>2013,</w:t>
      </w:r>
      <w:r>
        <w:rPr>
          <w:spacing w:val="4"/>
          <w:sz w:val="22"/>
        </w:rPr>
        <w:t> </w:t>
      </w:r>
      <w:r>
        <w:rPr>
          <w:sz w:val="22"/>
        </w:rPr>
        <w:t>Pages</w:t>
      </w:r>
      <w:r>
        <w:rPr>
          <w:spacing w:val="3"/>
          <w:sz w:val="22"/>
        </w:rPr>
        <w:t> </w:t>
      </w:r>
      <w:r>
        <w:rPr>
          <w:sz w:val="22"/>
        </w:rPr>
        <w:t>48-</w:t>
      </w:r>
      <w:r>
        <w:rPr>
          <w:spacing w:val="-5"/>
          <w:sz w:val="22"/>
        </w:rPr>
        <w:t>64.</w:t>
      </w:r>
    </w:p>
    <w:p>
      <w:pPr>
        <w:spacing w:line="320" w:lineRule="exact" w:before="30"/>
        <w:ind w:left="749" w:right="227" w:hanging="19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481856">
            <wp:simplePos x="0" y="0"/>
            <wp:positionH relativeFrom="page">
              <wp:posOffset>6894099</wp:posOffset>
            </wp:positionH>
            <wp:positionV relativeFrom="paragraph">
              <wp:posOffset>15748</wp:posOffset>
            </wp:positionV>
            <wp:extent cx="161594" cy="16159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94" cy="161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ahoma" w:hAnsi="Tahoma"/>
            <w:color w:val="ABABAB"/>
            <w:spacing w:val="-7"/>
            <w:w w:val="115"/>
            <w:position w:val="1"/>
            <w:sz w:val="29"/>
          </w:rPr>
          <w:t>M</w:t>
        </w:r>
        <w:r>
          <w:rPr>
            <w:color w:val="006580"/>
            <w:spacing w:val="-67"/>
            <w:w w:val="98"/>
            <w:sz w:val="22"/>
            <w:u w:val="single" w:color="006580"/>
          </w:rPr>
          <w:t>“</w:t>
        </w:r>
        <w:r>
          <w:rPr>
            <w:rFonts w:ascii="Tahoma" w:hAnsi="Tahoma"/>
            <w:color w:val="ABABAB"/>
            <w:spacing w:val="13"/>
            <w:w w:val="101"/>
            <w:position w:val="1"/>
            <w:sz w:val="29"/>
            <w:u w:val="single" w:color="006580"/>
          </w:rPr>
          <w:t>i</w:t>
        </w:r>
        <w:r>
          <w:rPr>
            <w:rFonts w:ascii="Tahoma" w:hAnsi="Tahoma"/>
            <w:color w:val="ABABAB"/>
            <w:spacing w:val="-120"/>
            <w:w w:val="96"/>
            <w:position w:val="1"/>
            <w:sz w:val="29"/>
            <w:u w:val="single" w:color="006580"/>
          </w:rPr>
          <w:t>k</w:t>
        </w:r>
        <w:r>
          <w:rPr>
            <w:color w:val="006580"/>
            <w:w w:val="98"/>
            <w:sz w:val="22"/>
            <w:u w:val="single" w:color="006580"/>
          </w:rPr>
          <w:t>T</w:t>
        </w:r>
        <w:r>
          <w:rPr>
            <w:rFonts w:ascii="Tahoma" w:hAnsi="Tahoma"/>
            <w:color w:val="ABABAB"/>
            <w:spacing w:val="-124"/>
            <w:w w:val="94"/>
            <w:position w:val="1"/>
            <w:sz w:val="29"/>
            <w:u w:val="single" w:color="006580"/>
          </w:rPr>
          <w:t>e</w:t>
        </w:r>
        <w:r>
          <w:rPr>
            <w:color w:val="006580"/>
            <w:spacing w:val="13"/>
            <w:w w:val="98"/>
            <w:sz w:val="22"/>
            <w:u w:val="single" w:color="006580"/>
          </w:rPr>
          <w:t>h</w:t>
        </w:r>
        <w:r>
          <w:rPr>
            <w:color w:val="006580"/>
            <w:spacing w:val="-5"/>
            <w:w w:val="98"/>
            <w:sz w:val="22"/>
            <w:u w:val="single" w:color="006580"/>
          </w:rPr>
          <w:t>e</w:t>
        </w:r>
        <w:r>
          <w:rPr>
            <w:rFonts w:ascii="Tahoma" w:hAnsi="Tahoma"/>
            <w:color w:val="ABABAB"/>
            <w:spacing w:val="-119"/>
            <w:w w:val="114"/>
            <w:position w:val="1"/>
            <w:sz w:val="29"/>
            <w:u w:val="single" w:color="006580"/>
          </w:rPr>
          <w:t>C</w:t>
        </w:r>
        <w:r>
          <w:rPr>
            <w:color w:val="006580"/>
            <w:spacing w:val="7"/>
            <w:w w:val="98"/>
            <w:sz w:val="22"/>
            <w:u w:val="single" w:color="006580"/>
          </w:rPr>
          <w:t>E</w:t>
        </w:r>
        <w:r>
          <w:rPr>
            <w:rFonts w:ascii="Tahoma" w:hAnsi="Tahoma"/>
            <w:color w:val="ABABAB"/>
            <w:spacing w:val="-140"/>
            <w:w w:val="96"/>
            <w:position w:val="1"/>
            <w:sz w:val="29"/>
            <w:u w:val="single" w:color="006580"/>
          </w:rPr>
          <w:t>o</w:t>
        </w:r>
        <w:r>
          <w:rPr>
            <w:color w:val="006580"/>
            <w:spacing w:val="8"/>
            <w:w w:val="98"/>
            <w:sz w:val="22"/>
            <w:u w:val="single" w:color="006580"/>
          </w:rPr>
          <w:t>f</w:t>
        </w:r>
        <w:r>
          <w:rPr>
            <w:color w:val="006580"/>
            <w:spacing w:val="13"/>
            <w:w w:val="98"/>
            <w:sz w:val="22"/>
            <w:u w:val="single" w:color="006580"/>
          </w:rPr>
          <w:t>f</w:t>
        </w:r>
        <w:r>
          <w:rPr>
            <w:color w:val="006580"/>
            <w:spacing w:val="-79"/>
            <w:w w:val="98"/>
            <w:sz w:val="22"/>
            <w:u w:val="single" w:color="006580"/>
          </w:rPr>
          <w:t>e</w:t>
        </w:r>
        <w:r>
          <w:rPr>
            <w:rFonts w:ascii="Tahoma" w:hAnsi="Tahoma"/>
            <w:color w:val="ABABAB"/>
            <w:spacing w:val="-54"/>
            <w:w w:val="94"/>
            <w:position w:val="1"/>
            <w:sz w:val="29"/>
            <w:u w:val="single" w:color="006580"/>
          </w:rPr>
          <w:t>n</w:t>
        </w:r>
        <w:r>
          <w:rPr>
            <w:color w:val="006580"/>
            <w:spacing w:val="-20"/>
            <w:w w:val="98"/>
            <w:sz w:val="22"/>
            <w:u w:val="single" w:color="006580"/>
          </w:rPr>
          <w:t>c</w:t>
        </w:r>
        <w:r>
          <w:rPr>
            <w:rFonts w:ascii="Tahoma" w:hAnsi="Tahoma"/>
            <w:color w:val="ABABAB"/>
            <w:spacing w:val="-24"/>
            <w:w w:val="101"/>
            <w:position w:val="1"/>
            <w:sz w:val="29"/>
            <w:u w:val="single" w:color="006580"/>
          </w:rPr>
          <w:t>l</w:t>
        </w:r>
        <w:r>
          <w:rPr>
            <w:color w:val="006580"/>
            <w:spacing w:val="-13"/>
            <w:w w:val="98"/>
            <w:sz w:val="22"/>
            <w:u w:val="single" w:color="006580"/>
          </w:rPr>
          <w:t>t</w:t>
        </w:r>
        <w:r>
          <w:rPr>
            <w:rFonts w:ascii="Tahoma" w:hAnsi="Tahoma"/>
            <w:color w:val="ABABAB"/>
            <w:spacing w:val="13"/>
            <w:w w:val="101"/>
            <w:position w:val="1"/>
            <w:sz w:val="29"/>
            <w:u w:val="single" w:color="006580"/>
          </w:rPr>
          <w:t>i</w:t>
        </w:r>
        <w:r>
          <w:rPr>
            <w:rFonts w:ascii="Tahoma" w:hAnsi="Tahoma"/>
            <w:color w:val="ABABAB"/>
            <w:spacing w:val="-133"/>
            <w:w w:val="94"/>
            <w:position w:val="1"/>
            <w:sz w:val="29"/>
            <w:u w:val="single" w:color="006580"/>
          </w:rPr>
          <w:t>n</w:t>
        </w:r>
        <w:r>
          <w:rPr>
            <w:color w:val="006580"/>
            <w:spacing w:val="13"/>
            <w:w w:val="98"/>
            <w:sz w:val="22"/>
            <w:u w:val="single" w:color="006580"/>
          </w:rPr>
          <w:t>of</w:t>
        </w:r>
      </w:hyperlink>
      <w:r>
        <w:rPr>
          <w:color w:val="006580"/>
          <w:sz w:val="22"/>
          <w:u w:val="single" w:color="006580"/>
        </w:rPr>
        <w:t> </w:t>
      </w:r>
      <w:hyperlink r:id="rId23">
        <w:r>
          <w:rPr>
            <w:color w:val="006580"/>
            <w:spacing w:val="-36"/>
            <w:sz w:val="22"/>
            <w:u w:val="single" w:color="006580"/>
          </w:rPr>
          <w:t>an</w:t>
        </w:r>
        <w:r>
          <w:rPr>
            <w:color w:val="006580"/>
            <w:spacing w:val="-3"/>
            <w:sz w:val="22"/>
            <w:u w:val="single" w:color="006580"/>
          </w:rPr>
          <w:t> </w:t>
        </w:r>
        <w:r>
          <w:rPr>
            <w:color w:val="006580"/>
            <w:spacing w:val="-36"/>
            <w:sz w:val="22"/>
            <w:u w:val="single" w:color="006580"/>
          </w:rPr>
          <w:t>Agent’s</w:t>
        </w:r>
        <w:r>
          <w:rPr>
            <w:color w:val="006580"/>
            <w:sz w:val="22"/>
            <w:u w:val="single" w:color="006580"/>
          </w:rPr>
          <w:t> </w:t>
        </w:r>
        <w:r>
          <w:rPr>
            <w:color w:val="006580"/>
            <w:spacing w:val="-19"/>
            <w:w w:val="98"/>
            <w:sz w:val="22"/>
            <w:u w:val="single" w:color="006580"/>
          </w:rPr>
          <w:t>Experti</w:t>
        </w:r>
        <w:r>
          <w:rPr>
            <w:color w:val="006580"/>
            <w:spacing w:val="-79"/>
            <w:w w:val="98"/>
            <w:sz w:val="22"/>
            <w:u w:val="single" w:color="006580"/>
          </w:rPr>
          <w:t>s</w:t>
        </w:r>
      </w:hyperlink>
      <w:hyperlink r:id="rId7">
        <w:r>
          <w:rPr>
            <w:rFonts w:ascii="Tahoma" w:hAnsi="Tahoma"/>
            <w:color w:val="ABABAB"/>
            <w:spacing w:val="-136"/>
            <w:w w:val="110"/>
            <w:position w:val="3"/>
            <w:sz w:val="23"/>
            <w:u w:val="single" w:color="006580"/>
          </w:rPr>
          <w:t>H</w:t>
        </w:r>
        <w:r>
          <w:rPr>
            <w:color w:val="006580"/>
            <w:spacing w:val="-19"/>
            <w:w w:val="98"/>
            <w:sz w:val="22"/>
            <w:u w:val="single" w:color="006580"/>
          </w:rPr>
          <w:t>e</w:t>
        </w:r>
        <w:r>
          <w:rPr>
            <w:color w:val="006580"/>
            <w:spacing w:val="-37"/>
            <w:w w:val="99"/>
            <w:sz w:val="22"/>
            <w:u w:val="single" w:color="006580"/>
          </w:rPr>
          <w:t> </w:t>
        </w:r>
        <w:r>
          <w:rPr>
            <w:rFonts w:ascii="Tahoma" w:hAnsi="Tahoma"/>
            <w:color w:val="ABABAB"/>
            <w:spacing w:val="-89"/>
            <w:position w:val="3"/>
            <w:sz w:val="23"/>
            <w:u w:val="single" w:color="006580"/>
          </w:rPr>
          <w:t>o</w:t>
        </w:r>
        <w:r>
          <w:rPr>
            <w:color w:val="006580"/>
            <w:spacing w:val="-24"/>
            <w:w w:val="101"/>
            <w:sz w:val="22"/>
            <w:u w:val="single" w:color="006580"/>
          </w:rPr>
          <w:t>o</w:t>
        </w:r>
        <w:r>
          <w:rPr>
            <w:rFonts w:ascii="Tahoma" w:hAnsi="Tahoma"/>
            <w:color w:val="ABABAB"/>
            <w:spacing w:val="-162"/>
            <w:w w:val="95"/>
            <w:position w:val="3"/>
            <w:sz w:val="23"/>
            <w:u w:val="single" w:color="006580"/>
          </w:rPr>
          <w:t>m</w:t>
        </w:r>
        <w:r>
          <w:rPr>
            <w:color w:val="006580"/>
            <w:w w:val="101"/>
            <w:sz w:val="22"/>
            <w:u w:val="single" w:color="006580"/>
          </w:rPr>
          <w:t>n</w:t>
        </w:r>
        <w:r>
          <w:rPr>
            <w:color w:val="006580"/>
            <w:sz w:val="22"/>
            <w:u w:val="single" w:color="006580"/>
          </w:rPr>
          <w:t> </w:t>
        </w:r>
        <w:r>
          <w:rPr>
            <w:rFonts w:ascii="Tahoma" w:hAnsi="Tahoma"/>
            <w:color w:val="ABABAB"/>
            <w:spacing w:val="-105"/>
            <w:w w:val="95"/>
            <w:position w:val="3"/>
            <w:sz w:val="23"/>
            <w:u w:val="single" w:color="006580"/>
          </w:rPr>
          <w:t>e</w:t>
        </w:r>
      </w:hyperlink>
      <w:hyperlink r:id="rId23">
        <w:r>
          <w:rPr>
            <w:color w:val="006580"/>
            <w:spacing w:val="9"/>
            <w:w w:val="98"/>
            <w:sz w:val="22"/>
            <w:u w:val="single" w:color="006580"/>
          </w:rPr>
          <w:t>Nati</w:t>
        </w:r>
        <w:r>
          <w:rPr>
            <w:color w:val="006580"/>
            <w:spacing w:val="5"/>
            <w:w w:val="98"/>
            <w:sz w:val="22"/>
            <w:u w:val="single" w:color="006580"/>
          </w:rPr>
          <w:t>o</w:t>
        </w:r>
        <w:r>
          <w:rPr>
            <w:rFonts w:ascii="Tahoma" w:hAnsi="Tahoma"/>
            <w:color w:val="ABABAB"/>
            <w:spacing w:val="-147"/>
            <w:w w:val="112"/>
            <w:position w:val="3"/>
            <w:sz w:val="23"/>
            <w:u w:val="single" w:color="006580"/>
          </w:rPr>
          <w:t>C</w:t>
        </w:r>
      </w:hyperlink>
      <w:hyperlink r:id="rId8">
        <w:r>
          <w:rPr>
            <w:color w:val="006580"/>
            <w:spacing w:val="9"/>
            <w:w w:val="98"/>
            <w:sz w:val="22"/>
            <w:u w:val="single" w:color="006580"/>
          </w:rPr>
          <w:t>n</w:t>
        </w:r>
        <w:r>
          <w:rPr>
            <w:color w:val="006580"/>
            <w:spacing w:val="-46"/>
            <w:w w:val="98"/>
            <w:sz w:val="22"/>
            <w:u w:val="single" w:color="006580"/>
          </w:rPr>
          <w:t>a</w:t>
        </w:r>
        <w:r>
          <w:rPr>
            <w:rFonts w:ascii="Tahoma" w:hAnsi="Tahoma"/>
            <w:color w:val="ABABAB"/>
            <w:spacing w:val="-66"/>
            <w:w w:val="97"/>
            <w:position w:val="3"/>
            <w:sz w:val="23"/>
            <w:u w:val="single" w:color="006580"/>
          </w:rPr>
          <w:t>u</w:t>
        </w:r>
        <w:r>
          <w:rPr>
            <w:color w:val="006580"/>
            <w:spacing w:val="21"/>
            <w:w w:val="98"/>
            <w:sz w:val="22"/>
            <w:u w:val="single" w:color="006580"/>
          </w:rPr>
          <w:t>l</w:t>
        </w:r>
        <w:r>
          <w:rPr>
            <w:rFonts w:ascii="Tahoma" w:hAnsi="Tahoma"/>
            <w:color w:val="ABABAB"/>
            <w:spacing w:val="-42"/>
            <w:w w:val="110"/>
            <w:position w:val="3"/>
            <w:sz w:val="23"/>
            <w:u w:val="single" w:color="006580"/>
          </w:rPr>
          <w:t>r</w:t>
        </w:r>
        <w:r>
          <w:rPr>
            <w:color w:val="006580"/>
            <w:spacing w:val="-65"/>
            <w:w w:val="98"/>
            <w:sz w:val="22"/>
            <w:u w:val="single" w:color="006580"/>
          </w:rPr>
          <w:t>F</w:t>
        </w:r>
        <w:r>
          <w:rPr>
            <w:rFonts w:ascii="Tahoma" w:hAnsi="Tahoma"/>
            <w:color w:val="ABABAB"/>
            <w:spacing w:val="-12"/>
            <w:w w:val="110"/>
            <w:position w:val="3"/>
            <w:sz w:val="23"/>
            <w:u w:val="single" w:color="006580"/>
          </w:rPr>
          <w:t>r</w:t>
        </w:r>
        <w:r>
          <w:rPr>
            <w:color w:val="006580"/>
            <w:spacing w:val="-83"/>
            <w:w w:val="98"/>
            <w:sz w:val="22"/>
            <w:u w:val="single" w:color="006580"/>
          </w:rPr>
          <w:t>o</w:t>
        </w:r>
        <w:r>
          <w:rPr>
            <w:rFonts w:ascii="Tahoma" w:hAnsi="Tahoma"/>
            <w:color w:val="ABABAB"/>
            <w:spacing w:val="9"/>
            <w:w w:val="110"/>
            <w:position w:val="3"/>
            <w:sz w:val="23"/>
            <w:u w:val="single" w:color="006580"/>
          </w:rPr>
          <w:t>i</w:t>
        </w:r>
        <w:r>
          <w:rPr>
            <w:rFonts w:ascii="Tahoma" w:hAnsi="Tahoma"/>
            <w:color w:val="ABABAB"/>
            <w:spacing w:val="-69"/>
            <w:w w:val="99"/>
            <w:position w:val="3"/>
            <w:sz w:val="23"/>
            <w:u w:val="single" w:color="006580"/>
          </w:rPr>
          <w:t>c</w:t>
        </w:r>
        <w:r>
          <w:rPr>
            <w:color w:val="006580"/>
            <w:spacing w:val="-26"/>
            <w:w w:val="98"/>
            <w:sz w:val="22"/>
            <w:u w:val="single" w:color="006580"/>
          </w:rPr>
          <w:t>o</w:t>
        </w:r>
        <w:r>
          <w:rPr>
            <w:rFonts w:ascii="Tahoma" w:hAnsi="Tahoma"/>
            <w:color w:val="ABABAB"/>
            <w:spacing w:val="-87"/>
            <w:w w:val="97"/>
            <w:position w:val="3"/>
            <w:sz w:val="23"/>
            <w:u w:val="single" w:color="006580"/>
          </w:rPr>
          <w:t>u</w:t>
        </w:r>
        <w:r>
          <w:rPr>
            <w:color w:val="006580"/>
            <w:spacing w:val="9"/>
            <w:w w:val="98"/>
            <w:sz w:val="22"/>
            <w:u w:val="single" w:color="006580"/>
          </w:rPr>
          <w:t>t</w:t>
        </w:r>
        <w:r>
          <w:rPr>
            <w:color w:val="006580"/>
            <w:spacing w:val="-70"/>
            <w:w w:val="98"/>
            <w:sz w:val="22"/>
            <w:u w:val="single" w:color="006580"/>
          </w:rPr>
          <w:t>b</w:t>
        </w:r>
        <w:r>
          <w:rPr>
            <w:rFonts w:ascii="Tahoma" w:hAnsi="Tahoma"/>
            <w:color w:val="ABABAB"/>
            <w:spacing w:val="9"/>
            <w:w w:val="110"/>
            <w:position w:val="3"/>
            <w:sz w:val="23"/>
            <w:u w:val="single" w:color="006580"/>
          </w:rPr>
          <w:t>l</w:t>
        </w:r>
        <w:r>
          <w:rPr>
            <w:rFonts w:ascii="Tahoma" w:hAnsi="Tahoma"/>
            <w:color w:val="ABABAB"/>
            <w:spacing w:val="-102"/>
            <w:w w:val="97"/>
            <w:position w:val="3"/>
            <w:sz w:val="23"/>
            <w:u w:val="single" w:color="006580"/>
          </w:rPr>
          <w:t>u</w:t>
        </w:r>
        <w:r>
          <w:rPr>
            <w:color w:val="006580"/>
            <w:spacing w:val="9"/>
            <w:w w:val="98"/>
            <w:sz w:val="22"/>
            <w:u w:val="single" w:color="006580"/>
          </w:rPr>
          <w:t>a</w:t>
        </w:r>
        <w:r>
          <w:rPr>
            <w:color w:val="006580"/>
            <w:spacing w:val="-42"/>
            <w:w w:val="98"/>
            <w:sz w:val="22"/>
            <w:u w:val="single" w:color="006580"/>
          </w:rPr>
          <w:t>l</w:t>
        </w:r>
        <w:r>
          <w:rPr>
            <w:rFonts w:ascii="Tahoma" w:hAnsi="Tahoma"/>
            <w:color w:val="ABABAB"/>
            <w:spacing w:val="-132"/>
            <w:w w:val="95"/>
            <w:position w:val="3"/>
            <w:sz w:val="23"/>
            <w:u w:val="single" w:color="006580"/>
          </w:rPr>
          <w:t>m</w:t>
        </w:r>
        <w:r>
          <w:rPr>
            <w:color w:val="006580"/>
            <w:spacing w:val="9"/>
            <w:w w:val="98"/>
            <w:sz w:val="22"/>
            <w:u w:val="single" w:color="006580"/>
          </w:rPr>
          <w:t>l</w:t>
        </w:r>
        <w:r>
          <w:rPr>
            <w:color w:val="006580"/>
            <w:sz w:val="22"/>
            <w:u w:val="single" w:color="006580"/>
          </w:rPr>
          <w:t> </w:t>
        </w:r>
        <w:r>
          <w:rPr>
            <w:color w:val="006580"/>
            <w:spacing w:val="-36"/>
            <w:sz w:val="22"/>
            <w:u w:val="single" w:color="006580"/>
          </w:rPr>
          <w:t>L</w:t>
        </w:r>
        <w:r>
          <w:rPr>
            <w:rFonts w:ascii="Tahoma" w:hAnsi="Tahoma"/>
            <w:color w:val="ABABAB"/>
            <w:spacing w:val="-36"/>
            <w:position w:val="3"/>
            <w:sz w:val="23"/>
            <w:u w:val="single" w:color="006580"/>
          </w:rPr>
          <w:t>V</w:t>
        </w:r>
        <w:r>
          <w:rPr>
            <w:color w:val="006580"/>
            <w:spacing w:val="-36"/>
            <w:sz w:val="22"/>
            <w:u w:val="single" w:color="006580"/>
          </w:rPr>
          <w:t>e</w:t>
        </w:r>
        <w:r>
          <w:rPr>
            <w:rFonts w:ascii="Tahoma" w:hAnsi="Tahoma"/>
            <w:color w:val="ABABAB"/>
            <w:spacing w:val="-36"/>
            <w:position w:val="3"/>
            <w:sz w:val="23"/>
            <w:u w:val="single" w:color="006580"/>
          </w:rPr>
          <w:t>i</w:t>
        </w:r>
        <w:r>
          <w:rPr>
            <w:color w:val="006580"/>
            <w:spacing w:val="-36"/>
            <w:sz w:val="22"/>
            <w:u w:val="single" w:color="006580"/>
          </w:rPr>
          <w:t>a</w:t>
        </w:r>
        <w:r>
          <w:rPr>
            <w:rFonts w:ascii="Tahoma" w:hAnsi="Tahoma"/>
            <w:color w:val="ABABAB"/>
            <w:spacing w:val="-36"/>
            <w:position w:val="3"/>
            <w:sz w:val="23"/>
          </w:rPr>
          <w:t>t</w:t>
        </w:r>
        <w:r>
          <w:rPr>
            <w:color w:val="006580"/>
            <w:spacing w:val="-36"/>
            <w:sz w:val="22"/>
          </w:rPr>
          <w:t>g</w:t>
        </w:r>
        <w:r>
          <w:rPr>
            <w:rFonts w:ascii="Tahoma" w:hAnsi="Tahoma"/>
            <w:color w:val="ABABAB"/>
            <w:spacing w:val="-36"/>
            <w:position w:val="3"/>
            <w:sz w:val="23"/>
          </w:rPr>
          <w:t>a</w:t>
        </w:r>
        <w:r>
          <w:rPr>
            <w:color w:val="006580"/>
            <w:spacing w:val="-36"/>
            <w:sz w:val="22"/>
            <w:u w:val="single" w:color="006580"/>
          </w:rPr>
          <w:t>u</w:t>
        </w:r>
        <w:r>
          <w:rPr>
            <w:rFonts w:ascii="Tahoma" w:hAnsi="Tahoma"/>
            <w:color w:val="ABABAB"/>
            <w:spacing w:val="-36"/>
            <w:position w:val="3"/>
            <w:sz w:val="23"/>
            <w:u w:val="single" w:color="006580"/>
          </w:rPr>
          <w:t>e</w:t>
        </w:r>
      </w:hyperlink>
      <w:hyperlink r:id="rId23">
        <w:r>
          <w:rPr>
            <w:color w:val="006580"/>
            <w:spacing w:val="-36"/>
            <w:sz w:val="22"/>
            <w:u w:val="single" w:color="006580"/>
          </w:rPr>
          <w:t>e</w:t>
        </w:r>
        <w:r>
          <w:rPr>
            <w:color w:val="006580"/>
            <w:sz w:val="22"/>
            <w:u w:val="single" w:color="006580"/>
          </w:rPr>
          <w:t> </w:t>
        </w:r>
        <w:r>
          <w:rPr>
            <w:color w:val="006580"/>
            <w:spacing w:val="5"/>
            <w:w w:val="99"/>
            <w:sz w:val="22"/>
            <w:u w:val="single" w:color="006580"/>
          </w:rPr>
          <w:t>Co</w:t>
        </w:r>
        <w:r>
          <w:rPr>
            <w:color w:val="006580"/>
            <w:spacing w:val="-88"/>
            <w:w w:val="99"/>
            <w:sz w:val="22"/>
            <w:u w:val="single" w:color="006580"/>
          </w:rPr>
          <w:t>n</w:t>
        </w:r>
      </w:hyperlink>
      <w:hyperlink r:id="rId9">
        <w:r>
          <w:rPr>
            <w:rFonts w:ascii="Tahoma" w:hAnsi="Tahoma"/>
            <w:color w:val="ABABAB"/>
            <w:spacing w:val="-67"/>
            <w:w w:val="116"/>
            <w:position w:val="3"/>
            <w:sz w:val="23"/>
            <w:u w:val="single" w:color="006580"/>
          </w:rPr>
          <w:t>C</w:t>
        </w:r>
        <w:r>
          <w:rPr>
            <w:color w:val="006580"/>
            <w:spacing w:val="5"/>
            <w:w w:val="99"/>
            <w:sz w:val="22"/>
            <w:u w:val="single" w:color="006580"/>
          </w:rPr>
          <w:t>t</w:t>
        </w:r>
        <w:r>
          <w:rPr>
            <w:color w:val="006580"/>
            <w:spacing w:val="-61"/>
            <w:w w:val="99"/>
            <w:sz w:val="22"/>
            <w:u w:val="single" w:color="006580"/>
          </w:rPr>
          <w:t>r</w:t>
        </w:r>
        <w:r>
          <w:rPr>
            <w:rFonts w:ascii="Tahoma" w:hAnsi="Tahoma"/>
            <w:color w:val="ABABAB"/>
            <w:spacing w:val="5"/>
            <w:w w:val="103"/>
            <w:position w:val="3"/>
            <w:sz w:val="23"/>
            <w:u w:val="single" w:color="006580"/>
          </w:rPr>
          <w:t>l</w:t>
        </w:r>
        <w:r>
          <w:rPr>
            <w:rFonts w:ascii="Tahoma" w:hAnsi="Tahoma"/>
            <w:color w:val="ABABAB"/>
            <w:spacing w:val="-99"/>
            <w:w w:val="91"/>
            <w:position w:val="3"/>
            <w:sz w:val="23"/>
            <w:u w:val="single" w:color="006580"/>
          </w:rPr>
          <w:t>a</w:t>
        </w:r>
        <w:r>
          <w:rPr>
            <w:color w:val="006580"/>
            <w:spacing w:val="5"/>
            <w:w w:val="99"/>
            <w:sz w:val="22"/>
            <w:u w:val="single" w:color="006580"/>
          </w:rPr>
          <w:t>a</w:t>
        </w:r>
        <w:r>
          <w:rPr>
            <w:color w:val="006580"/>
            <w:spacing w:val="-90"/>
            <w:w w:val="99"/>
            <w:sz w:val="22"/>
            <w:u w:val="single" w:color="006580"/>
          </w:rPr>
          <w:t>c</w:t>
        </w:r>
        <w:r>
          <w:rPr>
            <w:rFonts w:ascii="Tahoma" w:hAnsi="Tahoma"/>
            <w:color w:val="ABABAB"/>
            <w:spacing w:val="-1"/>
            <w:w w:val="95"/>
            <w:position w:val="3"/>
            <w:sz w:val="23"/>
            <w:u w:val="single" w:color="006580"/>
          </w:rPr>
          <w:t>s</w:t>
        </w:r>
        <w:r>
          <w:rPr>
            <w:color w:val="006580"/>
            <w:spacing w:val="-52"/>
            <w:w w:val="99"/>
            <w:sz w:val="22"/>
            <w:u w:val="single" w:color="006580"/>
          </w:rPr>
          <w:t>t</w:t>
        </w:r>
        <w:r>
          <w:rPr>
            <w:rFonts w:ascii="Tahoma" w:hAnsi="Tahoma"/>
            <w:color w:val="ABABAB"/>
            <w:spacing w:val="5"/>
            <w:w w:val="95"/>
            <w:position w:val="3"/>
            <w:sz w:val="23"/>
            <w:u w:val="single" w:color="006580"/>
          </w:rPr>
          <w:t>s</w:t>
        </w:r>
        <w:r>
          <w:rPr>
            <w:rFonts w:ascii="Tahoma" w:hAnsi="Tahoma"/>
            <w:color w:val="ABABAB"/>
            <w:spacing w:val="-102"/>
            <w:w w:val="96"/>
            <w:position w:val="3"/>
            <w:sz w:val="23"/>
            <w:u w:val="single" w:color="006580"/>
          </w:rPr>
          <w:t>e</w:t>
        </w:r>
        <w:r>
          <w:rPr>
            <w:color w:val="006580"/>
            <w:spacing w:val="-13"/>
            <w:w w:val="99"/>
            <w:sz w:val="22"/>
            <w:u w:val="single" w:color="006580"/>
          </w:rPr>
          <w:t>S</w:t>
        </w:r>
        <w:r>
          <w:rPr>
            <w:rFonts w:ascii="Tahoma" w:hAnsi="Tahoma"/>
            <w:color w:val="ABABAB"/>
            <w:spacing w:val="-78"/>
            <w:w w:val="95"/>
            <w:position w:val="3"/>
            <w:sz w:val="23"/>
            <w:u w:val="single" w:color="006580"/>
          </w:rPr>
          <w:t>s</w:t>
        </w:r>
        <w:r>
          <w:rPr>
            <w:color w:val="006580"/>
            <w:spacing w:val="5"/>
            <w:w w:val="99"/>
            <w:sz w:val="22"/>
            <w:u w:val="single" w:color="006580"/>
          </w:rPr>
          <w:t>t</w:t>
        </w:r>
      </w:hyperlink>
      <w:hyperlink r:id="rId23">
        <w:r>
          <w:rPr>
            <w:color w:val="006580"/>
            <w:spacing w:val="5"/>
            <w:w w:val="99"/>
            <w:sz w:val="22"/>
            <w:u w:val="single" w:color="006580"/>
          </w:rPr>
          <w:t>ruct</w:t>
        </w:r>
        <w:r>
          <w:rPr>
            <w:color w:val="006580"/>
            <w:spacing w:val="-55"/>
            <w:w w:val="99"/>
            <w:sz w:val="22"/>
            <w:u w:val="single" w:color="006580"/>
          </w:rPr>
          <w:t>u</w:t>
        </w:r>
      </w:hyperlink>
      <w:hyperlink r:id="rId11">
        <w:r>
          <w:rPr>
            <w:rFonts w:ascii="Tahoma" w:hAnsi="Tahoma"/>
            <w:color w:val="ABABAB"/>
            <w:spacing w:val="-122"/>
            <w:w w:val="112"/>
            <w:position w:val="3"/>
            <w:sz w:val="23"/>
            <w:u w:val="single" w:color="006580"/>
          </w:rPr>
          <w:t>O</w:t>
        </w:r>
        <w:r>
          <w:rPr>
            <w:color w:val="006580"/>
            <w:spacing w:val="5"/>
            <w:w w:val="99"/>
            <w:sz w:val="22"/>
            <w:u w:val="single" w:color="006580"/>
          </w:rPr>
          <w:t>r</w:t>
        </w:r>
        <w:r>
          <w:rPr>
            <w:color w:val="006580"/>
            <w:spacing w:val="-42"/>
            <w:w w:val="99"/>
            <w:sz w:val="22"/>
            <w:u w:val="single" w:color="006580"/>
          </w:rPr>
          <w:t>e</w:t>
        </w:r>
        <w:r>
          <w:rPr>
            <w:rFonts w:ascii="Tahoma" w:hAnsi="Tahoma"/>
            <w:color w:val="ABABAB"/>
            <w:spacing w:val="-32"/>
            <w:w w:val="105"/>
            <w:position w:val="3"/>
            <w:sz w:val="23"/>
            <w:u w:val="single" w:color="006580"/>
          </w:rPr>
          <w:t>t</w:t>
        </w:r>
        <w:r>
          <w:rPr>
            <w:color w:val="006580"/>
            <w:spacing w:val="-58"/>
            <w:w w:val="99"/>
            <w:sz w:val="22"/>
            <w:u w:val="single" w:color="006580"/>
          </w:rPr>
          <w:t>”</w:t>
        </w:r>
        <w:r>
          <w:rPr>
            <w:rFonts w:ascii="Tahoma" w:hAnsi="Tahoma"/>
            <w:color w:val="ABABAB"/>
            <w:spacing w:val="-59"/>
            <w:w w:val="96"/>
            <w:position w:val="3"/>
            <w:sz w:val="23"/>
            <w:u w:val="single" w:color="006580"/>
          </w:rPr>
          <w:t>h</w:t>
        </w:r>
        <w:r>
          <w:rPr>
            <w:spacing w:val="12"/>
            <w:w w:val="99"/>
            <w:sz w:val="22"/>
          </w:rPr>
          <w:t>,</w:t>
        </w:r>
        <w:r>
          <w:rPr>
            <w:rFonts w:ascii="Tahoma" w:hAnsi="Tahoma"/>
            <w:color w:val="ABABAB"/>
            <w:spacing w:val="-66"/>
            <w:w w:val="96"/>
            <w:position w:val="3"/>
            <w:sz w:val="23"/>
          </w:rPr>
          <w:t>e</w:t>
        </w:r>
        <w:r>
          <w:rPr>
            <w:spacing w:val="-86"/>
            <w:w w:val="99"/>
            <w:sz w:val="22"/>
          </w:rPr>
          <w:t>w</w:t>
        </w:r>
        <w:r>
          <w:rPr>
            <w:rFonts w:ascii="Tahoma" w:hAnsi="Tahoma"/>
            <w:color w:val="ABABAB"/>
            <w:spacing w:val="3"/>
            <w:w w:val="109"/>
            <w:position w:val="3"/>
            <w:sz w:val="23"/>
          </w:rPr>
          <w:t>r</w:t>
        </w:r>
        <w:r>
          <w:rPr>
            <w:spacing w:val="-11"/>
            <w:w w:val="99"/>
            <w:sz w:val="22"/>
          </w:rPr>
          <w:t>i</w:t>
        </w:r>
        <w:r>
          <w:rPr>
            <w:rFonts w:ascii="Tahoma" w:hAnsi="Tahoma"/>
            <w:color w:val="ABABAB"/>
            <w:spacing w:val="-127"/>
            <w:position w:val="3"/>
            <w:sz w:val="23"/>
          </w:rPr>
          <w:t>R</w:t>
        </w:r>
        <w:r>
          <w:rPr>
            <w:spacing w:val="5"/>
            <w:w w:val="99"/>
            <w:sz w:val="22"/>
          </w:rPr>
          <w:t>t</w:t>
        </w:r>
        <w:r>
          <w:rPr>
            <w:spacing w:val="-37"/>
            <w:w w:val="99"/>
            <w:sz w:val="22"/>
          </w:rPr>
          <w:t>h</w:t>
        </w:r>
        <w:r>
          <w:rPr>
            <w:rFonts w:ascii="Tahoma" w:hAnsi="Tahoma"/>
            <w:color w:val="ABABAB"/>
            <w:spacing w:val="-17"/>
            <w:w w:val="96"/>
            <w:position w:val="3"/>
            <w:sz w:val="23"/>
          </w:rPr>
          <w:t>e</w:t>
        </w:r>
        <w:r>
          <w:rPr>
            <w:spacing w:val="-61"/>
            <w:w w:val="99"/>
            <w:sz w:val="22"/>
          </w:rPr>
          <w:t>J</w:t>
        </w:r>
        <w:r>
          <w:rPr>
            <w:rFonts w:ascii="Tahoma" w:hAnsi="Tahoma"/>
            <w:color w:val="ABABAB"/>
            <w:spacing w:val="-30"/>
            <w:w w:val="95"/>
            <w:position w:val="3"/>
            <w:sz w:val="23"/>
          </w:rPr>
          <w:t>s</w:t>
        </w:r>
        <w:r>
          <w:rPr>
            <w:spacing w:val="-72"/>
            <w:w w:val="99"/>
            <w:sz w:val="22"/>
          </w:rPr>
          <w:t>o</w:t>
        </w:r>
        <w:r>
          <w:rPr>
            <w:rFonts w:ascii="Tahoma" w:hAnsi="Tahoma"/>
            <w:color w:val="ABABAB"/>
            <w:spacing w:val="-45"/>
            <w:w w:val="98"/>
            <w:position w:val="3"/>
            <w:sz w:val="23"/>
          </w:rPr>
          <w:t>o</w:t>
        </w:r>
        <w:r>
          <w:rPr>
            <w:spacing w:val="-45"/>
            <w:w w:val="99"/>
            <w:sz w:val="22"/>
          </w:rPr>
          <w:t>e</w:t>
        </w:r>
        <w:r>
          <w:rPr>
            <w:rFonts w:ascii="Tahoma" w:hAnsi="Tahoma"/>
            <w:color w:val="ABABAB"/>
            <w:spacing w:val="-16"/>
            <w:w w:val="96"/>
            <w:position w:val="3"/>
            <w:sz w:val="23"/>
          </w:rPr>
          <w:t>u</w:t>
        </w:r>
        <w:r>
          <w:rPr>
            <w:spacing w:val="-136"/>
            <w:w w:val="99"/>
            <w:sz w:val="22"/>
          </w:rPr>
          <w:t>O</w:t>
        </w:r>
        <w:r>
          <w:rPr>
            <w:rFonts w:ascii="Tahoma" w:hAnsi="Tahoma"/>
            <w:color w:val="ABABAB"/>
            <w:spacing w:val="5"/>
            <w:w w:val="109"/>
            <w:position w:val="3"/>
            <w:sz w:val="23"/>
          </w:rPr>
          <w:t>r</w:t>
        </w:r>
        <w:r>
          <w:rPr>
            <w:rFonts w:ascii="Tahoma" w:hAnsi="Tahoma"/>
            <w:color w:val="ABABAB"/>
            <w:spacing w:val="-53"/>
            <w:w w:val="97"/>
            <w:position w:val="3"/>
            <w:sz w:val="23"/>
          </w:rPr>
          <w:t>c</w:t>
        </w:r>
        <w:r>
          <w:rPr>
            <w:spacing w:val="-12"/>
            <w:w w:val="99"/>
            <w:sz w:val="22"/>
          </w:rPr>
          <w:t>r</w:t>
        </w:r>
        <w:r>
          <w:rPr>
            <w:rFonts w:ascii="Tahoma" w:hAnsi="Tahoma"/>
            <w:color w:val="ABABAB"/>
            <w:spacing w:val="-98"/>
            <w:w w:val="96"/>
            <w:position w:val="3"/>
            <w:sz w:val="23"/>
          </w:rPr>
          <w:t>e</w:t>
        </w:r>
        <w:r>
          <w:rPr>
            <w:spacing w:val="5"/>
            <w:w w:val="99"/>
            <w:sz w:val="22"/>
          </w:rPr>
          <w:t>s</w:t>
        </w:r>
        <w:r>
          <w:rPr>
            <w:spacing w:val="-42"/>
            <w:w w:val="99"/>
            <w:sz w:val="22"/>
          </w:rPr>
          <w:t>i</w:t>
        </w:r>
        <w:r>
          <w:rPr>
            <w:rFonts w:ascii="Tahoma" w:hAnsi="Tahoma"/>
            <w:color w:val="ABABAB"/>
            <w:spacing w:val="-49"/>
            <w:w w:val="95"/>
            <w:position w:val="3"/>
            <w:sz w:val="23"/>
          </w:rPr>
          <w:t>s</w:t>
        </w:r>
      </w:hyperlink>
      <w:r>
        <w:rPr>
          <w:spacing w:val="5"/>
          <w:w w:val="99"/>
          <w:sz w:val="22"/>
        </w:rPr>
        <w:t>ni</w:t>
      </w:r>
      <w:r>
        <w:rPr>
          <w:sz w:val="22"/>
        </w:rPr>
        <w:t> </w:t>
      </w:r>
      <w:r>
        <w:rPr>
          <w:spacing w:val="-36"/>
          <w:sz w:val="22"/>
        </w:rPr>
        <w:t>and</w:t>
      </w:r>
      <w:r>
        <w:rPr>
          <w:sz w:val="22"/>
        </w:rPr>
        <w:t> Meng-Chi Tang, </w:t>
      </w:r>
      <w:r>
        <w:rPr>
          <w:i/>
          <w:sz w:val="22"/>
        </w:rPr>
        <w:t>Economic Letters</w:t>
      </w:r>
      <w:r>
        <w:rPr>
          <w:sz w:val="22"/>
        </w:rPr>
        <w:t>, Volume 121, Issue 2, November 2013, Pages 275-281.</w:t>
      </w:r>
    </w:p>
    <w:p>
      <w:pPr>
        <w:spacing w:line="304" w:lineRule="auto" w:before="51"/>
        <w:ind w:left="749" w:right="142" w:firstLine="55"/>
        <w:jc w:val="left"/>
        <w:rPr>
          <w:sz w:val="22"/>
        </w:rPr>
      </w:pPr>
      <w:hyperlink r:id="rId24">
        <w:r>
          <w:rPr>
            <w:color w:val="006580"/>
            <w:sz w:val="22"/>
            <w:u w:val="single" w:color="006580"/>
          </w:rPr>
          <w:t>“The Deer Hunter: The Unintended</w:t>
        </w:r>
        <w:r>
          <w:rPr>
            <w:color w:val="006580"/>
            <w:spacing w:val="-7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Affects of Hunting</w:t>
        </w:r>
        <w:r>
          <w:rPr>
            <w:color w:val="006580"/>
            <w:spacing w:val="-37"/>
            <w:sz w:val="22"/>
          </w:rPr>
          <w:t> </w:t>
        </w:r>
        <w:r>
          <w:rPr>
            <w:color w:val="006580"/>
            <w:spacing w:val="-12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Regulations”</w:t>
        </w:r>
      </w:hyperlink>
      <w:r>
        <w:rPr>
          <w:sz w:val="22"/>
        </w:rPr>
        <w:t>, with Stacy Dickert-Conlin and John Pepper, </w:t>
      </w:r>
      <w:r>
        <w:rPr>
          <w:i/>
          <w:sz w:val="22"/>
        </w:rPr>
        <w:t>The Review of Economics and Statistics</w:t>
      </w:r>
      <w:r>
        <w:rPr>
          <w:sz w:val="22"/>
        </w:rPr>
        <w:t>, 91(1): 178-187, February 2009.</w:t>
      </w:r>
    </w:p>
    <w:p>
      <w:pPr>
        <w:pStyle w:val="BodyText"/>
        <w:spacing w:line="304" w:lineRule="auto"/>
        <w:ind w:left="749" w:right="142" w:firstLine="55"/>
      </w:pPr>
      <w:hyperlink r:id="rId25">
        <w:r>
          <w:rPr>
            <w:color w:val="006580"/>
            <w:u w:val="single" w:color="006580"/>
          </w:rPr>
          <w:t>“The Performance of the Pivotal Voter Model in Small-Scale Elections: Evidence from Texas Liquor</w:t>
        </w:r>
      </w:hyperlink>
      <w:r>
        <w:rPr>
          <w:color w:val="006580"/>
        </w:rPr>
        <w:t> </w:t>
      </w:r>
      <w:hyperlink r:id="rId25">
        <w:r>
          <w:rPr>
            <w:color w:val="006580"/>
            <w:u w:val="single" w:color="006580"/>
          </w:rPr>
          <w:t>Referenda”</w:t>
        </w:r>
      </w:hyperlink>
      <w:r>
        <w:rPr/>
        <w:t>, with Steve Coate and</w:t>
      </w:r>
      <w:r>
        <w:rPr>
          <w:spacing w:val="-7"/>
        </w:rPr>
        <w:t> </w:t>
      </w:r>
      <w:r>
        <w:rPr/>
        <w:t>Andrea Moro, </w:t>
      </w:r>
      <w:r>
        <w:rPr>
          <w:i/>
        </w:rPr>
        <w:t>The Journal of Public Economics</w:t>
      </w:r>
      <w:r>
        <w:rPr/>
        <w:t>, 92(2-3): 582-596,</w:t>
      </w:r>
      <w:r>
        <w:rPr>
          <w:spacing w:val="-7"/>
        </w:rPr>
        <w:t> </w:t>
      </w:r>
      <w:r>
        <w:rPr/>
        <w:t>April </w:t>
      </w:r>
      <w:r>
        <w:rPr>
          <w:spacing w:val="-2"/>
        </w:rPr>
        <w:t>2008.</w:t>
      </w:r>
    </w:p>
    <w:p>
      <w:pPr>
        <w:pStyle w:val="BodyText"/>
        <w:spacing w:line="304" w:lineRule="auto"/>
        <w:ind w:left="749" w:firstLine="55"/>
      </w:pPr>
      <w:r>
        <w:rPr/>
        <w:t>“</w:t>
      </w:r>
      <w:hyperlink r:id="rId26">
        <w:r>
          <w:rPr>
            <w:color w:val="006580"/>
            <w:u w:val="single" w:color="006580"/>
          </w:rPr>
          <w:t>Pro</w:t>
        </w:r>
        <w:r>
          <w:rPr>
            <w:color w:val="006580"/>
          </w:rPr>
          <w:t>j</w:t>
        </w:r>
        <w:r>
          <w:rPr>
            <w:color w:val="006580"/>
            <w:u w:val="single" w:color="006580"/>
          </w:rPr>
          <w:t>ection Bias in Catalogue Orders</w:t>
        </w:r>
      </w:hyperlink>
      <w:r>
        <w:rPr/>
        <w:t>” with</w:t>
      </w:r>
      <w:r>
        <w:rPr>
          <w:spacing w:val="-2"/>
        </w:rPr>
        <w:t> </w:t>
      </w:r>
      <w:r>
        <w:rPr/>
        <w:t>Ted O’Donoghue and</w:t>
      </w:r>
      <w:r>
        <w:rPr>
          <w:spacing w:val="-2"/>
        </w:rPr>
        <w:t> </w:t>
      </w:r>
      <w:r>
        <w:rPr/>
        <w:t>Timothy</w:t>
      </w:r>
      <w:r>
        <w:rPr>
          <w:spacing w:val="-2"/>
        </w:rPr>
        <w:t> </w:t>
      </w:r>
      <w:r>
        <w:rPr/>
        <w:t>Vogelsang, </w:t>
      </w:r>
      <w:r>
        <w:rPr>
          <w:i/>
        </w:rPr>
        <w:t>The American Economic Review</w:t>
      </w:r>
      <w:r>
        <w:rPr/>
        <w:t>, 97(4): 1217-1249, September 2007.</w:t>
      </w:r>
    </w:p>
    <w:p>
      <w:pPr>
        <w:spacing w:line="304" w:lineRule="auto" w:before="0"/>
        <w:ind w:left="749" w:right="0" w:firstLine="55"/>
        <w:jc w:val="left"/>
        <w:rPr>
          <w:sz w:val="22"/>
        </w:rPr>
      </w:pPr>
      <w:hyperlink r:id="rId27">
        <w:r>
          <w:rPr>
            <w:color w:val="006580"/>
            <w:sz w:val="22"/>
            <w:u w:val="single" w:color="006580"/>
          </w:rPr>
          <w:t>“Entry</w:t>
        </w:r>
        <w:r>
          <w:rPr>
            <w:color w:val="006580"/>
            <w:spacing w:val="34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Deterring</w:t>
        </w:r>
        <w:r>
          <w:rPr>
            <w:color w:val="006580"/>
            <w:spacing w:val="-12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Capacity</w:t>
        </w:r>
        <w:r>
          <w:rPr>
            <w:color w:val="006580"/>
            <w:spacing w:val="35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in</w:t>
        </w:r>
        <w:r>
          <w:rPr>
            <w:color w:val="006580"/>
            <w:spacing w:val="-2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the</w:t>
        </w:r>
        <w:r>
          <w:rPr>
            <w:color w:val="006580"/>
            <w:spacing w:val="-6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Texas</w:t>
        </w:r>
        <w:r>
          <w:rPr>
            <w:color w:val="006580"/>
            <w:spacing w:val="-2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Lodging</w:t>
        </w:r>
        <w:r>
          <w:rPr>
            <w:color w:val="006580"/>
            <w:spacing w:val="-12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Industry</w:t>
        </w:r>
        <w:r>
          <w:rPr>
            <w:color w:val="006580"/>
            <w:spacing w:val="-18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”</w:t>
        </w:r>
      </w:hyperlink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Vrinda</w:t>
      </w:r>
      <w:r>
        <w:rPr>
          <w:spacing w:val="-2"/>
          <w:sz w:val="22"/>
        </w:rPr>
        <w:t> </w:t>
      </w:r>
      <w:r>
        <w:rPr>
          <w:sz w:val="22"/>
        </w:rPr>
        <w:t>Kadiyali,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 Management Strategy</w:t>
      </w:r>
      <w:r>
        <w:rPr>
          <w:sz w:val="22"/>
        </w:rPr>
        <w:t>, 15(1): 167-185, Spring 2006.</w:t>
      </w:r>
    </w:p>
    <w:p>
      <w:pPr>
        <w:spacing w:line="309" w:lineRule="auto" w:before="0"/>
        <w:ind w:left="749" w:right="142" w:firstLine="0"/>
        <w:jc w:val="left"/>
        <w:rPr>
          <w:sz w:val="22"/>
        </w:rPr>
      </w:pPr>
      <w:hyperlink r:id="rId28">
        <w:r>
          <w:rPr>
            <w:color w:val="006580"/>
            <w:sz w:val="22"/>
            <w:u w:val="single" w:color="006580"/>
          </w:rPr>
          <w:t>“Discrimination in Hiring v. Retention and Promotion:</w:t>
        </w:r>
        <w:r>
          <w:rPr>
            <w:color w:val="006580"/>
            <w:spacing w:val="-5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An Empirical</w:t>
        </w:r>
        <w:r>
          <w:rPr>
            <w:color w:val="006580"/>
            <w:spacing w:val="-5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Analysis of Within Firm Treatment of</w:t>
        </w:r>
      </w:hyperlink>
      <w:r>
        <w:rPr>
          <w:color w:val="006580"/>
          <w:sz w:val="22"/>
        </w:rPr>
        <w:t> </w:t>
      </w:r>
      <w:hyperlink r:id="rId28">
        <w:r>
          <w:rPr>
            <w:color w:val="006580"/>
            <w:sz w:val="22"/>
            <w:u w:val="single" w:color="006580"/>
          </w:rPr>
          <w:t>Workers in the NFL”</w:t>
        </w:r>
      </w:hyperlink>
      <w:r>
        <w:rPr>
          <w:sz w:val="22"/>
        </w:rPr>
        <w:t>, with Patrick Emerson, </w:t>
      </w:r>
      <w:r>
        <w:rPr>
          <w:i/>
          <w:sz w:val="22"/>
        </w:rPr>
        <w:t>The Journal of Law, Economics and Organization</w:t>
      </w:r>
      <w:r>
        <w:rPr>
          <w:sz w:val="22"/>
        </w:rPr>
        <w:t>, 22(1): 115- 136, April 2006.</w:t>
      </w:r>
    </w:p>
    <w:p>
      <w:pPr>
        <w:pStyle w:val="BodyText"/>
        <w:spacing w:line="304" w:lineRule="auto"/>
        <w:ind w:left="749" w:right="282" w:firstLine="55"/>
      </w:pPr>
      <w:hyperlink r:id="rId29">
        <w:r>
          <w:rPr>
            <w:color w:val="006580"/>
            <w:u w:val="single" w:color="006580"/>
          </w:rPr>
          <w:t>“The Effect of Alcohol Prohibition on Illicit Drug</w:t>
        </w:r>
        <w:r>
          <w:rPr>
            <w:color w:val="006580"/>
            <w:spacing w:val="-33"/>
          </w:rPr>
          <w:t> </w:t>
        </w:r>
        <w:r>
          <w:rPr>
            <w:color w:val="006580"/>
            <w:spacing w:val="-2"/>
            <w:u w:val="single" w:color="006580"/>
          </w:rPr>
          <w:t> </w:t>
        </w:r>
        <w:r>
          <w:rPr>
            <w:color w:val="006580"/>
            <w:u w:val="single" w:color="006580"/>
          </w:rPr>
          <w:t>Related Crimes: An Unintended Consequence of</w:t>
        </w:r>
      </w:hyperlink>
      <w:r>
        <w:rPr>
          <w:color w:val="006580"/>
        </w:rPr>
        <w:t> </w:t>
      </w:r>
      <w:hyperlink r:id="rId29">
        <w:r>
          <w:rPr>
            <w:color w:val="006580"/>
            <w:u w:val="single" w:color="006580"/>
          </w:rPr>
          <w:t>Regulation”</w:t>
        </w:r>
      </w:hyperlink>
      <w:r>
        <w:rPr/>
        <w:t>, with Stacy Dickert-Conlin and John Pepper, </w:t>
      </w:r>
      <w:r>
        <w:rPr>
          <w:i/>
        </w:rPr>
        <w:t>The Journal of Law and Economics, </w:t>
      </w:r>
      <w:r>
        <w:rPr/>
        <w:t>XLVIII(1): 215-234, April 2005.</w:t>
      </w:r>
    </w:p>
    <w:p>
      <w:pPr>
        <w:pStyle w:val="BodyText"/>
        <w:spacing w:line="304" w:lineRule="auto"/>
        <w:ind w:left="749"/>
      </w:pPr>
      <w:hyperlink r:id="rId30">
        <w:r>
          <w:rPr>
            <w:color w:val="006580"/>
            <w:u w:val="single" w:color="006580"/>
          </w:rPr>
          <w:t>“A</w:t>
        </w:r>
        <w:r>
          <w:rPr>
            <w:color w:val="006580"/>
            <w:spacing w:val="-14"/>
            <w:u w:val="single" w:color="006580"/>
          </w:rPr>
          <w:t> </w:t>
        </w:r>
        <w:r>
          <w:rPr>
            <w:color w:val="006580"/>
            <w:u w:val="single" w:color="006580"/>
          </w:rPr>
          <w:t>Group</w:t>
        </w:r>
        <w:r>
          <w:rPr>
            <w:color w:val="006580"/>
            <w:spacing w:val="32"/>
            <w:u w:val="single" w:color="006580"/>
          </w:rPr>
          <w:t> </w:t>
        </w:r>
        <w:r>
          <w:rPr>
            <w:color w:val="006580"/>
            <w:u w:val="single" w:color="006580"/>
          </w:rPr>
          <w:t>Rule-Utilitarian</w:t>
        </w:r>
        <w:r>
          <w:rPr>
            <w:color w:val="006580"/>
            <w:spacing w:val="-14"/>
            <w:u w:val="single" w:color="006580"/>
          </w:rPr>
          <w:t> </w:t>
        </w:r>
        <w:r>
          <w:rPr>
            <w:color w:val="006580"/>
            <w:u w:val="single" w:color="006580"/>
          </w:rPr>
          <w:t>A</w:t>
        </w:r>
        <w:r>
          <w:rPr>
            <w:color w:val="006580"/>
          </w:rPr>
          <w:t>p</w:t>
        </w:r>
        <w:r>
          <w:rPr>
            <w:color w:val="006580"/>
            <w:spacing w:val="-7"/>
            <w:u w:val="single" w:color="006580"/>
          </w:rPr>
          <w:t> </w:t>
        </w:r>
        <w:r>
          <w:rPr>
            <w:color w:val="006580"/>
            <w:spacing w:val="-55"/>
          </w:rPr>
          <w:t>p</w:t>
        </w:r>
        <w:r>
          <w:rPr>
            <w:color w:val="006580"/>
            <w:spacing w:val="-2"/>
            <w:u w:val="single" w:color="006580"/>
          </w:rPr>
          <w:t> </w:t>
        </w:r>
        <w:r>
          <w:rPr>
            <w:color w:val="006580"/>
            <w:u w:val="single" w:color="006580"/>
          </w:rPr>
          <w:t>roach</w:t>
        </w:r>
        <w:r>
          <w:rPr>
            <w:color w:val="006580"/>
            <w:spacing w:val="-6"/>
            <w:u w:val="single" w:color="006580"/>
          </w:rPr>
          <w:t> </w:t>
        </w:r>
        <w:r>
          <w:rPr>
            <w:color w:val="006580"/>
            <w:u w:val="single" w:color="006580"/>
          </w:rPr>
          <w:t>to</w:t>
        </w:r>
        <w:r>
          <w:rPr>
            <w:color w:val="006580"/>
            <w:spacing w:val="-10"/>
            <w:u w:val="single" w:color="006580"/>
          </w:rPr>
          <w:t> </w:t>
        </w:r>
        <w:r>
          <w:rPr>
            <w:color w:val="006580"/>
            <w:u w:val="single" w:color="006580"/>
          </w:rPr>
          <w:t>Voter</w:t>
        </w:r>
        <w:r>
          <w:rPr>
            <w:color w:val="006580"/>
            <w:spacing w:val="-10"/>
            <w:u w:val="single" w:color="006580"/>
          </w:rPr>
          <w:t> </w:t>
        </w:r>
        <w:r>
          <w:rPr>
            <w:color w:val="006580"/>
            <w:u w:val="single" w:color="006580"/>
          </w:rPr>
          <w:t>Turnout:</w:t>
        </w:r>
        <w:r>
          <w:rPr>
            <w:color w:val="006580"/>
            <w:spacing w:val="-10"/>
            <w:u w:val="single" w:color="006580"/>
          </w:rPr>
          <w:t> </w:t>
        </w:r>
        <w:r>
          <w:rPr>
            <w:color w:val="006580"/>
            <w:u w:val="single" w:color="006580"/>
          </w:rPr>
          <w:t>Theory</w:t>
        </w:r>
        <w:r>
          <w:rPr>
            <w:color w:val="006580"/>
            <w:spacing w:val="24"/>
            <w:u w:val="single" w:color="006580"/>
          </w:rPr>
          <w:t> </w:t>
        </w:r>
        <w:r>
          <w:rPr>
            <w:color w:val="006580"/>
            <w:u w:val="single" w:color="006580"/>
          </w:rPr>
          <w:t>and</w:t>
        </w:r>
        <w:r>
          <w:rPr>
            <w:color w:val="006580"/>
            <w:spacing w:val="-6"/>
            <w:u w:val="single" w:color="006580"/>
          </w:rPr>
          <w:t> </w:t>
        </w:r>
        <w:r>
          <w:rPr>
            <w:color w:val="006580"/>
            <w:u w:val="single" w:color="006580"/>
          </w:rPr>
          <w:t>Evidence”</w:t>
        </w:r>
      </w:hyperlink>
      <w:r>
        <w:rPr/>
        <w:t>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Steve</w:t>
      </w:r>
      <w:r>
        <w:rPr>
          <w:spacing w:val="-6"/>
        </w:rPr>
        <w:t> </w:t>
      </w:r>
      <w:r>
        <w:rPr/>
        <w:t>Coate,</w:t>
      </w:r>
      <w:r>
        <w:rPr>
          <w:spacing w:val="-6"/>
        </w:rPr>
        <w:t> </w:t>
      </w:r>
      <w:r>
        <w:rPr>
          <w:i/>
        </w:rPr>
        <w:t>The American Economic Review</w:t>
      </w:r>
      <w:r>
        <w:rPr/>
        <w:t>, 94(5): 1476-1504, December 2004.</w:t>
      </w:r>
    </w:p>
    <w:p>
      <w:pPr>
        <w:spacing w:line="304" w:lineRule="auto" w:before="0"/>
        <w:ind w:left="749" w:right="0" w:firstLine="0"/>
        <w:jc w:val="left"/>
        <w:rPr>
          <w:sz w:val="21"/>
        </w:rPr>
      </w:pPr>
      <w:hyperlink r:id="rId31">
        <w:r>
          <w:rPr>
            <w:color w:val="006580"/>
            <w:sz w:val="22"/>
            <w:u w:val="single" w:color="006580"/>
          </w:rPr>
          <w:t>“The Performance of REIT-owned Properties and the Impact of REIT</w:t>
        </w:r>
        <w:r>
          <w:rPr>
            <w:color w:val="006580"/>
            <w:spacing w:val="-1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Market Power”</w:t>
        </w:r>
      </w:hyperlink>
      <w:r>
        <w:rPr>
          <w:sz w:val="22"/>
        </w:rPr>
        <w:t>, with Peter Brady, </w:t>
      </w:r>
      <w:r>
        <w:rPr>
          <w:i/>
          <w:sz w:val="22"/>
        </w:rPr>
        <w:t>The Journal of Real Estate Finance and Economics</w:t>
      </w:r>
      <w:r>
        <w:rPr>
          <w:sz w:val="22"/>
        </w:rPr>
        <w:t>, 28(1): 81-95, January 2004</w:t>
      </w:r>
      <w:r>
        <w:rPr>
          <w:sz w:val="21"/>
        </w:rPr>
        <w:t>.</w:t>
      </w:r>
    </w:p>
    <w:p>
      <w:pPr>
        <w:spacing w:line="304" w:lineRule="auto" w:before="0"/>
        <w:ind w:left="749" w:right="142" w:firstLine="0"/>
        <w:jc w:val="left"/>
        <w:rPr>
          <w:sz w:val="22"/>
        </w:rPr>
      </w:pPr>
      <w:r>
        <w:rPr>
          <w:sz w:val="22"/>
        </w:rPr>
        <w:t>“</w:t>
      </w:r>
      <w:hyperlink r:id="rId32">
        <w:r>
          <w:rPr>
            <w:color w:val="006580"/>
            <w:sz w:val="22"/>
            <w:u w:val="single" w:color="006580"/>
          </w:rPr>
          <w:t>The Norm of Restaurant</w:t>
        </w:r>
        <w:r>
          <w:rPr>
            <w:color w:val="006580"/>
            <w:spacing w:val="-4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Ti</w:t>
        </w:r>
        <w:r>
          <w:rPr>
            <w:color w:val="006580"/>
            <w:sz w:val="22"/>
          </w:rPr>
          <w:t>p</w:t>
        </w:r>
        <w:r>
          <w:rPr>
            <w:color w:val="006580"/>
            <w:spacing w:val="-2"/>
            <w:sz w:val="22"/>
            <w:u w:val="single" w:color="006580"/>
          </w:rPr>
          <w:t> </w:t>
        </w:r>
        <w:r>
          <w:rPr>
            <w:color w:val="006580"/>
            <w:spacing w:val="-55"/>
            <w:sz w:val="22"/>
          </w:rPr>
          <w:t>p</w:t>
        </w:r>
        <w:r>
          <w:rPr>
            <w:color w:val="006580"/>
            <w:spacing w:val="-2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ing</w:t>
        </w:r>
      </w:hyperlink>
      <w:r>
        <w:rPr>
          <w:color w:val="006580"/>
          <w:sz w:val="22"/>
        </w:rPr>
        <w:t> </w:t>
      </w:r>
      <w:r>
        <w:rPr>
          <w:sz w:val="22"/>
        </w:rPr>
        <w:t>”, with</w:t>
      </w:r>
      <w:r>
        <w:rPr>
          <w:spacing w:val="-4"/>
          <w:sz w:val="22"/>
        </w:rPr>
        <w:t> </w:t>
      </w:r>
      <w:r>
        <w:rPr>
          <w:sz w:val="22"/>
        </w:rPr>
        <w:t>Ted O’Donoghue and Mike Lynn, </w:t>
      </w:r>
      <w:r>
        <w:rPr>
          <w:i/>
          <w:sz w:val="22"/>
        </w:rPr>
        <w:t>Journal of Economic Behavior and Organization</w:t>
      </w:r>
      <w:r>
        <w:rPr>
          <w:sz w:val="22"/>
        </w:rPr>
        <w:t>, 52(3): 297-321, November 2003.</w:t>
      </w:r>
    </w:p>
    <w:p>
      <w:pPr>
        <w:pStyle w:val="BodyText"/>
        <w:spacing w:line="304" w:lineRule="auto"/>
        <w:ind w:left="749" w:right="142"/>
      </w:pPr>
      <w:r>
        <w:rPr/>
        <w:t>“</w:t>
      </w:r>
      <w:hyperlink r:id="rId33">
        <w:r>
          <w:rPr>
            <w:color w:val="006580"/>
            <w:u w:val="single" w:color="006580"/>
          </w:rPr>
          <w:t>Multi-Dimensional Separating Equilibrium and Moral Hazard: An Empirical Study</w:t>
        </w:r>
        <w:r>
          <w:rPr>
            <w:color w:val="006580"/>
            <w:spacing w:val="40"/>
            <w:u w:val="single" w:color="006580"/>
          </w:rPr>
          <w:t> </w:t>
        </w:r>
        <w:r>
          <w:rPr>
            <w:color w:val="006580"/>
            <w:u w:val="single" w:color="006580"/>
          </w:rPr>
          <w:t>of National Football</w:t>
        </w:r>
      </w:hyperlink>
      <w:r>
        <w:rPr>
          <w:color w:val="006580"/>
        </w:rPr>
        <w:t> </w:t>
      </w:r>
      <w:hyperlink r:id="rId33">
        <w:r>
          <w:rPr>
            <w:color w:val="006580"/>
            <w:u w:val="single" w:color="006580"/>
          </w:rPr>
          <w:t>League Contract Negotiations</w:t>
        </w:r>
      </w:hyperlink>
      <w:r>
        <w:rPr>
          <w:color w:val="006580"/>
        </w:rPr>
        <w:t> </w:t>
      </w:r>
      <w:r>
        <w:rPr/>
        <w:t>”, with Patrick Emerson, </w:t>
      </w:r>
      <w:r>
        <w:rPr>
          <w:i/>
        </w:rPr>
        <w:t>The Review of Economics and Statistics</w:t>
      </w:r>
      <w:r>
        <w:rPr/>
        <w:t>, 85(3): 760- 765, August 2003.</w:t>
      </w:r>
    </w:p>
    <w:p>
      <w:pPr>
        <w:pStyle w:val="BodyText"/>
        <w:spacing w:line="316" w:lineRule="auto"/>
        <w:ind w:left="749"/>
      </w:pPr>
      <w:hyperlink r:id="rId34">
        <w:r>
          <w:rPr>
            <w:color w:val="006580"/>
            <w:u w:val="single" w:color="006580"/>
          </w:rPr>
          <w:t>“Reputation in Bargaining: National Football League Contract Negotiations”</w:t>
        </w:r>
      </w:hyperlink>
      <w:r>
        <w:rPr/>
        <w:t>, </w:t>
      </w:r>
      <w:r>
        <w:rPr>
          <w:i/>
        </w:rPr>
        <w:t>Economic Inquiry</w:t>
      </w:r>
      <w:r>
        <w:rPr/>
        <w:t>, 40(2): 241- 259, April 2002.</w:t>
      </w:r>
    </w:p>
    <w:p>
      <w:pPr>
        <w:pStyle w:val="BodyText"/>
        <w:spacing w:line="304" w:lineRule="auto"/>
        <w:ind w:left="749" w:right="770" w:firstLine="55"/>
        <w:jc w:val="both"/>
      </w:pPr>
      <w:hyperlink r:id="rId35">
        <w:r>
          <w:rPr>
            <w:color w:val="006580"/>
            <w:u w:val="single" w:color="006580"/>
          </w:rPr>
          <w:t>“Sli</w:t>
        </w:r>
        <w:r>
          <w:rPr>
            <w:color w:val="006580"/>
          </w:rPr>
          <w:t>p</w:t>
        </w:r>
        <w:r>
          <w:rPr>
            <w:color w:val="006580"/>
            <w:spacing w:val="-14"/>
            <w:u w:val="single" w:color="006580"/>
          </w:rPr>
          <w:t> </w:t>
        </w:r>
        <w:r>
          <w:rPr>
            <w:color w:val="006580"/>
            <w:spacing w:val="-55"/>
          </w:rPr>
          <w:t>p</w:t>
        </w:r>
        <w:r>
          <w:rPr>
            <w:color w:val="006580"/>
            <w:spacing w:val="41"/>
            <w:u w:val="single" w:color="006580"/>
          </w:rPr>
          <w:t> </w:t>
        </w:r>
        <w:r>
          <w:rPr>
            <w:color w:val="006580"/>
            <w:u w:val="single" w:color="006580"/>
          </w:rPr>
          <w:t>ery</w:t>
        </w:r>
        <w:r>
          <w:rPr>
            <w:color w:val="006580"/>
            <w:spacing w:val="-14"/>
            <w:u w:val="single" w:color="006580"/>
          </w:rPr>
          <w:t> </w:t>
        </w:r>
        <w:r>
          <w:rPr>
            <w:color w:val="006580"/>
            <w:u w:val="single" w:color="006580"/>
          </w:rPr>
          <w:t>When</w:t>
        </w:r>
        <w:r>
          <w:rPr>
            <w:color w:val="006580"/>
            <w:spacing w:val="-13"/>
            <w:u w:val="single" w:color="006580"/>
          </w:rPr>
          <w:t> </w:t>
        </w:r>
        <w:r>
          <w:rPr>
            <w:color w:val="006580"/>
            <w:u w:val="single" w:color="006580"/>
          </w:rPr>
          <w:t>Wet:</w:t>
        </w:r>
        <w:r>
          <w:rPr>
            <w:color w:val="006580"/>
            <w:spacing w:val="-4"/>
            <w:u w:val="single" w:color="006580"/>
          </w:rPr>
          <w:t> </w:t>
        </w:r>
        <w:r>
          <w:rPr>
            <w:color w:val="006580"/>
            <w:u w:val="single" w:color="006580"/>
          </w:rPr>
          <w:t>The Effects of Local</w:t>
        </w:r>
        <w:r>
          <w:rPr>
            <w:color w:val="006580"/>
            <w:spacing w:val="-11"/>
            <w:u w:val="single" w:color="006580"/>
          </w:rPr>
          <w:t> </w:t>
        </w:r>
        <w:r>
          <w:rPr>
            <w:color w:val="006580"/>
            <w:u w:val="single" w:color="006580"/>
          </w:rPr>
          <w:t>Alcohol</w:t>
        </w:r>
        <w:r>
          <w:rPr>
            <w:color w:val="006580"/>
            <w:spacing w:val="-11"/>
            <w:u w:val="single" w:color="006580"/>
          </w:rPr>
          <w:t> </w:t>
        </w:r>
        <w:r>
          <w:rPr>
            <w:color w:val="006580"/>
            <w:u w:val="single" w:color="006580"/>
          </w:rPr>
          <w:t>Access Laws on Highway Safety”</w:t>
        </w:r>
      </w:hyperlink>
      <w:r>
        <w:rPr/>
        <w:t>, with Reagan Baughman, Stacy Dickert-Conlin and John Pepper, </w:t>
      </w:r>
      <w:r>
        <w:rPr>
          <w:i/>
        </w:rPr>
        <w:t>Journal of Health Economics, </w:t>
      </w:r>
      <w:r>
        <w:rPr/>
        <w:t>20(6), 1089-1096, November 2001.</w:t>
      </w:r>
    </w:p>
    <w:p>
      <w:pPr>
        <w:spacing w:line="304" w:lineRule="auto" w:before="0"/>
        <w:ind w:left="1447" w:right="0" w:hanging="659"/>
        <w:jc w:val="left"/>
        <w:rPr>
          <w:sz w:val="22"/>
        </w:rPr>
      </w:pPr>
      <w:r>
        <w:rPr>
          <w:sz w:val="22"/>
        </w:rPr>
        <w:t>Reprinted in John H Cawley and Donald S. Kenkel, eds, </w:t>
      </w:r>
      <w:r>
        <w:rPr>
          <w:i/>
          <w:sz w:val="22"/>
        </w:rPr>
        <w:t>The Economics of Health Behaviors</w:t>
      </w:r>
      <w:r>
        <w:rPr>
          <w:sz w:val="22"/>
        </w:rPr>
        <w:t>, Edward Elgar Publishing Inc., 2008.</w:t>
      </w:r>
    </w:p>
    <w:p>
      <w:pPr>
        <w:pStyle w:val="BodyText"/>
        <w:spacing w:line="251" w:lineRule="exact"/>
        <w:ind w:left="805"/>
      </w:pPr>
      <w:hyperlink r:id="rId36">
        <w:r>
          <w:rPr>
            <w:color w:val="006580"/>
            <w:u w:val="single" w:color="006580"/>
          </w:rPr>
          <w:t>“Strategic</w:t>
        </w:r>
        <w:r>
          <w:rPr>
            <w:color w:val="006580"/>
            <w:spacing w:val="1"/>
            <w:u w:val="single" w:color="006580"/>
          </w:rPr>
          <w:t> </w:t>
        </w:r>
        <w:r>
          <w:rPr>
            <w:color w:val="006580"/>
            <w:u w:val="single" w:color="006580"/>
          </w:rPr>
          <w:t>Delegation</w:t>
        </w:r>
        <w:r>
          <w:rPr>
            <w:color w:val="006580"/>
            <w:spacing w:val="1"/>
            <w:u w:val="single" w:color="006580"/>
          </w:rPr>
          <w:t> </w:t>
        </w:r>
        <w:r>
          <w:rPr>
            <w:color w:val="006580"/>
            <w:u w:val="single" w:color="006580"/>
          </w:rPr>
          <w:t>and</w:t>
        </w:r>
        <w:r>
          <w:rPr>
            <w:color w:val="006580"/>
            <w:spacing w:val="2"/>
            <w:u w:val="single" w:color="006580"/>
          </w:rPr>
          <w:t> </w:t>
        </w:r>
        <w:r>
          <w:rPr>
            <w:color w:val="006580"/>
            <w:u w:val="single" w:color="006580"/>
          </w:rPr>
          <w:t>Delay</w:t>
        </w:r>
        <w:r>
          <w:rPr>
            <w:color w:val="006580"/>
            <w:spacing w:val="37"/>
            <w:u w:val="single" w:color="006580"/>
          </w:rPr>
          <w:t> </w:t>
        </w:r>
        <w:r>
          <w:rPr>
            <w:color w:val="006580"/>
            <w:u w:val="single" w:color="006580"/>
          </w:rPr>
          <w:t>in</w:t>
        </w:r>
        <w:r>
          <w:rPr>
            <w:color w:val="006580"/>
            <w:spacing w:val="1"/>
            <w:u w:val="single" w:color="006580"/>
          </w:rPr>
          <w:t> </w:t>
        </w:r>
        <w:r>
          <w:rPr>
            <w:color w:val="006580"/>
            <w:u w:val="single" w:color="006580"/>
          </w:rPr>
          <w:t>Negotiations</w:t>
        </w:r>
        <w:r>
          <w:rPr>
            <w:color w:val="006580"/>
            <w:spacing w:val="2"/>
            <w:u w:val="single" w:color="006580"/>
          </w:rPr>
          <w:t> </w:t>
        </w:r>
        <w:r>
          <w:rPr>
            <w:color w:val="006580"/>
            <w:u w:val="single" w:color="006580"/>
          </w:rPr>
          <w:t>Over</w:t>
        </w:r>
        <w:r>
          <w:rPr>
            <w:color w:val="006580"/>
            <w:spacing w:val="1"/>
            <w:u w:val="single" w:color="006580"/>
          </w:rPr>
          <w:t> </w:t>
        </w:r>
        <w:r>
          <w:rPr>
            <w:color w:val="006580"/>
            <w:u w:val="single" w:color="006580"/>
          </w:rPr>
          <w:t>the</w:t>
        </w:r>
        <w:r>
          <w:rPr>
            <w:color w:val="006580"/>
            <w:spacing w:val="2"/>
            <w:u w:val="single" w:color="006580"/>
          </w:rPr>
          <w:t> </w:t>
        </w:r>
        <w:r>
          <w:rPr>
            <w:color w:val="006580"/>
            <w:u w:val="single" w:color="006580"/>
          </w:rPr>
          <w:t>Bargaining</w:t>
        </w:r>
        <w:r>
          <w:rPr>
            <w:color w:val="006580"/>
            <w:spacing w:val="-39"/>
          </w:rPr>
          <w:t> </w:t>
        </w:r>
        <w:r>
          <w:rPr>
            <w:color w:val="006580"/>
            <w:spacing w:val="-29"/>
            <w:u w:val="single" w:color="006580"/>
          </w:rPr>
          <w:t> </w:t>
        </w:r>
        <w:r>
          <w:rPr>
            <w:color w:val="006580"/>
            <w:u w:val="single" w:color="006580"/>
          </w:rPr>
          <w:t>Agenda”</w:t>
        </w:r>
      </w:hyperlink>
      <w:r>
        <w:rPr/>
        <w:t>,</w:t>
      </w:r>
      <w:r>
        <w:rPr>
          <w:spacing w:val="2"/>
        </w:rPr>
        <w:t> </w:t>
      </w:r>
      <w:r>
        <w:rPr/>
        <w:t>with</w:t>
      </w:r>
      <w:r>
        <w:rPr>
          <w:spacing w:val="-3"/>
        </w:rPr>
        <w:t> </w:t>
      </w:r>
      <w:r>
        <w:rPr/>
        <w:t>Taiji</w:t>
      </w:r>
      <w:r>
        <w:rPr>
          <w:spacing w:val="1"/>
        </w:rPr>
        <w:t> </w:t>
      </w:r>
      <w:r>
        <w:rPr>
          <w:spacing w:val="-2"/>
        </w:rPr>
        <w:t>Furusawa,</w:t>
      </w:r>
    </w:p>
    <w:p>
      <w:pPr>
        <w:spacing w:before="22"/>
        <w:ind w:left="74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6"/>
          <w:sz w:val="22"/>
        </w:rPr>
        <w:t> </w:t>
      </w:r>
      <w:r>
        <w:rPr>
          <w:sz w:val="22"/>
        </w:rPr>
        <w:t>18(1):</w:t>
      </w:r>
      <w:r>
        <w:rPr>
          <w:spacing w:val="6"/>
          <w:sz w:val="22"/>
        </w:rPr>
        <w:t> </w:t>
      </w:r>
      <w:r>
        <w:rPr>
          <w:sz w:val="22"/>
        </w:rPr>
        <w:t>55-73,</w:t>
      </w:r>
      <w:r>
        <w:rPr>
          <w:spacing w:val="6"/>
          <w:sz w:val="22"/>
        </w:rPr>
        <w:t> </w:t>
      </w:r>
      <w:r>
        <w:rPr>
          <w:sz w:val="22"/>
        </w:rPr>
        <w:t>January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2000.</w:t>
      </w:r>
    </w:p>
    <w:p>
      <w:pPr>
        <w:pStyle w:val="BodyText"/>
        <w:spacing w:line="304" w:lineRule="auto" w:before="67"/>
        <w:ind w:left="749"/>
      </w:pPr>
      <w:hyperlink r:id="rId37">
        <w:r>
          <w:rPr>
            <w:color w:val="006580"/>
            <w:u w:val="single" w:color="006580"/>
          </w:rPr>
          <w:t>“Empirical Test of a Separating</w:t>
        </w:r>
        <w:r>
          <w:rPr>
            <w:color w:val="006580"/>
            <w:spacing w:val="-8"/>
            <w:u w:val="single" w:color="006580"/>
          </w:rPr>
          <w:t> </w:t>
        </w:r>
        <w:r>
          <w:rPr>
            <w:color w:val="006580"/>
            <w:u w:val="single" w:color="006580"/>
          </w:rPr>
          <w:t>Equilibrium in National Football League Contract Negotiations”</w:t>
        </w:r>
      </w:hyperlink>
      <w:r>
        <w:rPr/>
        <w:t>, </w:t>
      </w:r>
      <w:r>
        <w:rPr>
          <w:i/>
        </w:rPr>
        <w:t>Rand Journal of Economics</w:t>
      </w:r>
      <w:r>
        <w:rPr/>
        <w:t>, 30(2): 289-304, Summer 1999.</w:t>
      </w:r>
    </w:p>
    <w:p>
      <w:pPr>
        <w:spacing w:line="304" w:lineRule="auto" w:before="0"/>
        <w:ind w:left="749" w:right="0" w:firstLine="0"/>
        <w:jc w:val="left"/>
        <w:rPr>
          <w:i/>
          <w:sz w:val="22"/>
        </w:rPr>
      </w:pPr>
      <w:hyperlink r:id="rId38">
        <w:r>
          <w:rPr>
            <w:color w:val="006580"/>
            <w:sz w:val="22"/>
            <w:u w:val="single" w:color="006580"/>
          </w:rPr>
          <w:t>“Peer Group</w:t>
        </w:r>
        <w:r>
          <w:rPr>
            <w:color w:val="006580"/>
            <w:spacing w:val="40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Microlending</w:t>
        </w:r>
        <w:r>
          <w:rPr>
            <w:color w:val="006580"/>
            <w:spacing w:val="-10"/>
            <w:sz w:val="22"/>
            <w:u w:val="single" w:color="006580"/>
          </w:rPr>
          <w:t> </w:t>
        </w:r>
        <w:r>
          <w:rPr>
            <w:color w:val="006580"/>
            <w:sz w:val="22"/>
            <w:u w:val="single" w:color="006580"/>
          </w:rPr>
          <w:t>Programs in Canada and the United States”</w:t>
        </w:r>
      </w:hyperlink>
      <w:r>
        <w:rPr>
          <w:sz w:val="22"/>
        </w:rPr>
        <w:t>, </w:t>
      </w:r>
      <w:r>
        <w:rPr>
          <w:i/>
          <w:sz w:val="22"/>
        </w:rPr>
        <w:t>Journal of Development Economics</w:t>
      </w:r>
      <w:r>
        <w:rPr>
          <w:sz w:val="22"/>
        </w:rPr>
        <w:t>, 60(1): 249-269, October 1999</w:t>
      </w:r>
      <w:r>
        <w:rPr>
          <w:i/>
          <w:sz w:val="22"/>
        </w:rPr>
        <w:t>.</w:t>
      </w:r>
    </w:p>
    <w:p>
      <w:pPr>
        <w:pStyle w:val="BodyText"/>
        <w:spacing w:before="91"/>
        <w:rPr>
          <w:i/>
        </w:rPr>
      </w:pPr>
    </w:p>
    <w:p>
      <w:pPr>
        <w:pStyle w:val="Heading2"/>
      </w:pPr>
      <w:r>
        <w:rPr/>
        <w:t>Working</w:t>
      </w:r>
      <w:r>
        <w:rPr>
          <w:spacing w:val="-5"/>
        </w:rPr>
        <w:t> </w:t>
      </w:r>
      <w:r>
        <w:rPr>
          <w:spacing w:val="-2"/>
        </w:rPr>
        <w:t>Papers</w:t>
      </w:r>
    </w:p>
    <w:p>
      <w:pPr>
        <w:pStyle w:val="BodyText"/>
        <w:spacing w:line="304" w:lineRule="auto" w:before="67"/>
        <w:ind w:left="749" w:right="328" w:firstLine="55"/>
      </w:pPr>
      <w:r>
        <w:rPr/>
        <w:t>“Removing Cigarettes off the Shelf: Impact of Retailer Stopping Cigarette Sales on Smokers’</w:t>
      </w:r>
      <w:r>
        <w:rPr>
          <w:spacing w:val="-12"/>
        </w:rPr>
        <w:t> </w:t>
      </w:r>
      <w:r>
        <w:rPr/>
        <w:t>Behavior”, with Katie Harris-Lagoudakis, Cara Haughey and Seung Jung.</w:t>
      </w:r>
    </w:p>
    <w:p>
      <w:pPr>
        <w:pStyle w:val="BodyText"/>
        <w:spacing w:line="316" w:lineRule="auto"/>
        <w:ind w:left="749" w:right="328"/>
      </w:pPr>
      <w:r>
        <w:rPr/>
        <w:t>“Choice-Set-Dependent Preferences in Grocery Purchases” with Katie Harris-Lagoudakis and</w:t>
      </w:r>
      <w:r>
        <w:rPr>
          <w:spacing w:val="-5"/>
        </w:rPr>
        <w:t> </w:t>
      </w:r>
      <w:r>
        <w:rPr/>
        <w:t>Andrew </w:t>
      </w:r>
      <w:r>
        <w:rPr>
          <w:spacing w:val="-2"/>
        </w:rPr>
        <w:t>VanZytveld.</w:t>
      </w:r>
    </w:p>
    <w:p>
      <w:pPr>
        <w:pStyle w:val="BodyText"/>
        <w:tabs>
          <w:tab w:pos="749" w:val="left" w:leader="none"/>
        </w:tabs>
        <w:spacing w:line="259" w:lineRule="auto"/>
        <w:ind w:left="264" w:right="642" w:firstLine="485"/>
      </w:pPr>
      <w:r>
        <w:rPr/>
        <w:t>“Ballot Order, Ballot Roll-Off and Home Sales: Evidence from Local Referenda in Ohio” with</w:t>
      </w:r>
      <w:r>
        <w:rPr>
          <w:spacing w:val="-1"/>
        </w:rPr>
        <w:t> </w:t>
      </w:r>
      <w:r>
        <w:rPr/>
        <w:t>Walter </w:t>
      </w:r>
      <w:r>
        <w:rPr>
          <w:position w:val="1"/>
        </w:rPr>
        <w:drawing>
          <wp:inline distT="0" distB="0" distL="0" distR="0">
            <wp:extent cx="153987" cy="15398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" cy="15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/>
        <w:tab/>
        <w:t>Melnik &amp; Paul Thompson.</w:t>
      </w:r>
    </w:p>
    <w:p>
      <w:pPr>
        <w:pStyle w:val="BodyText"/>
        <w:spacing w:after="0" w:line="259" w:lineRule="auto"/>
        <w:sectPr>
          <w:pgSz w:w="11900" w:h="16840"/>
          <w:pgMar w:header="284" w:footer="268" w:top="480" w:bottom="460" w:left="708" w:right="708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headerReference w:type="default" r:id="rId39"/>
          <w:footerReference w:type="default" r:id="rId40"/>
          <w:pgSz w:w="11900" w:h="16840"/>
          <w:pgMar w:header="284" w:footer="985" w:top="480" w:bottom="1180" w:left="708" w:right="708"/>
        </w:sectPr>
      </w:pPr>
    </w:p>
    <w:p>
      <w:pPr>
        <w:spacing w:before="94"/>
        <w:ind w:left="51" w:right="0" w:firstLine="0"/>
        <w:jc w:val="left"/>
        <w:rPr>
          <w:b/>
          <w:sz w:val="22"/>
        </w:rPr>
      </w:pPr>
      <w:r>
        <w:rPr>
          <w:b/>
          <w:spacing w:val="-23"/>
          <w:w w:val="99"/>
          <w:sz w:val="22"/>
        </w:rPr>
        <w:t>T</w:t>
      </w:r>
      <w:r>
        <w:rPr>
          <w:b/>
          <w:spacing w:val="-2"/>
          <w:w w:val="99"/>
          <w:sz w:val="22"/>
        </w:rPr>
        <w:t>ea</w:t>
      </w:r>
      <w:hyperlink r:id="rId7">
        <w:r>
          <w:rPr>
            <w:b/>
            <w:spacing w:val="-2"/>
            <w:w w:val="99"/>
            <w:sz w:val="22"/>
          </w:rPr>
          <w:t>c</w:t>
        </w:r>
        <w:r>
          <w:rPr>
            <w:b/>
            <w:spacing w:val="-55"/>
            <w:w w:val="99"/>
            <w:sz w:val="22"/>
          </w:rPr>
          <w:t>h</w:t>
        </w:r>
        <w:r>
          <w:rPr>
            <w:rFonts w:ascii="Tahoma"/>
            <w:color w:val="ABABAB"/>
            <w:spacing w:val="-214"/>
            <w:w w:val="116"/>
            <w:position w:val="9"/>
            <w:sz w:val="29"/>
          </w:rPr>
          <w:t>M</w:t>
        </w:r>
        <w:r>
          <w:rPr>
            <w:b/>
            <w:spacing w:val="-2"/>
            <w:w w:val="99"/>
            <w:sz w:val="22"/>
          </w:rPr>
          <w:t>in</w:t>
        </w:r>
        <w:r>
          <w:rPr>
            <w:b/>
            <w:spacing w:val="-88"/>
            <w:w w:val="99"/>
            <w:sz w:val="22"/>
          </w:rPr>
          <w:t>g</w:t>
        </w:r>
        <w:r>
          <w:rPr>
            <w:rFonts w:ascii="Tahoma"/>
            <w:color w:val="ABABAB"/>
            <w:spacing w:val="-2"/>
            <w:w w:val="102"/>
            <w:position w:val="9"/>
            <w:sz w:val="29"/>
          </w:rPr>
          <w:t>i</w:t>
        </w:r>
        <w:r>
          <w:rPr>
            <w:rFonts w:ascii="Tahoma"/>
            <w:color w:val="ABABAB"/>
            <w:spacing w:val="-73"/>
            <w:w w:val="97"/>
            <w:position w:val="9"/>
            <w:sz w:val="29"/>
          </w:rPr>
          <w:t>k</w:t>
        </w:r>
        <w:r>
          <w:rPr>
            <w:b/>
            <w:spacing w:val="-89"/>
            <w:w w:val="99"/>
            <w:sz w:val="22"/>
          </w:rPr>
          <w:t>E</w:t>
        </w:r>
        <w:r>
          <w:rPr>
            <w:rFonts w:ascii="Tahoma"/>
            <w:color w:val="ABABAB"/>
            <w:spacing w:val="-65"/>
            <w:w w:val="95"/>
            <w:position w:val="9"/>
            <w:sz w:val="29"/>
          </w:rPr>
          <w:t>e</w:t>
        </w:r>
        <w:r>
          <w:rPr>
            <w:b/>
            <w:spacing w:val="-2"/>
            <w:w w:val="99"/>
            <w:sz w:val="22"/>
          </w:rPr>
          <w:t>x</w:t>
        </w:r>
        <w:r>
          <w:rPr>
            <w:b/>
            <w:spacing w:val="-120"/>
            <w:w w:val="99"/>
            <w:sz w:val="22"/>
          </w:rPr>
          <w:t>p</w:t>
        </w:r>
        <w:r>
          <w:rPr>
            <w:rFonts w:ascii="Tahoma"/>
            <w:color w:val="ABABAB"/>
            <w:spacing w:val="-90"/>
            <w:w w:val="115"/>
            <w:position w:val="9"/>
            <w:sz w:val="29"/>
          </w:rPr>
          <w:t>C</w:t>
        </w:r>
        <w:r>
          <w:rPr>
            <w:b/>
            <w:spacing w:val="-14"/>
            <w:w w:val="99"/>
            <w:sz w:val="22"/>
          </w:rPr>
          <w:t>e</w:t>
        </w:r>
        <w:r>
          <w:rPr>
            <w:rFonts w:ascii="Tahoma"/>
            <w:color w:val="ABABAB"/>
            <w:spacing w:val="-148"/>
            <w:w w:val="97"/>
            <w:position w:val="9"/>
            <w:sz w:val="29"/>
          </w:rPr>
          <w:t>o</w:t>
        </w:r>
        <w:r>
          <w:rPr>
            <w:b/>
            <w:spacing w:val="-2"/>
            <w:w w:val="99"/>
            <w:sz w:val="22"/>
          </w:rPr>
          <w:t>r</w:t>
        </w:r>
        <w:r>
          <w:rPr>
            <w:b/>
            <w:spacing w:val="-18"/>
            <w:w w:val="99"/>
            <w:sz w:val="22"/>
          </w:rPr>
          <w:t>i</w:t>
        </w:r>
        <w:r>
          <w:rPr>
            <w:rFonts w:ascii="Tahoma"/>
            <w:color w:val="ABABAB"/>
            <w:spacing w:val="-145"/>
            <w:w w:val="95"/>
            <w:position w:val="9"/>
            <w:sz w:val="29"/>
          </w:rPr>
          <w:t>n</w:t>
        </w:r>
        <w:r>
          <w:rPr>
            <w:b/>
            <w:spacing w:val="-2"/>
            <w:w w:val="99"/>
            <w:sz w:val="22"/>
          </w:rPr>
          <w:t>e</w:t>
        </w:r>
        <w:r>
          <w:rPr>
            <w:b/>
            <w:spacing w:val="-83"/>
            <w:w w:val="99"/>
            <w:sz w:val="22"/>
          </w:rPr>
          <w:t>n</w:t>
        </w:r>
        <w:r>
          <w:rPr>
            <w:rFonts w:ascii="Tahoma"/>
            <w:color w:val="ABABAB"/>
            <w:spacing w:val="-2"/>
            <w:w w:val="102"/>
            <w:position w:val="9"/>
            <w:sz w:val="29"/>
          </w:rPr>
          <w:t>l</w:t>
        </w:r>
        <w:r>
          <w:rPr>
            <w:rFonts w:ascii="Tahoma"/>
            <w:color w:val="ABABAB"/>
            <w:spacing w:val="-60"/>
            <w:w w:val="102"/>
            <w:position w:val="9"/>
            <w:sz w:val="29"/>
          </w:rPr>
          <w:t>i</w:t>
        </w:r>
        <w:r>
          <w:rPr>
            <w:b/>
            <w:spacing w:val="-44"/>
            <w:w w:val="99"/>
            <w:sz w:val="22"/>
          </w:rPr>
          <w:t>c</w:t>
        </w:r>
        <w:r>
          <w:rPr>
            <w:rFonts w:ascii="Tahoma"/>
            <w:color w:val="ABABAB"/>
            <w:spacing w:val="-118"/>
            <w:w w:val="95"/>
            <w:position w:val="9"/>
            <w:sz w:val="29"/>
          </w:rPr>
          <w:t>n</w:t>
        </w:r>
        <w:r>
          <w:rPr>
            <w:b/>
            <w:spacing w:val="-2"/>
            <w:w w:val="99"/>
            <w:sz w:val="22"/>
          </w:rPr>
          <w:t>e</w:t>
        </w:r>
      </w:hyperlink>
    </w:p>
    <w:p>
      <w:pPr>
        <w:pStyle w:val="Heading1"/>
        <w:tabs>
          <w:tab w:pos="1035" w:val="left" w:leader="none"/>
          <w:tab w:pos="3157" w:val="left" w:leader="none"/>
          <w:tab w:pos="4287" w:val="left" w:leader="none"/>
        </w:tabs>
        <w:spacing w:before="142"/>
        <w:rPr>
          <w:rFonts w:ascii="Tahoma"/>
        </w:rPr>
      </w:pPr>
      <w:r>
        <w:rPr/>
        <w:br w:type="column"/>
      </w:r>
      <w:hyperlink r:id="rId7">
        <w:r>
          <w:rPr>
            <w:rFonts w:ascii="Tahoma"/>
            <w:color w:val="ABABAB"/>
            <w:spacing w:val="-4"/>
          </w:rPr>
          <w:t>Home</w:t>
        </w:r>
      </w:hyperlink>
      <w:r>
        <w:rPr>
          <w:rFonts w:ascii="Tahoma"/>
          <w:color w:val="ABABAB"/>
        </w:rPr>
        <w:tab/>
      </w:r>
      <w:hyperlink r:id="rId8">
        <w:r>
          <w:rPr>
            <w:rFonts w:ascii="Tahoma"/>
            <w:color w:val="ABABAB"/>
            <w:spacing w:val="2"/>
          </w:rPr>
          <w:t>Curriculum</w:t>
        </w:r>
        <w:r>
          <w:rPr>
            <w:rFonts w:ascii="Tahoma"/>
            <w:color w:val="ABABAB"/>
            <w:spacing w:val="7"/>
          </w:rPr>
          <w:t> </w:t>
        </w:r>
        <w:r>
          <w:rPr>
            <w:rFonts w:ascii="Tahoma"/>
            <w:color w:val="ABABAB"/>
            <w:spacing w:val="-4"/>
          </w:rPr>
          <w:t>Vitae</w:t>
        </w:r>
      </w:hyperlink>
      <w:r>
        <w:rPr>
          <w:rFonts w:ascii="Tahoma"/>
          <w:color w:val="ABABAB"/>
        </w:rPr>
        <w:tab/>
      </w:r>
      <w:hyperlink r:id="rId9">
        <w:r>
          <w:rPr>
            <w:rFonts w:ascii="Tahoma"/>
            <w:color w:val="ABABAB"/>
            <w:spacing w:val="-2"/>
          </w:rPr>
          <w:t>Classes</w:t>
        </w:r>
      </w:hyperlink>
      <w:r>
        <w:rPr>
          <w:rFonts w:ascii="Tahoma"/>
          <w:color w:val="ABABAB"/>
        </w:rPr>
        <w:tab/>
      </w:r>
      <w:hyperlink r:id="rId11">
        <w:r>
          <w:rPr>
            <w:rFonts w:ascii="Tahoma"/>
            <w:color w:val="ABABAB"/>
          </w:rPr>
          <w:t>Other</w:t>
        </w:r>
        <w:r>
          <w:rPr>
            <w:rFonts w:ascii="Tahoma"/>
            <w:color w:val="ABABAB"/>
            <w:spacing w:val="5"/>
          </w:rPr>
          <w:t> </w:t>
        </w:r>
        <w:r>
          <w:rPr>
            <w:rFonts w:ascii="Tahoma"/>
            <w:color w:val="ABABAB"/>
            <w:spacing w:val="-2"/>
          </w:rPr>
          <w:t>Resources</w:t>
        </w:r>
      </w:hyperlink>
    </w:p>
    <w:p>
      <w:pPr>
        <w:pStyle w:val="Heading1"/>
        <w:spacing w:after="0"/>
        <w:rPr>
          <w:rFonts w:ascii="Tahoma"/>
        </w:rPr>
        <w:sectPr>
          <w:type w:val="continuous"/>
          <w:pgSz w:w="11900" w:h="16840"/>
          <w:pgMar w:header="284" w:footer="985" w:top="480" w:bottom="460" w:left="708" w:right="708"/>
          <w:cols w:num="2" w:equalWidth="0">
            <w:col w:w="2032" w:space="1750"/>
            <w:col w:w="6702"/>
          </w:cols>
        </w:sectPr>
      </w:pPr>
    </w:p>
    <w:p>
      <w:pPr>
        <w:pStyle w:val="BodyText"/>
        <w:spacing w:line="304" w:lineRule="auto" w:before="67"/>
        <w:ind w:left="749" w:right="142" w:hanging="659"/>
      </w:pPr>
      <w:r>
        <w:rPr/>
        <w:t>Undergraduate Industrial Organization, Undergraduate Law and Economics, Graduate Microeconomics, Graduate Theory Industrial Organization, Graduate Empirical Industrial Organization, Applied Economics (MBA students), Introductory Microeconomics, Intermediate Microeconomics</w:t>
      </w:r>
    </w:p>
    <w:sectPr>
      <w:type w:val="continuous"/>
      <w:pgSz w:w="11900" w:h="16840"/>
      <w:pgMar w:header="284" w:footer="985" w:top="480" w:bottom="46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36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57619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76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https://sites.google.com/view/mikeconlin/curriculum-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02.85pt;height:10.95pt;mso-position-horizontal-relative:page;mso-position-vertical-relative:page;z-index:-158341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https://sites.google.com/view/mikeconlin/curriculum-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88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83360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4416">
          <wp:simplePos x="0" y="0"/>
          <wp:positionH relativeFrom="page">
            <wp:posOffset>617569</wp:posOffset>
          </wp:positionH>
          <wp:positionV relativeFrom="page">
            <wp:posOffset>9939974</wp:posOffset>
          </wp:positionV>
          <wp:extent cx="153987" cy="153987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987" cy="1539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576195" cy="13906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576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https://sites.google.com/view/mikeconlin/curriculum-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02.85pt;height:10.95pt;mso-position-horizontal-relative:page;mso-position-vertical-relative:page;z-index:-15831552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https://sites.google.com/view/mikeconlin/curriculum-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44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831040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34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2025/12/6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9.8pt;height:10.95pt;mso-position-horizontal-relative:page;mso-position-vertical-relative:page;z-index:-158351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2025/12/6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3639542</wp:posOffset>
              </wp:positionH>
              <wp:positionV relativeFrom="page">
                <wp:posOffset>181131</wp:posOffset>
              </wp:positionV>
              <wp:extent cx="139509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950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Mike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Conlin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Curriculum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578125pt;margin-top:14.262341pt;width:109.85pt;height:10.95pt;mso-position-horizontal-relative:page;mso-position-vertical-relative:page;z-index:-158346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Mike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Conlin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Curriculum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2025/12/6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5833088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2025/12/6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3639542</wp:posOffset>
              </wp:positionH>
              <wp:positionV relativeFrom="page">
                <wp:posOffset>181131</wp:posOffset>
              </wp:positionV>
              <wp:extent cx="1395095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3950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Mike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Conlin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Curriculum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578125pt;margin-top:14.262341pt;width:109.85pt;height:10.95pt;mso-position-horizontal-relative:page;mso-position-vertical-relative:page;z-index:-15832576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Mike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Conlin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Curriculum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51"/>
      <w:outlineLvl w:val="1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1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sites.google.com/view/mikeconlin/home" TargetMode="External"/><Relationship Id="rId8" Type="http://schemas.openxmlformats.org/officeDocument/2006/relationships/hyperlink" Target="https://sites.google.com/view/mikeconlin/curriculum-vitae" TargetMode="External"/><Relationship Id="rId9" Type="http://schemas.openxmlformats.org/officeDocument/2006/relationships/hyperlink" Target="https://sites.google.com/view/mikeconlin/classes" TargetMode="External"/><Relationship Id="rId10" Type="http://schemas.openxmlformats.org/officeDocument/2006/relationships/hyperlink" Target="mailto:conlinmi@msu.edu" TargetMode="External"/><Relationship Id="rId11" Type="http://schemas.openxmlformats.org/officeDocument/2006/relationships/hyperlink" Target="https://sites.google.com/view/mikeconlin/other-resources" TargetMode="External"/><Relationship Id="rId12" Type="http://schemas.openxmlformats.org/officeDocument/2006/relationships/hyperlink" Target="https://www.sciencedirect.com/science/article/pii/S0165176524003173?via%3Dihub" TargetMode="External"/><Relationship Id="rId13" Type="http://schemas.openxmlformats.org/officeDocument/2006/relationships/hyperlink" Target="https://doi.org/10.1002/aepp.13429" TargetMode="External"/><Relationship Id="rId14" Type="http://schemas.openxmlformats.org/officeDocument/2006/relationships/hyperlink" Target="https://www.journals.uchicago.edu/doi/epdf/10.1086/726225" TargetMode="External"/><Relationship Id="rId15" Type="http://schemas.openxmlformats.org/officeDocument/2006/relationships/hyperlink" Target="https://eric.ed.gov/?id=EJ1262926" TargetMode="External"/><Relationship Id="rId16" Type="http://schemas.openxmlformats.org/officeDocument/2006/relationships/hyperlink" Target="https://www.sciencedirect.com/science/article/abs/pii/S0167268117301592" TargetMode="External"/><Relationship Id="rId17" Type="http://schemas.openxmlformats.org/officeDocument/2006/relationships/hyperlink" Target="https://www.sciencedirect.com/science/article/abs/pii/S0272775716304514" TargetMode="External"/><Relationship Id="rId18" Type="http://schemas.openxmlformats.org/officeDocument/2006/relationships/hyperlink" Target="https://www.jstor.org/stable/24459301" TargetMode="External"/><Relationship Id="rId19" Type="http://schemas.openxmlformats.org/officeDocument/2006/relationships/hyperlink" Target="https://eric.ed.gov/?id=EJ1045240" TargetMode="External"/><Relationship Id="rId20" Type="http://schemas.openxmlformats.org/officeDocument/2006/relationships/image" Target="media/image1.png"/><Relationship Id="rId21" Type="http://schemas.openxmlformats.org/officeDocument/2006/relationships/hyperlink" Target="https://www.sciencedirect.com/science/article/abs/pii/S0167268113002394" TargetMode="External"/><Relationship Id="rId22" Type="http://schemas.openxmlformats.org/officeDocument/2006/relationships/image" Target="media/image2.png"/><Relationship Id="rId23" Type="http://schemas.openxmlformats.org/officeDocument/2006/relationships/hyperlink" Target="https://www.sciencedirect.com/science/article/abs/pii/S0165176513003790" TargetMode="External"/><Relationship Id="rId24" Type="http://schemas.openxmlformats.org/officeDocument/2006/relationships/hyperlink" Target="https://www.jstor.org/stable/25651326" TargetMode="External"/><Relationship Id="rId25" Type="http://schemas.openxmlformats.org/officeDocument/2006/relationships/hyperlink" Target="https://www.sciencedirect.com/science/article/abs/pii/S004727270700117X" TargetMode="External"/><Relationship Id="rId26" Type="http://schemas.openxmlformats.org/officeDocument/2006/relationships/hyperlink" Target="https://www.aeaweb.org/articles?id=10.1257/aer.97.4.1217" TargetMode="External"/><Relationship Id="rId27" Type="http://schemas.openxmlformats.org/officeDocument/2006/relationships/hyperlink" Target="https://papers.ssrn.com/sol3/papers.cfm?abstract_id=655364" TargetMode="External"/><Relationship Id="rId28" Type="http://schemas.openxmlformats.org/officeDocument/2006/relationships/hyperlink" Target="https://papers.ssrn.com/sol3/papers.cfm?abstract_id=822228" TargetMode="External"/><Relationship Id="rId29" Type="http://schemas.openxmlformats.org/officeDocument/2006/relationships/hyperlink" Target="http://docplayer.net/23952224-The-effect-of-alcohol-prohibition-on-illicit-drug-related-crimes-an-unintended-consequence-of-regulation.html" TargetMode="External"/><Relationship Id="rId30" Type="http://schemas.openxmlformats.org/officeDocument/2006/relationships/hyperlink" Target="https://www.aeaweb.org/articles?id=10.1257/0002828043052231" TargetMode="External"/><Relationship Id="rId31" Type="http://schemas.openxmlformats.org/officeDocument/2006/relationships/hyperlink" Target="https://www.researchgate.net/publication/226282871_The_Performance_of_REIT-owned_Properties_and_the_Impact_of_REIT_Market_Power" TargetMode="External"/><Relationship Id="rId32" Type="http://schemas.openxmlformats.org/officeDocument/2006/relationships/hyperlink" Target="https://www.sciencedirect.com/science/article/pii/S0167268103000301" TargetMode="External"/><Relationship Id="rId33" Type="http://schemas.openxmlformats.org/officeDocument/2006/relationships/hyperlink" Target="https://www.jstor.org/stable/3211713" TargetMode="External"/><Relationship Id="rId34" Type="http://schemas.openxmlformats.org/officeDocument/2006/relationships/hyperlink" Target="https://www.researchgate.net/publication/5211381_Reputation_in_Bargaining_National_Football_League_Contract_Negotiations" TargetMode="External"/><Relationship Id="rId35" Type="http://schemas.openxmlformats.org/officeDocument/2006/relationships/hyperlink" Target="https://papers.ssrn.com/sol3/papers.cfm?abstract_id=275157" TargetMode="External"/><Relationship Id="rId36" Type="http://schemas.openxmlformats.org/officeDocument/2006/relationships/hyperlink" Target="https://www.journals.uchicago.edu/doi/abs/10.1086/209950" TargetMode="External"/><Relationship Id="rId37" Type="http://schemas.openxmlformats.org/officeDocument/2006/relationships/hyperlink" Target="https://ideas.repec.org/a/rje/randje/v30y1999isummerp289-304.html" TargetMode="External"/><Relationship Id="rId38" Type="http://schemas.openxmlformats.org/officeDocument/2006/relationships/hyperlink" Target="https://www.semanticscholar.org/paper/Peer-group-microlending-programs-in-Canada-and-the-Conlin/1a547a9623507614a5cca3f5b24803a079e9b612" TargetMode="External"/><Relationship Id="rId39" Type="http://schemas.openxmlformats.org/officeDocument/2006/relationships/header" Target="header2.xml"/><Relationship Id="rId40" Type="http://schemas.openxmlformats.org/officeDocument/2006/relationships/footer" Target="footer2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Mike Conlin - Curriculum Vitae</dc:title>
  <dcterms:created xsi:type="dcterms:W3CDTF">2025-12-06T16:50:58Z</dcterms:created>
  <dcterms:modified xsi:type="dcterms:W3CDTF">2025-12-06T16:50:58Z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2025-12-06T00:00:00Z</vt:filetime>
  </property>
  <property fmtid="{D5CDD505-2E9C-101B-9397-08002B2CF9AE}" pid="5" name="Producer">
    <vt:lpwstr>Skia/PDF m143</vt:lpwstr>
  </property>
</Properties>
</file>