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8"/>
        <w:ind w:right="20"/>
        <w:jc w:val="right"/>
      </w:pPr>
      <w:r>
        <w:rPr/>
        <w:t>July</w:t>
      </w:r>
      <w:r>
        <w:rPr>
          <w:spacing w:val="-1"/>
        </w:rPr>
        <w:t> </w:t>
      </w:r>
      <w:r>
        <w:rPr>
          <w:spacing w:val="-4"/>
        </w:rPr>
        <w:t>2025</w:t>
      </w:r>
    </w:p>
    <w:p>
      <w:pPr>
        <w:pStyle w:val="BodyText"/>
        <w:spacing w:before="1"/>
      </w:pPr>
    </w:p>
    <w:p>
      <w:pPr>
        <w:pStyle w:val="Title"/>
      </w:pPr>
      <w:r>
        <w:rPr/>
        <w:t>Matthew</w:t>
      </w:r>
      <w:r>
        <w:rPr>
          <w:spacing w:val="-6"/>
        </w:rPr>
        <w:t> </w:t>
      </w:r>
      <w:r>
        <w:rPr/>
        <w:t>L.</w:t>
      </w:r>
      <w:r>
        <w:rPr>
          <w:spacing w:val="-6"/>
        </w:rPr>
        <w:t> </w:t>
      </w:r>
      <w:r>
        <w:rPr>
          <w:spacing w:val="-2"/>
        </w:rPr>
        <w:t>Gentry</w:t>
      </w:r>
    </w:p>
    <w:p>
      <w:pPr>
        <w:pStyle w:val="BodyText"/>
        <w:spacing w:line="237" w:lineRule="auto" w:before="279"/>
        <w:ind w:left="3089" w:right="3007" w:firstLine="253"/>
      </w:pPr>
      <w:r>
        <w:rPr/>
        <w:t>Arizona State University WP</w:t>
      </w:r>
      <w:r>
        <w:rPr>
          <w:spacing w:val="-8"/>
        </w:rPr>
        <w:t> </w:t>
      </w:r>
      <w:r>
        <w:rPr/>
        <w:t>Carey</w:t>
      </w:r>
      <w:r>
        <w:rPr>
          <w:spacing w:val="-8"/>
        </w:rPr>
        <w:t> </w:t>
      </w:r>
      <w:r>
        <w:rPr/>
        <w:t>School</w:t>
      </w:r>
      <w:r>
        <w:rPr>
          <w:spacing w:val="-8"/>
        </w:rPr>
        <w:t> </w:t>
      </w:r>
      <w:r>
        <w:rPr/>
        <w:t>of</w:t>
      </w:r>
      <w:r>
        <w:rPr>
          <w:spacing w:val="-8"/>
        </w:rPr>
        <w:t> </w:t>
      </w:r>
      <w:r>
        <w:rPr/>
        <w:t>Business</w:t>
      </w:r>
    </w:p>
    <w:p>
      <w:pPr>
        <w:pStyle w:val="BodyText"/>
        <w:spacing w:line="237" w:lineRule="auto" w:before="6"/>
        <w:ind w:left="3542" w:right="3007" w:hanging="267"/>
      </w:pPr>
      <w:r>
        <w:rPr/>
        <w:t>Department</w:t>
      </w:r>
      <w:r>
        <w:rPr>
          <w:spacing w:val="-15"/>
        </w:rPr>
        <w:t> </w:t>
      </w:r>
      <w:r>
        <w:rPr/>
        <w:t>of</w:t>
      </w:r>
      <w:r>
        <w:rPr>
          <w:spacing w:val="-15"/>
        </w:rPr>
        <w:t> </w:t>
      </w:r>
      <w:r>
        <w:rPr/>
        <w:t>Economics </w:t>
      </w:r>
      <w:hyperlink r:id="rId5">
        <w:r>
          <w:rPr>
            <w:spacing w:val="-2"/>
          </w:rPr>
          <w:t>mattgentry@asu.edu</w:t>
        </w:r>
      </w:hyperlink>
    </w:p>
    <w:p>
      <w:pPr>
        <w:pStyle w:val="BodyText"/>
      </w:pPr>
    </w:p>
    <w:p>
      <w:pPr>
        <w:pStyle w:val="BodyText"/>
      </w:pPr>
    </w:p>
    <w:p>
      <w:pPr>
        <w:pStyle w:val="BodyText"/>
        <w:spacing w:before="1"/>
      </w:pPr>
    </w:p>
    <w:p>
      <w:pPr>
        <w:pStyle w:val="Heading1"/>
        <w:tabs>
          <w:tab w:pos="9046" w:val="left" w:leader="none"/>
        </w:tabs>
        <w:ind w:left="23"/>
      </w:pPr>
      <w:r>
        <w:rPr>
          <w:spacing w:val="42"/>
          <w:u w:val="single"/>
        </w:rPr>
        <w:t> </w:t>
      </w:r>
      <w:r>
        <w:rPr>
          <w:u w:val="single"/>
        </w:rPr>
        <w:t>Research</w:t>
      </w:r>
      <w:r>
        <w:rPr>
          <w:spacing w:val="-1"/>
          <w:u w:val="single"/>
        </w:rPr>
        <w:t> </w:t>
      </w:r>
      <w:r>
        <w:rPr>
          <w:spacing w:val="-2"/>
          <w:u w:val="single"/>
        </w:rPr>
        <w:t>Interests</w:t>
      </w:r>
      <w:r>
        <w:rPr>
          <w:u w:val="single"/>
        </w:rPr>
        <w:tab/>
      </w:r>
    </w:p>
    <w:p>
      <w:pPr>
        <w:pStyle w:val="BodyText"/>
        <w:spacing w:before="113"/>
        <w:ind w:left="128"/>
      </w:pPr>
      <w:r>
        <w:rPr/>
        <w:t>Industrial</w:t>
      </w:r>
      <w:r>
        <w:rPr>
          <w:spacing w:val="-6"/>
        </w:rPr>
        <w:t> </w:t>
      </w:r>
      <w:r>
        <w:rPr/>
        <w:t>Organization,</w:t>
      </w:r>
      <w:r>
        <w:rPr>
          <w:spacing w:val="-4"/>
        </w:rPr>
        <w:t> </w:t>
      </w:r>
      <w:r>
        <w:rPr/>
        <w:t>Auctions,</w:t>
      </w:r>
      <w:r>
        <w:rPr>
          <w:spacing w:val="-3"/>
        </w:rPr>
        <w:t> </w:t>
      </w:r>
      <w:r>
        <w:rPr/>
        <w:t>Microeconometrics,</w:t>
      </w:r>
      <w:r>
        <w:rPr>
          <w:spacing w:val="-4"/>
        </w:rPr>
        <w:t> </w:t>
      </w:r>
      <w:r>
        <w:rPr/>
        <w:t>Empirical</w:t>
      </w:r>
      <w:r>
        <w:rPr>
          <w:spacing w:val="-3"/>
        </w:rPr>
        <w:t> </w:t>
      </w:r>
      <w:r>
        <w:rPr>
          <w:spacing w:val="-2"/>
        </w:rPr>
        <w:t>Microeconomics</w:t>
      </w:r>
    </w:p>
    <w:p>
      <w:pPr>
        <w:pStyle w:val="BodyText"/>
        <w:spacing w:before="273"/>
      </w:pPr>
    </w:p>
    <w:p>
      <w:pPr>
        <w:pStyle w:val="Heading1"/>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188434</wp:posOffset>
                </wp:positionV>
                <wp:extent cx="5730240" cy="1270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30240" cy="12700"/>
                        </a:xfrm>
                        <a:custGeom>
                          <a:avLst/>
                          <a:gdLst/>
                          <a:ahLst/>
                          <a:cxnLst/>
                          <a:rect l="l" t="t" r="r" b="b"/>
                          <a:pathLst>
                            <a:path w="5730240" h="12700">
                              <a:moveTo>
                                <a:pt x="5730240" y="0"/>
                              </a:moveTo>
                              <a:lnTo>
                                <a:pt x="1051560" y="0"/>
                              </a:lnTo>
                              <a:lnTo>
                                <a:pt x="1039368" y="0"/>
                              </a:lnTo>
                              <a:lnTo>
                                <a:pt x="0" y="0"/>
                              </a:lnTo>
                              <a:lnTo>
                                <a:pt x="0" y="12192"/>
                              </a:lnTo>
                              <a:lnTo>
                                <a:pt x="1039368" y="12192"/>
                              </a:lnTo>
                              <a:lnTo>
                                <a:pt x="1051560" y="12192"/>
                              </a:lnTo>
                              <a:lnTo>
                                <a:pt x="5730240" y="12192"/>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14.837358pt;width:451.2pt;height:1pt;mso-position-horizontal-relative:page;mso-position-vertical-relative:paragraph;z-index:-15728640;mso-wrap-distance-left:0;mso-wrap-distance-right:0" id="docshape1" coordorigin="1440,297" coordsize="9024,20" path="m10464,297l3096,297,3077,297,1440,297,1440,316,3077,316,3096,316,10464,316,10464,297xe" filled="true" fillcolor="#000000" stroked="false">
                <v:path arrowok="t"/>
                <v:fill type="solid"/>
                <w10:wrap type="topAndBottom"/>
              </v:shape>
            </w:pict>
          </mc:Fallback>
        </mc:AlternateContent>
      </w:r>
      <w:r>
        <w:rPr/>
        <w:t>Professional</w:t>
      </w:r>
      <w:r>
        <w:rPr>
          <w:spacing w:val="-3"/>
        </w:rPr>
        <w:t> </w:t>
      </w:r>
      <w:r>
        <w:rPr>
          <w:spacing w:val="-2"/>
        </w:rPr>
        <w:t>History</w:t>
      </w:r>
    </w:p>
    <w:p>
      <w:pPr>
        <w:pStyle w:val="BodyText"/>
        <w:tabs>
          <w:tab w:pos="1770" w:val="left" w:leader="none"/>
        </w:tabs>
        <w:spacing w:line="326" w:lineRule="auto" w:before="102"/>
        <w:ind w:left="128" w:right="1505"/>
      </w:pPr>
      <w:r>
        <w:rPr/>
        <w:t>2025 –</w:t>
        <w:tab/>
        <w:t>Associate</w:t>
      </w:r>
      <w:r>
        <w:rPr>
          <w:spacing w:val="-6"/>
        </w:rPr>
        <w:t> </w:t>
      </w:r>
      <w:r>
        <w:rPr/>
        <w:t>Professor</w:t>
      </w:r>
      <w:r>
        <w:rPr>
          <w:spacing w:val="-5"/>
        </w:rPr>
        <w:t> </w:t>
      </w:r>
      <w:r>
        <w:rPr/>
        <w:t>of</w:t>
      </w:r>
      <w:r>
        <w:rPr>
          <w:spacing w:val="-5"/>
        </w:rPr>
        <w:t> </w:t>
      </w:r>
      <w:r>
        <w:rPr/>
        <w:t>Economics,</w:t>
      </w:r>
      <w:r>
        <w:rPr>
          <w:spacing w:val="-5"/>
        </w:rPr>
        <w:t> </w:t>
      </w:r>
      <w:r>
        <w:rPr/>
        <w:t>Arizona</w:t>
      </w:r>
      <w:r>
        <w:rPr>
          <w:spacing w:val="-6"/>
        </w:rPr>
        <w:t> </w:t>
      </w:r>
      <w:r>
        <w:rPr/>
        <w:t>State</w:t>
      </w:r>
      <w:r>
        <w:rPr>
          <w:spacing w:val="-6"/>
        </w:rPr>
        <w:t> </w:t>
      </w:r>
      <w:r>
        <w:rPr/>
        <w:t>University 2019 – 2025</w:t>
        <w:tab/>
        <w:t>Associate Professor of Economics, Florida State University</w:t>
      </w:r>
    </w:p>
    <w:p>
      <w:pPr>
        <w:pStyle w:val="BodyText"/>
        <w:spacing w:after="0" w:line="326" w:lineRule="auto"/>
        <w:sectPr>
          <w:type w:val="continuous"/>
          <w:pgSz w:w="11910" w:h="16840"/>
          <w:pgMar w:top="1340" w:bottom="280" w:left="1417" w:right="1417"/>
        </w:sectPr>
      </w:pPr>
    </w:p>
    <w:p>
      <w:pPr>
        <w:pStyle w:val="BodyText"/>
        <w:spacing w:line="274" w:lineRule="exact"/>
        <w:ind w:left="128"/>
      </w:pPr>
      <w:r>
        <w:rPr/>
        <w:t>2017 – </w:t>
      </w:r>
      <w:r>
        <w:rPr>
          <w:spacing w:val="-4"/>
        </w:rPr>
        <w:t>2019</w:t>
      </w:r>
    </w:p>
    <w:p>
      <w:pPr>
        <w:pStyle w:val="BodyText"/>
        <w:spacing w:before="103"/>
        <w:ind w:left="128"/>
      </w:pPr>
      <w:r>
        <w:rPr/>
        <w:t>2012 – </w:t>
      </w:r>
      <w:r>
        <w:rPr>
          <w:spacing w:val="-4"/>
        </w:rPr>
        <w:t>2017</w:t>
      </w:r>
    </w:p>
    <w:p>
      <w:pPr>
        <w:pStyle w:val="BodyText"/>
        <w:spacing w:line="328" w:lineRule="auto"/>
        <w:ind w:left="128" w:right="238"/>
      </w:pPr>
      <w:r>
        <w:rPr/>
        <w:br w:type="column"/>
      </w:r>
      <w:r>
        <w:rPr/>
        <w:t>Tenured</w:t>
      </w:r>
      <w:r>
        <w:rPr>
          <w:spacing w:val="-4"/>
        </w:rPr>
        <w:t> </w:t>
      </w:r>
      <w:r>
        <w:rPr/>
        <w:t>Assistant</w:t>
      </w:r>
      <w:r>
        <w:rPr>
          <w:spacing w:val="-4"/>
        </w:rPr>
        <w:t> </w:t>
      </w:r>
      <w:r>
        <w:rPr/>
        <w:t>Professor</w:t>
      </w:r>
      <w:r>
        <w:rPr>
          <w:spacing w:val="-4"/>
        </w:rPr>
        <w:t> </w:t>
      </w:r>
      <w:r>
        <w:rPr/>
        <w:t>in</w:t>
      </w:r>
      <w:r>
        <w:rPr>
          <w:spacing w:val="-4"/>
        </w:rPr>
        <w:t> </w:t>
      </w:r>
      <w:r>
        <w:rPr/>
        <w:t>Economics,</w:t>
      </w:r>
      <w:r>
        <w:rPr>
          <w:spacing w:val="-4"/>
        </w:rPr>
        <w:t> </w:t>
      </w:r>
      <w:r>
        <w:rPr/>
        <w:t>London</w:t>
      </w:r>
      <w:r>
        <w:rPr>
          <w:spacing w:val="-4"/>
        </w:rPr>
        <w:t> </w:t>
      </w:r>
      <w:r>
        <w:rPr/>
        <w:t>School</w:t>
      </w:r>
      <w:r>
        <w:rPr>
          <w:spacing w:val="-4"/>
        </w:rPr>
        <w:t> </w:t>
      </w:r>
      <w:r>
        <w:rPr/>
        <w:t>of</w:t>
      </w:r>
      <w:r>
        <w:rPr>
          <w:spacing w:val="-5"/>
        </w:rPr>
        <w:t> </w:t>
      </w:r>
      <w:r>
        <w:rPr/>
        <w:t>Economics Assistant Professor in Economics, London School of Economics</w:t>
      </w:r>
    </w:p>
    <w:p>
      <w:pPr>
        <w:pStyle w:val="BodyText"/>
        <w:spacing w:after="0" w:line="328" w:lineRule="auto"/>
        <w:sectPr>
          <w:type w:val="continuous"/>
          <w:pgSz w:w="11910" w:h="16840"/>
          <w:pgMar w:top="1340" w:bottom="280" w:left="1417" w:right="1417"/>
          <w:cols w:num="2" w:equalWidth="0">
            <w:col w:w="1369" w:space="273"/>
            <w:col w:w="7434"/>
          </w:cols>
        </w:sectPr>
      </w:pPr>
    </w:p>
    <w:p>
      <w:pPr>
        <w:pStyle w:val="BodyText"/>
        <w:tabs>
          <w:tab w:pos="1770" w:val="left" w:leader="none"/>
        </w:tabs>
        <w:spacing w:line="326" w:lineRule="auto"/>
        <w:ind w:left="128" w:right="2078"/>
      </w:pPr>
      <w:r>
        <w:rPr/>
        <w:t>2009 – 2011</w:t>
        <w:tab/>
        <w:t>Research</w:t>
      </w:r>
      <w:r>
        <w:rPr>
          <w:spacing w:val="-6"/>
        </w:rPr>
        <w:t> </w:t>
      </w:r>
      <w:r>
        <w:rPr/>
        <w:t>Assistant</w:t>
      </w:r>
      <w:r>
        <w:rPr>
          <w:spacing w:val="-6"/>
        </w:rPr>
        <w:t> </w:t>
      </w:r>
      <w:r>
        <w:rPr/>
        <w:t>for</w:t>
      </w:r>
      <w:r>
        <w:rPr>
          <w:spacing w:val="-6"/>
        </w:rPr>
        <w:t> </w:t>
      </w:r>
      <w:r>
        <w:rPr/>
        <w:t>Tong</w:t>
      </w:r>
      <w:r>
        <w:rPr>
          <w:spacing w:val="-6"/>
        </w:rPr>
        <w:t> </w:t>
      </w:r>
      <w:r>
        <w:rPr/>
        <w:t>Li,</w:t>
      </w:r>
      <w:r>
        <w:rPr>
          <w:spacing w:val="-6"/>
        </w:rPr>
        <w:t> </w:t>
      </w:r>
      <w:r>
        <w:rPr/>
        <w:t>Vanderbilt</w:t>
      </w:r>
      <w:r>
        <w:rPr>
          <w:spacing w:val="-6"/>
        </w:rPr>
        <w:t> </w:t>
      </w:r>
      <w:r>
        <w:rPr/>
        <w:t>University 2008 – 2009</w:t>
        <w:tab/>
        <w:t>Teaching Assistant, Vanderbilt University</w:t>
      </w:r>
    </w:p>
    <w:p>
      <w:pPr>
        <w:pStyle w:val="BodyText"/>
        <w:spacing w:before="174"/>
      </w:pPr>
    </w:p>
    <w:p>
      <w:pPr>
        <w:pStyle w:val="Heading1"/>
      </w:pPr>
      <w:r>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188045</wp:posOffset>
                </wp:positionV>
                <wp:extent cx="573024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30240" cy="6350"/>
                        </a:xfrm>
                        <a:custGeom>
                          <a:avLst/>
                          <a:gdLst/>
                          <a:ahLst/>
                          <a:cxnLst/>
                          <a:rect l="l" t="t" r="r" b="b"/>
                          <a:pathLst>
                            <a:path w="5730240" h="6350">
                              <a:moveTo>
                                <a:pt x="5730240" y="0"/>
                              </a:moveTo>
                              <a:lnTo>
                                <a:pt x="1051560" y="0"/>
                              </a:lnTo>
                              <a:lnTo>
                                <a:pt x="1045464" y="0"/>
                              </a:lnTo>
                              <a:lnTo>
                                <a:pt x="0" y="0"/>
                              </a:lnTo>
                              <a:lnTo>
                                <a:pt x="0" y="6096"/>
                              </a:lnTo>
                              <a:lnTo>
                                <a:pt x="1045464" y="6096"/>
                              </a:lnTo>
                              <a:lnTo>
                                <a:pt x="1051560" y="6096"/>
                              </a:lnTo>
                              <a:lnTo>
                                <a:pt x="5730240" y="6096"/>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14.80674pt;width:451.2pt;height:.5pt;mso-position-horizontal-relative:page;mso-position-vertical-relative:paragraph;z-index:15729664" id="docshape2" coordorigin="1440,296" coordsize="9024,10" path="m10464,296l3096,296,3086,296,1440,296,1440,306,3086,306,3096,306,10464,306,10464,296xe" filled="true" fillcolor="#000000" stroked="false">
                <v:path arrowok="t"/>
                <v:fill type="solid"/>
                <w10:wrap type="none"/>
              </v:shape>
            </w:pict>
          </mc:Fallback>
        </mc:AlternateContent>
      </w:r>
      <w:r>
        <w:rPr/>
        <w:t>Visiting </w:t>
      </w:r>
      <w:r>
        <w:rPr>
          <w:spacing w:val="-2"/>
        </w:rPr>
        <w:t>Positions</w:t>
      </w:r>
    </w:p>
    <w:p>
      <w:pPr>
        <w:pStyle w:val="Heading1"/>
        <w:spacing w:after="0"/>
        <w:sectPr>
          <w:type w:val="continuous"/>
          <w:pgSz w:w="11910" w:h="16840"/>
          <w:pgMar w:top="1340" w:bottom="280" w:left="1417" w:right="1417"/>
        </w:sectPr>
      </w:pPr>
    </w:p>
    <w:p>
      <w:pPr>
        <w:pStyle w:val="BodyText"/>
        <w:spacing w:before="127"/>
        <w:ind w:left="128"/>
      </w:pPr>
      <w:r>
        <w:rPr/>
        <w:t>2018 – </w:t>
      </w:r>
      <w:r>
        <w:rPr>
          <w:spacing w:val="-4"/>
        </w:rPr>
        <w:t>2019</w:t>
      </w:r>
    </w:p>
    <w:p>
      <w:pPr>
        <w:pStyle w:val="BodyText"/>
        <w:spacing w:before="98"/>
        <w:ind w:left="128"/>
      </w:pPr>
      <w:r>
        <w:rPr/>
        <w:t>Summer</w:t>
      </w:r>
      <w:r>
        <w:rPr>
          <w:spacing w:val="-1"/>
        </w:rPr>
        <w:t> </w:t>
      </w:r>
      <w:r>
        <w:rPr>
          <w:spacing w:val="-4"/>
        </w:rPr>
        <w:t>2017</w:t>
      </w:r>
    </w:p>
    <w:p>
      <w:pPr>
        <w:pStyle w:val="BodyText"/>
        <w:spacing w:before="104"/>
        <w:ind w:left="128"/>
      </w:pPr>
      <w:r>
        <w:rPr/>
        <w:t>Fall</w:t>
      </w:r>
      <w:r>
        <w:rPr>
          <w:spacing w:val="-1"/>
        </w:rPr>
        <w:t> </w:t>
      </w:r>
      <w:r>
        <w:rPr>
          <w:spacing w:val="-4"/>
        </w:rPr>
        <w:t>2013</w:t>
      </w:r>
    </w:p>
    <w:p>
      <w:pPr>
        <w:pStyle w:val="BodyText"/>
        <w:spacing w:line="326" w:lineRule="auto" w:before="127"/>
        <w:ind w:left="128" w:right="1481"/>
      </w:pPr>
      <w:r>
        <w:rPr/>
        <w:br w:type="column"/>
      </w:r>
      <w:r>
        <w:rPr/>
        <w:t>Visiting</w:t>
      </w:r>
      <w:r>
        <w:rPr>
          <w:spacing w:val="-5"/>
        </w:rPr>
        <w:t> </w:t>
      </w:r>
      <w:r>
        <w:rPr/>
        <w:t>Assistant</w:t>
      </w:r>
      <w:r>
        <w:rPr>
          <w:spacing w:val="-5"/>
        </w:rPr>
        <w:t> </w:t>
      </w:r>
      <w:r>
        <w:rPr/>
        <w:t>Professor,</w:t>
      </w:r>
      <w:r>
        <w:rPr>
          <w:spacing w:val="-5"/>
        </w:rPr>
        <w:t> </w:t>
      </w:r>
      <w:r>
        <w:rPr/>
        <w:t>Toulouse</w:t>
      </w:r>
      <w:r>
        <w:rPr>
          <w:spacing w:val="-6"/>
        </w:rPr>
        <w:t> </w:t>
      </w:r>
      <w:r>
        <w:rPr/>
        <w:t>School</w:t>
      </w:r>
      <w:r>
        <w:rPr>
          <w:spacing w:val="-5"/>
        </w:rPr>
        <w:t> </w:t>
      </w:r>
      <w:r>
        <w:rPr/>
        <w:t>of</w:t>
      </w:r>
      <w:r>
        <w:rPr>
          <w:spacing w:val="-5"/>
        </w:rPr>
        <w:t> </w:t>
      </w:r>
      <w:r>
        <w:rPr/>
        <w:t>Economics Visiting Scholar, University of Pennsylvania</w:t>
      </w:r>
    </w:p>
    <w:p>
      <w:pPr>
        <w:pStyle w:val="BodyText"/>
        <w:spacing w:before="3"/>
        <w:ind w:left="128"/>
      </w:pPr>
      <w:r>
        <w:rPr/>
        <w:t>Visiting</w:t>
      </w:r>
      <w:r>
        <w:rPr>
          <w:spacing w:val="-1"/>
        </w:rPr>
        <w:t> </w:t>
      </w:r>
      <w:r>
        <w:rPr/>
        <w:t>Assistant</w:t>
      </w:r>
      <w:r>
        <w:rPr>
          <w:spacing w:val="-1"/>
        </w:rPr>
        <w:t> </w:t>
      </w:r>
      <w:r>
        <w:rPr/>
        <w:t>Professor,</w:t>
      </w:r>
      <w:r>
        <w:rPr>
          <w:spacing w:val="-1"/>
        </w:rPr>
        <w:t> </w:t>
      </w:r>
      <w:r>
        <w:rPr/>
        <w:t>University</w:t>
      </w:r>
      <w:r>
        <w:rPr>
          <w:spacing w:val="-1"/>
        </w:rPr>
        <w:t> </w:t>
      </w:r>
      <w:r>
        <w:rPr/>
        <w:t>of </w:t>
      </w:r>
      <w:r>
        <w:rPr>
          <w:spacing w:val="-2"/>
        </w:rPr>
        <w:t>Chicago</w:t>
      </w:r>
    </w:p>
    <w:p>
      <w:pPr>
        <w:pStyle w:val="BodyText"/>
        <w:spacing w:after="0"/>
        <w:sectPr>
          <w:type w:val="continuous"/>
          <w:pgSz w:w="11910" w:h="16840"/>
          <w:pgMar w:top="1340" w:bottom="280" w:left="1417" w:right="1417"/>
          <w:cols w:num="2" w:equalWidth="0">
            <w:col w:w="1522" w:space="129"/>
            <w:col w:w="7425"/>
          </w:cols>
        </w:sectPr>
      </w:pPr>
    </w:p>
    <w:p>
      <w:pPr>
        <w:pStyle w:val="BodyText"/>
        <w:spacing w:before="273"/>
      </w:pPr>
    </w:p>
    <w:p>
      <w:pPr>
        <w:pStyle w:val="Heading1"/>
      </w:pPr>
      <w:r>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188374</wp:posOffset>
                </wp:positionV>
                <wp:extent cx="573024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30240" cy="6350"/>
                        </a:xfrm>
                        <a:custGeom>
                          <a:avLst/>
                          <a:gdLst/>
                          <a:ahLst/>
                          <a:cxnLst/>
                          <a:rect l="l" t="t" r="r" b="b"/>
                          <a:pathLst>
                            <a:path w="5730240" h="6350">
                              <a:moveTo>
                                <a:pt x="5730240" y="0"/>
                              </a:moveTo>
                              <a:lnTo>
                                <a:pt x="1045464" y="0"/>
                              </a:lnTo>
                              <a:lnTo>
                                <a:pt x="1039368" y="0"/>
                              </a:lnTo>
                              <a:lnTo>
                                <a:pt x="0" y="0"/>
                              </a:lnTo>
                              <a:lnTo>
                                <a:pt x="0" y="6096"/>
                              </a:lnTo>
                              <a:lnTo>
                                <a:pt x="1039368" y="6096"/>
                              </a:lnTo>
                              <a:lnTo>
                                <a:pt x="1045464" y="6096"/>
                              </a:lnTo>
                              <a:lnTo>
                                <a:pt x="5730240" y="6096"/>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14.832603pt;width:451.2pt;height:.5pt;mso-position-horizontal-relative:page;mso-position-vertical-relative:paragraph;z-index:-15728128;mso-wrap-distance-left:0;mso-wrap-distance-right:0" id="docshape3" coordorigin="1440,297" coordsize="9024,10" path="m10464,297l3086,297,3077,297,1440,297,1440,306,3077,306,3086,306,10464,306,10464,297xe" filled="true" fillcolor="#000000" stroked="false">
                <v:path arrowok="t"/>
                <v:fill type="solid"/>
                <w10:wrap type="topAndBottom"/>
              </v:shape>
            </w:pict>
          </mc:Fallback>
        </mc:AlternateContent>
      </w:r>
      <w:r>
        <w:rPr>
          <w:spacing w:val="-2"/>
        </w:rPr>
        <w:t>Education</w:t>
      </w:r>
    </w:p>
    <w:p>
      <w:pPr>
        <w:pStyle w:val="BodyText"/>
        <w:tabs>
          <w:tab w:pos="1770" w:val="left" w:leader="none"/>
        </w:tabs>
        <w:spacing w:line="326" w:lineRule="auto" w:before="102"/>
        <w:ind w:left="128" w:right="3098"/>
      </w:pPr>
      <w:r>
        <w:rPr/>
        <w:t>2009 – 2012</w:t>
        <w:tab/>
        <w:t>Ph.</w:t>
      </w:r>
      <w:r>
        <w:rPr>
          <w:spacing w:val="-7"/>
        </w:rPr>
        <w:t> </w:t>
      </w:r>
      <w:r>
        <w:rPr/>
        <w:t>D.</w:t>
      </w:r>
      <w:r>
        <w:rPr>
          <w:spacing w:val="-7"/>
        </w:rPr>
        <w:t> </w:t>
      </w:r>
      <w:r>
        <w:rPr/>
        <w:t>in</w:t>
      </w:r>
      <w:r>
        <w:rPr>
          <w:spacing w:val="-7"/>
        </w:rPr>
        <w:t> </w:t>
      </w:r>
      <w:r>
        <w:rPr/>
        <w:t>Economics,</w:t>
      </w:r>
      <w:r>
        <w:rPr>
          <w:spacing w:val="-7"/>
        </w:rPr>
        <w:t> </w:t>
      </w:r>
      <w:r>
        <w:rPr/>
        <w:t>Vanderbilt</w:t>
      </w:r>
      <w:r>
        <w:rPr>
          <w:spacing w:val="-7"/>
        </w:rPr>
        <w:t> </w:t>
      </w:r>
      <w:r>
        <w:rPr/>
        <w:t>University 2007 – 2009</w:t>
        <w:tab/>
        <w:t>M.S. in Economics, Vanderbilt University</w:t>
      </w:r>
    </w:p>
    <w:p>
      <w:pPr>
        <w:pStyle w:val="BodyText"/>
        <w:tabs>
          <w:tab w:pos="1770" w:val="left" w:leader="none"/>
        </w:tabs>
        <w:spacing w:line="274" w:lineRule="exact"/>
        <w:ind w:left="128"/>
      </w:pPr>
      <w:r>
        <w:rPr/>
        <w:t>2003 – </w:t>
      </w:r>
      <w:r>
        <w:rPr>
          <w:spacing w:val="-4"/>
        </w:rPr>
        <w:t>2007</w:t>
      </w:r>
      <w:r>
        <w:rPr/>
        <w:tab/>
        <w:t>B.S.</w:t>
      </w:r>
      <w:r>
        <w:rPr>
          <w:spacing w:val="-4"/>
        </w:rPr>
        <w:t> </w:t>
      </w:r>
      <w:r>
        <w:rPr/>
        <w:t>in</w:t>
      </w:r>
      <w:r>
        <w:rPr>
          <w:spacing w:val="-1"/>
        </w:rPr>
        <w:t> </w:t>
      </w:r>
      <w:r>
        <w:rPr/>
        <w:t>Politics,</w:t>
      </w:r>
      <w:r>
        <w:rPr>
          <w:spacing w:val="-1"/>
        </w:rPr>
        <w:t> </w:t>
      </w:r>
      <w:r>
        <w:rPr/>
        <w:t>Philosophy</w:t>
      </w:r>
      <w:r>
        <w:rPr>
          <w:spacing w:val="-1"/>
        </w:rPr>
        <w:t> </w:t>
      </w:r>
      <w:r>
        <w:rPr/>
        <w:t>and</w:t>
      </w:r>
      <w:r>
        <w:rPr>
          <w:spacing w:val="-1"/>
        </w:rPr>
        <w:t> </w:t>
      </w:r>
      <w:r>
        <w:rPr/>
        <w:t>Economics,</w:t>
      </w:r>
      <w:r>
        <w:rPr>
          <w:spacing w:val="-1"/>
        </w:rPr>
        <w:t> </w:t>
      </w:r>
      <w:r>
        <w:rPr/>
        <w:t>Union</w:t>
      </w:r>
      <w:r>
        <w:rPr>
          <w:spacing w:val="-1"/>
        </w:rPr>
        <w:t> </w:t>
      </w:r>
      <w:r>
        <w:rPr/>
        <w:t>University</w:t>
      </w:r>
      <w:r>
        <w:rPr>
          <w:spacing w:val="-1"/>
        </w:rPr>
        <w:t> </w:t>
      </w:r>
      <w:r>
        <w:rPr>
          <w:spacing w:val="-2"/>
        </w:rPr>
        <w:t>(Honors)</w:t>
      </w:r>
    </w:p>
    <w:p>
      <w:pPr>
        <w:pStyle w:val="BodyText"/>
      </w:pPr>
    </w:p>
    <w:p>
      <w:pPr>
        <w:pStyle w:val="BodyText"/>
        <w:spacing w:before="36"/>
      </w:pPr>
    </w:p>
    <w:p>
      <w:pPr>
        <w:pStyle w:val="Heading1"/>
      </w:pPr>
      <w:r>
        <w:rPr/>
        <w:t>Editorial</w:t>
      </w:r>
      <w:r>
        <w:rPr>
          <w:spacing w:val="-2"/>
        </w:rPr>
        <w:t> Positions</w:t>
      </w:r>
    </w:p>
    <w:p>
      <w:pPr>
        <w:pStyle w:val="BodyText"/>
        <w:tabs>
          <w:tab w:pos="1750" w:val="left" w:leader="none"/>
        </w:tabs>
        <w:spacing w:before="3"/>
        <w:ind w:left="128"/>
      </w:pPr>
      <w:r>
        <w:rPr/>
        <w:t>2020 </w:t>
      </w:r>
      <w:r>
        <w:rPr>
          <w:spacing w:val="-10"/>
        </w:rPr>
        <w:t>–</w:t>
      </w:r>
      <w:r>
        <w:rPr/>
        <w:tab/>
        <w:t>Co-Editor,</w:t>
      </w:r>
      <w:r>
        <w:rPr>
          <w:spacing w:val="-4"/>
        </w:rPr>
        <w:t> </w:t>
      </w:r>
      <w:r>
        <w:rPr/>
        <w:t>International</w:t>
      </w:r>
      <w:r>
        <w:rPr>
          <w:spacing w:val="-2"/>
        </w:rPr>
        <w:t> </w:t>
      </w:r>
      <w:r>
        <w:rPr/>
        <w:t>Journal</w:t>
      </w:r>
      <w:r>
        <w:rPr>
          <w:spacing w:val="-2"/>
        </w:rPr>
        <w:t> </w:t>
      </w:r>
      <w:r>
        <w:rPr/>
        <w:t>of</w:t>
      </w:r>
      <w:r>
        <w:rPr>
          <w:spacing w:val="-2"/>
        </w:rPr>
        <w:t> </w:t>
      </w:r>
      <w:r>
        <w:rPr/>
        <w:t>Industrial</w:t>
      </w:r>
      <w:r>
        <w:rPr>
          <w:spacing w:val="-1"/>
        </w:rPr>
        <w:t> </w:t>
      </w:r>
      <w:r>
        <w:rPr>
          <w:spacing w:val="-2"/>
        </w:rPr>
        <w:t>Organization</w:t>
      </w:r>
    </w:p>
    <w:p>
      <w:pPr>
        <w:pStyle w:val="BodyText"/>
        <w:spacing w:before="273"/>
      </w:pPr>
    </w:p>
    <w:p>
      <w:pPr>
        <w:pStyle w:val="Heading1"/>
        <w:tabs>
          <w:tab w:pos="9046" w:val="left" w:leader="none"/>
        </w:tabs>
        <w:ind w:left="23"/>
      </w:pPr>
      <w:r>
        <w:rPr>
          <w:spacing w:val="42"/>
          <w:u w:val="single"/>
        </w:rPr>
        <w:t> </w:t>
      </w:r>
      <w:r>
        <w:rPr>
          <w:u w:val="single"/>
        </w:rPr>
        <w:t>Research</w:t>
      </w:r>
      <w:r>
        <w:rPr>
          <w:spacing w:val="-1"/>
          <w:u w:val="single"/>
        </w:rPr>
        <w:t> </w:t>
      </w:r>
      <w:r>
        <w:rPr>
          <w:spacing w:val="-2"/>
          <w:u w:val="single"/>
        </w:rPr>
        <w:t>Grants</w:t>
      </w:r>
      <w:r>
        <w:rPr>
          <w:u w:val="single"/>
        </w:rPr>
        <w:tab/>
      </w:r>
    </w:p>
    <w:p>
      <w:pPr>
        <w:pStyle w:val="BodyText"/>
        <w:spacing w:before="10"/>
        <w:rPr>
          <w:b/>
        </w:rPr>
      </w:pPr>
    </w:p>
    <w:p>
      <w:pPr>
        <w:pStyle w:val="BodyText"/>
        <w:spacing w:line="242" w:lineRule="auto"/>
        <w:ind w:left="412" w:right="174" w:hanging="284"/>
      </w:pPr>
      <w:r>
        <w:rPr/>
        <w:t>ESRC</w:t>
      </w:r>
      <w:r>
        <w:rPr>
          <w:spacing w:val="-4"/>
        </w:rPr>
        <w:t> </w:t>
      </w:r>
      <w:r>
        <w:rPr/>
        <w:t>Grant</w:t>
      </w:r>
      <w:r>
        <w:rPr>
          <w:spacing w:val="-5"/>
        </w:rPr>
        <w:t> </w:t>
      </w:r>
      <w:r>
        <w:rPr/>
        <w:t>ES/N000056/1,</w:t>
      </w:r>
      <w:r>
        <w:rPr>
          <w:spacing w:val="-4"/>
        </w:rPr>
        <w:t> </w:t>
      </w:r>
      <w:r>
        <w:rPr/>
        <w:t>“Simultaneous</w:t>
      </w:r>
      <w:r>
        <w:rPr>
          <w:spacing w:val="-4"/>
        </w:rPr>
        <w:t> </w:t>
      </w:r>
      <w:r>
        <w:rPr/>
        <w:t>First-Price</w:t>
      </w:r>
      <w:r>
        <w:rPr>
          <w:spacing w:val="-5"/>
        </w:rPr>
        <w:t> </w:t>
      </w:r>
      <w:r>
        <w:rPr/>
        <w:t>Auctions</w:t>
      </w:r>
      <w:r>
        <w:rPr>
          <w:spacing w:val="-4"/>
        </w:rPr>
        <w:t> </w:t>
      </w:r>
      <w:r>
        <w:rPr/>
        <w:t>with</w:t>
      </w:r>
      <w:r>
        <w:rPr>
          <w:spacing w:val="-4"/>
        </w:rPr>
        <w:t> </w:t>
      </w:r>
      <w:r>
        <w:rPr/>
        <w:t>Preferences</w:t>
      </w:r>
      <w:r>
        <w:rPr>
          <w:spacing w:val="-4"/>
        </w:rPr>
        <w:t> </w:t>
      </w:r>
      <w:r>
        <w:rPr/>
        <w:t>Over Combinations,” September 2015. (With Pasquale Schiraldi and Tatiana Komarova)</w:t>
      </w:r>
    </w:p>
    <w:p>
      <w:pPr>
        <w:pStyle w:val="BodyText"/>
        <w:spacing w:after="0" w:line="242" w:lineRule="auto"/>
        <w:sectPr>
          <w:type w:val="continuous"/>
          <w:pgSz w:w="11910" w:h="16840"/>
          <w:pgMar w:top="1340" w:bottom="280" w:left="1417" w:right="1417"/>
        </w:sectPr>
      </w:pPr>
    </w:p>
    <w:p>
      <w:pPr>
        <w:pStyle w:val="Heading1"/>
        <w:spacing w:before="78"/>
      </w:pPr>
      <w:r>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240791</wp:posOffset>
                </wp:positionV>
                <wp:extent cx="573024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30240" cy="6350"/>
                        </a:xfrm>
                        <a:custGeom>
                          <a:avLst/>
                          <a:gdLst/>
                          <a:ahLst/>
                          <a:cxnLst/>
                          <a:rect l="l" t="t" r="r" b="b"/>
                          <a:pathLst>
                            <a:path w="5730240" h="6350">
                              <a:moveTo>
                                <a:pt x="5730240" y="0"/>
                              </a:moveTo>
                              <a:lnTo>
                                <a:pt x="0" y="0"/>
                              </a:lnTo>
                              <a:lnTo>
                                <a:pt x="0" y="6096"/>
                              </a:lnTo>
                              <a:lnTo>
                                <a:pt x="5730240" y="6096"/>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8.959999pt;width:451.2pt;height:.48pt;mso-position-horizontal-relative:page;mso-position-vertical-relative:paragraph;z-index:-15727104;mso-wrap-distance-left:0;mso-wrap-distance-right:0" id="docshape4" filled="true" fillcolor="#000000" stroked="false">
                <v:fill type="solid"/>
                <w10:wrap type="topAndBottom"/>
              </v:rect>
            </w:pict>
          </mc:Fallback>
        </mc:AlternateContent>
      </w:r>
      <w:r>
        <w:rPr/>
        <w:t>Published</w:t>
      </w:r>
      <w:r>
        <w:rPr>
          <w:spacing w:val="-5"/>
        </w:rPr>
        <w:t> </w:t>
      </w:r>
      <w:r>
        <w:rPr/>
        <w:t>and</w:t>
      </w:r>
      <w:r>
        <w:rPr>
          <w:spacing w:val="-4"/>
        </w:rPr>
        <w:t> </w:t>
      </w:r>
      <w:r>
        <w:rPr/>
        <w:t>Accepted</w:t>
      </w:r>
      <w:r>
        <w:rPr>
          <w:spacing w:val="-4"/>
        </w:rPr>
        <w:t> </w:t>
      </w:r>
      <w:r>
        <w:rPr>
          <w:spacing w:val="-2"/>
        </w:rPr>
        <w:t>Research</w:t>
      </w:r>
    </w:p>
    <w:p>
      <w:pPr>
        <w:pStyle w:val="BodyText"/>
        <w:spacing w:before="236"/>
        <w:ind w:left="412" w:right="174" w:hanging="284"/>
        <w:rPr>
          <w:i/>
        </w:rPr>
      </w:pPr>
      <w:r>
        <w:rPr/>
        <w:t>“On the Timing of Auctions: The Effects of Complementarities on Sequential and Simultaneous</w:t>
      </w:r>
      <w:r>
        <w:rPr>
          <w:spacing w:val="-4"/>
        </w:rPr>
        <w:t> </w:t>
      </w:r>
      <w:r>
        <w:rPr/>
        <w:t>Bidding,”</w:t>
      </w:r>
      <w:r>
        <w:rPr>
          <w:spacing w:val="-5"/>
        </w:rPr>
        <w:t> </w:t>
      </w:r>
      <w:r>
        <w:rPr/>
        <w:t>with</w:t>
      </w:r>
      <w:r>
        <w:rPr>
          <w:spacing w:val="-4"/>
        </w:rPr>
        <w:t> </w:t>
      </w:r>
      <w:r>
        <w:rPr/>
        <w:t>Alex</w:t>
      </w:r>
      <w:r>
        <w:rPr>
          <w:spacing w:val="-4"/>
        </w:rPr>
        <w:t> </w:t>
      </w:r>
      <w:r>
        <w:rPr/>
        <w:t>Arsenault-Morin</w:t>
      </w:r>
      <w:r>
        <w:rPr>
          <w:spacing w:val="-4"/>
        </w:rPr>
        <w:t> </w:t>
      </w:r>
      <w:r>
        <w:rPr/>
        <w:t>and</w:t>
      </w:r>
      <w:r>
        <w:rPr>
          <w:spacing w:val="-4"/>
        </w:rPr>
        <w:t> </w:t>
      </w:r>
      <w:r>
        <w:rPr/>
        <w:t>Hayri</w:t>
      </w:r>
      <w:r>
        <w:rPr>
          <w:spacing w:val="-4"/>
        </w:rPr>
        <w:t> </w:t>
      </w:r>
      <w:r>
        <w:rPr/>
        <w:t>Alper</w:t>
      </w:r>
      <w:r>
        <w:rPr>
          <w:spacing w:val="-4"/>
        </w:rPr>
        <w:t> </w:t>
      </w:r>
      <w:r>
        <w:rPr/>
        <w:t>Arslan.</w:t>
      </w:r>
      <w:r>
        <w:rPr>
          <w:spacing w:val="-5"/>
        </w:rPr>
        <w:t> </w:t>
      </w:r>
      <w:r>
        <w:rPr>
          <w:i/>
        </w:rPr>
        <w:t>Accepted, RAND Journal of Economics.</w:t>
      </w:r>
    </w:p>
    <w:p>
      <w:pPr>
        <w:pStyle w:val="BodyText"/>
        <w:spacing w:before="238"/>
        <w:ind w:left="412" w:right="174" w:hanging="284"/>
        <w:rPr>
          <w:i/>
        </w:rPr>
      </w:pPr>
      <w:r>
        <w:rPr/>
        <w:t>“Identification and Estimation in First-Price Auctions with Risk-Averse Bidders and Selective</w:t>
      </w:r>
      <w:r>
        <w:rPr>
          <w:spacing w:val="-4"/>
        </w:rPr>
        <w:t> </w:t>
      </w:r>
      <w:r>
        <w:rPr/>
        <w:t>Entry,”</w:t>
      </w:r>
      <w:r>
        <w:rPr>
          <w:spacing w:val="-4"/>
        </w:rPr>
        <w:t> </w:t>
      </w:r>
      <w:r>
        <w:rPr/>
        <w:t>with</w:t>
      </w:r>
      <w:r>
        <w:rPr>
          <w:spacing w:val="-3"/>
        </w:rPr>
        <w:t> </w:t>
      </w:r>
      <w:r>
        <w:rPr/>
        <w:t>Xiaohong</w:t>
      </w:r>
      <w:r>
        <w:rPr>
          <w:spacing w:val="-3"/>
        </w:rPr>
        <w:t> </w:t>
      </w:r>
      <w:r>
        <w:rPr/>
        <w:t>Chen,</w:t>
      </w:r>
      <w:r>
        <w:rPr>
          <w:spacing w:val="-3"/>
        </w:rPr>
        <w:t> </w:t>
      </w:r>
      <w:r>
        <w:rPr/>
        <w:t>Tong</w:t>
      </w:r>
      <w:r>
        <w:rPr>
          <w:spacing w:val="-3"/>
        </w:rPr>
        <w:t> </w:t>
      </w:r>
      <w:r>
        <w:rPr/>
        <w:t>Li</w:t>
      </w:r>
      <w:r>
        <w:rPr>
          <w:spacing w:val="-3"/>
        </w:rPr>
        <w:t> </w:t>
      </w:r>
      <w:r>
        <w:rPr/>
        <w:t>and</w:t>
      </w:r>
      <w:r>
        <w:rPr>
          <w:spacing w:val="-3"/>
        </w:rPr>
        <w:t> </w:t>
      </w:r>
      <w:r>
        <w:rPr/>
        <w:t>Jingfeng</w:t>
      </w:r>
      <w:r>
        <w:rPr>
          <w:spacing w:val="-3"/>
        </w:rPr>
        <w:t> </w:t>
      </w:r>
      <w:r>
        <w:rPr/>
        <w:t>Lu.</w:t>
      </w:r>
      <w:r>
        <w:rPr>
          <w:spacing w:val="-4"/>
        </w:rPr>
        <w:t> </w:t>
      </w:r>
      <w:r>
        <w:rPr/>
        <w:t>Forthcoming</w:t>
      </w:r>
      <w:r>
        <w:rPr>
          <w:i/>
        </w:rPr>
        <w:t>,</w:t>
      </w:r>
      <w:r>
        <w:rPr>
          <w:i/>
          <w:spacing w:val="-3"/>
        </w:rPr>
        <w:t> </w:t>
      </w:r>
      <w:r>
        <w:rPr>
          <w:i/>
        </w:rPr>
        <w:t>Review of Economic Studies.</w:t>
      </w:r>
    </w:p>
    <w:p>
      <w:pPr>
        <w:pStyle w:val="BodyText"/>
        <w:spacing w:before="243"/>
        <w:ind w:left="412" w:right="174" w:hanging="284"/>
      </w:pPr>
      <w:r>
        <w:rPr/>
        <w:t>“Preferences and Performance in Simultaneous First-Price Auctions: A Structural Analysis,”</w:t>
      </w:r>
      <w:r>
        <w:rPr>
          <w:spacing w:val="-4"/>
        </w:rPr>
        <w:t> </w:t>
      </w:r>
      <w:r>
        <w:rPr/>
        <w:t>with</w:t>
      </w:r>
      <w:r>
        <w:rPr>
          <w:spacing w:val="-3"/>
        </w:rPr>
        <w:t> </w:t>
      </w:r>
      <w:r>
        <w:rPr/>
        <w:t>Tatiana</w:t>
      </w:r>
      <w:r>
        <w:rPr>
          <w:spacing w:val="-4"/>
        </w:rPr>
        <w:t> </w:t>
      </w:r>
      <w:r>
        <w:rPr/>
        <w:t>Komarova</w:t>
      </w:r>
      <w:r>
        <w:rPr>
          <w:spacing w:val="-4"/>
        </w:rPr>
        <w:t> </w:t>
      </w:r>
      <w:r>
        <w:rPr/>
        <w:t>and</w:t>
      </w:r>
      <w:r>
        <w:rPr>
          <w:spacing w:val="-3"/>
        </w:rPr>
        <w:t> </w:t>
      </w:r>
      <w:r>
        <w:rPr/>
        <w:t>Pasquale</w:t>
      </w:r>
      <w:r>
        <w:rPr>
          <w:spacing w:val="-4"/>
        </w:rPr>
        <w:t> </w:t>
      </w:r>
      <w:r>
        <w:rPr/>
        <w:t>Schiraldi.</w:t>
      </w:r>
      <w:r>
        <w:rPr>
          <w:spacing w:val="-4"/>
        </w:rPr>
        <w:t> </w:t>
      </w:r>
      <w:r>
        <w:rPr>
          <w:i/>
        </w:rPr>
        <w:t>Review</w:t>
      </w:r>
      <w:r>
        <w:rPr>
          <w:i/>
          <w:spacing w:val="-3"/>
        </w:rPr>
        <w:t> </w:t>
      </w:r>
      <w:r>
        <w:rPr>
          <w:i/>
        </w:rPr>
        <w:t>of</w:t>
      </w:r>
      <w:r>
        <w:rPr>
          <w:i/>
          <w:spacing w:val="-3"/>
        </w:rPr>
        <w:t> </w:t>
      </w:r>
      <w:r>
        <w:rPr>
          <w:i/>
        </w:rPr>
        <w:t>Economic</w:t>
      </w:r>
      <w:r>
        <w:rPr>
          <w:i/>
          <w:spacing w:val="-4"/>
        </w:rPr>
        <w:t> </w:t>
      </w:r>
      <w:r>
        <w:rPr>
          <w:i/>
        </w:rPr>
        <w:t>Studies </w:t>
      </w:r>
      <w:r>
        <w:rPr/>
        <w:t>90:2, 852–878, 2023.</w:t>
      </w:r>
    </w:p>
    <w:p>
      <w:pPr>
        <w:spacing w:line="242" w:lineRule="auto" w:before="237"/>
        <w:ind w:left="412" w:right="174" w:hanging="284"/>
        <w:jc w:val="left"/>
        <w:rPr>
          <w:sz w:val="24"/>
        </w:rPr>
      </w:pPr>
      <w:r>
        <w:rPr>
          <w:sz w:val="24"/>
        </w:rPr>
        <w:t>“Pricing</w:t>
      </w:r>
      <w:r>
        <w:rPr>
          <w:spacing w:val="-4"/>
          <w:sz w:val="24"/>
        </w:rPr>
        <w:t> </w:t>
      </w:r>
      <w:r>
        <w:rPr>
          <w:sz w:val="24"/>
        </w:rPr>
        <w:t>with</w:t>
      </w:r>
      <w:r>
        <w:rPr>
          <w:spacing w:val="-4"/>
          <w:sz w:val="24"/>
        </w:rPr>
        <w:t> </w:t>
      </w:r>
      <w:r>
        <w:rPr>
          <w:sz w:val="24"/>
        </w:rPr>
        <w:t>Bargain</w:t>
      </w:r>
      <w:r>
        <w:rPr>
          <w:spacing w:val="-4"/>
          <w:sz w:val="24"/>
        </w:rPr>
        <w:t> </w:t>
      </w:r>
      <w:r>
        <w:rPr>
          <w:sz w:val="24"/>
        </w:rPr>
        <w:t>Hunting</w:t>
      </w:r>
      <w:r>
        <w:rPr>
          <w:spacing w:val="-4"/>
          <w:sz w:val="24"/>
        </w:rPr>
        <w:t> </w:t>
      </w:r>
      <w:r>
        <w:rPr>
          <w:sz w:val="24"/>
        </w:rPr>
        <w:t>Consumers,”</w:t>
      </w:r>
      <w:r>
        <w:rPr>
          <w:spacing w:val="-5"/>
          <w:sz w:val="24"/>
        </w:rPr>
        <w:t> </w:t>
      </w:r>
      <w:r>
        <w:rPr>
          <w:sz w:val="24"/>
        </w:rPr>
        <w:t>with</w:t>
      </w:r>
      <w:r>
        <w:rPr>
          <w:spacing w:val="-4"/>
          <w:sz w:val="24"/>
        </w:rPr>
        <w:t> </w:t>
      </w:r>
      <w:r>
        <w:rPr>
          <w:sz w:val="24"/>
        </w:rPr>
        <w:t>Martin</w:t>
      </w:r>
      <w:r>
        <w:rPr>
          <w:spacing w:val="-4"/>
          <w:sz w:val="24"/>
        </w:rPr>
        <w:t> </w:t>
      </w:r>
      <w:r>
        <w:rPr>
          <w:sz w:val="24"/>
        </w:rPr>
        <w:t>Pesendorfer.</w:t>
      </w:r>
      <w:r>
        <w:rPr>
          <w:spacing w:val="-5"/>
          <w:sz w:val="24"/>
        </w:rPr>
        <w:t> </w:t>
      </w:r>
      <w:r>
        <w:rPr>
          <w:i/>
          <w:sz w:val="24"/>
        </w:rPr>
        <w:t>Games</w:t>
      </w:r>
      <w:r>
        <w:rPr>
          <w:i/>
          <w:spacing w:val="-4"/>
          <w:sz w:val="24"/>
        </w:rPr>
        <w:t> </w:t>
      </w:r>
      <w:r>
        <w:rPr>
          <w:i/>
          <w:sz w:val="24"/>
        </w:rPr>
        <w:t>and Economic Behavior </w:t>
      </w:r>
      <w:r>
        <w:rPr>
          <w:sz w:val="24"/>
        </w:rPr>
        <w:t>129, 549-569, 2021.</w:t>
      </w:r>
    </w:p>
    <w:p>
      <w:pPr>
        <w:pStyle w:val="BodyText"/>
        <w:spacing w:before="235"/>
        <w:ind w:left="412" w:right="174" w:hanging="224"/>
      </w:pPr>
      <w:r>
        <w:rPr/>
        <w:t>“On</w:t>
      </w:r>
      <w:r>
        <w:rPr>
          <w:spacing w:val="-3"/>
        </w:rPr>
        <w:t> </w:t>
      </w:r>
      <w:r>
        <w:rPr/>
        <w:t>Pure</w:t>
      </w:r>
      <w:r>
        <w:rPr>
          <w:spacing w:val="-4"/>
        </w:rPr>
        <w:t> </w:t>
      </w:r>
      <w:r>
        <w:rPr/>
        <w:t>Strategy</w:t>
      </w:r>
      <w:r>
        <w:rPr>
          <w:spacing w:val="-3"/>
        </w:rPr>
        <w:t> </w:t>
      </w:r>
      <w:r>
        <w:rPr/>
        <w:t>Equilibria</w:t>
      </w:r>
      <w:r>
        <w:rPr>
          <w:spacing w:val="-4"/>
        </w:rPr>
        <w:t> </w:t>
      </w:r>
      <w:r>
        <w:rPr/>
        <w:t>in</w:t>
      </w:r>
      <w:r>
        <w:rPr>
          <w:spacing w:val="-3"/>
        </w:rPr>
        <w:t> </w:t>
      </w:r>
      <w:r>
        <w:rPr/>
        <w:t>Simultaneous</w:t>
      </w:r>
      <w:r>
        <w:rPr>
          <w:spacing w:val="-3"/>
        </w:rPr>
        <w:t> </w:t>
      </w:r>
      <w:r>
        <w:rPr/>
        <w:t>Auctions</w:t>
      </w:r>
      <w:r>
        <w:rPr>
          <w:spacing w:val="-3"/>
        </w:rPr>
        <w:t> </w:t>
      </w:r>
      <w:r>
        <w:rPr/>
        <w:t>for</w:t>
      </w:r>
      <w:r>
        <w:rPr>
          <w:spacing w:val="-3"/>
        </w:rPr>
        <w:t> </w:t>
      </w:r>
      <w:r>
        <w:rPr/>
        <w:t>Complementary</w:t>
      </w:r>
      <w:r>
        <w:rPr>
          <w:spacing w:val="-3"/>
        </w:rPr>
        <w:t> </w:t>
      </w:r>
      <w:r>
        <w:rPr/>
        <w:t>Goods,”</w:t>
      </w:r>
      <w:r>
        <w:rPr>
          <w:spacing w:val="-4"/>
        </w:rPr>
        <w:t> </w:t>
      </w:r>
      <w:r>
        <w:rPr/>
        <w:t>with Tatiana Komarova, Pasquale Schiraldi, and Wiroy Shin. </w:t>
      </w:r>
      <w:r>
        <w:rPr>
          <w:i/>
        </w:rPr>
        <w:t>Journal of Mathematical Economics </w:t>
      </w:r>
      <w:r>
        <w:rPr/>
        <w:t>85:C, 109-128, 2020.</w:t>
      </w:r>
    </w:p>
    <w:p>
      <w:pPr>
        <w:spacing w:line="237" w:lineRule="auto" w:before="244"/>
        <w:ind w:left="412" w:right="174" w:hanging="224"/>
        <w:jc w:val="left"/>
        <w:rPr>
          <w:sz w:val="24"/>
        </w:rPr>
      </w:pPr>
      <w:r>
        <w:rPr>
          <w:sz w:val="24"/>
        </w:rPr>
        <w:t>“Entry</w:t>
      </w:r>
      <w:r>
        <w:rPr>
          <w:spacing w:val="-3"/>
          <w:sz w:val="24"/>
        </w:rPr>
        <w:t> </w:t>
      </w:r>
      <w:r>
        <w:rPr>
          <w:sz w:val="24"/>
        </w:rPr>
        <w:t>and</w:t>
      </w:r>
      <w:r>
        <w:rPr>
          <w:spacing w:val="-3"/>
          <w:sz w:val="24"/>
        </w:rPr>
        <w:t> </w:t>
      </w:r>
      <w:r>
        <w:rPr>
          <w:sz w:val="24"/>
        </w:rPr>
        <w:t>Competition</w:t>
      </w:r>
      <w:r>
        <w:rPr>
          <w:spacing w:val="-3"/>
          <w:sz w:val="24"/>
        </w:rPr>
        <w:t> </w:t>
      </w:r>
      <w:r>
        <w:rPr>
          <w:sz w:val="24"/>
        </w:rPr>
        <w:t>in</w:t>
      </w:r>
      <w:r>
        <w:rPr>
          <w:spacing w:val="-3"/>
          <w:sz w:val="24"/>
        </w:rPr>
        <w:t> </w:t>
      </w:r>
      <w:r>
        <w:rPr>
          <w:sz w:val="24"/>
        </w:rPr>
        <w:t>Takeover</w:t>
      </w:r>
      <w:r>
        <w:rPr>
          <w:spacing w:val="-3"/>
          <w:sz w:val="24"/>
        </w:rPr>
        <w:t> </w:t>
      </w:r>
      <w:r>
        <w:rPr>
          <w:sz w:val="24"/>
        </w:rPr>
        <w:t>Auctions,”</w:t>
      </w:r>
      <w:r>
        <w:rPr>
          <w:spacing w:val="-4"/>
          <w:sz w:val="24"/>
        </w:rPr>
        <w:t> </w:t>
      </w:r>
      <w:r>
        <w:rPr>
          <w:sz w:val="24"/>
        </w:rPr>
        <w:t>with</w:t>
      </w:r>
      <w:r>
        <w:rPr>
          <w:spacing w:val="-3"/>
          <w:sz w:val="24"/>
        </w:rPr>
        <w:t> </w:t>
      </w:r>
      <w:r>
        <w:rPr>
          <w:sz w:val="24"/>
        </w:rPr>
        <w:t>Caleb</w:t>
      </w:r>
      <w:r>
        <w:rPr>
          <w:spacing w:val="-3"/>
          <w:sz w:val="24"/>
        </w:rPr>
        <w:t> </w:t>
      </w:r>
      <w:r>
        <w:rPr>
          <w:sz w:val="24"/>
        </w:rPr>
        <w:t>Stroup.</w:t>
      </w:r>
      <w:r>
        <w:rPr>
          <w:spacing w:val="-4"/>
          <w:sz w:val="24"/>
        </w:rPr>
        <w:t> </w:t>
      </w:r>
      <w:r>
        <w:rPr>
          <w:i/>
          <w:sz w:val="24"/>
        </w:rPr>
        <w:t>Journal</w:t>
      </w:r>
      <w:r>
        <w:rPr>
          <w:i/>
          <w:spacing w:val="-3"/>
          <w:sz w:val="24"/>
        </w:rPr>
        <w:t> </w:t>
      </w:r>
      <w:r>
        <w:rPr>
          <w:i/>
          <w:sz w:val="24"/>
        </w:rPr>
        <w:t>of</w:t>
      </w:r>
      <w:r>
        <w:rPr>
          <w:i/>
          <w:spacing w:val="-3"/>
          <w:sz w:val="24"/>
        </w:rPr>
        <w:t> </w:t>
      </w:r>
      <w:r>
        <w:rPr>
          <w:i/>
          <w:sz w:val="24"/>
        </w:rPr>
        <w:t>Financial Economics </w:t>
      </w:r>
      <w:r>
        <w:rPr>
          <w:sz w:val="24"/>
        </w:rPr>
        <w:t>132:2, 298-324, 2019.</w:t>
      </w:r>
    </w:p>
    <w:p>
      <w:pPr>
        <w:spacing w:line="237" w:lineRule="auto" w:before="246"/>
        <w:ind w:left="412" w:right="174" w:hanging="284"/>
        <w:jc w:val="left"/>
        <w:rPr>
          <w:sz w:val="24"/>
        </w:rPr>
      </w:pPr>
      <w:r>
        <w:rPr>
          <w:sz w:val="24"/>
        </w:rPr>
        <w:t>“Structural Econometrics of Auctions: A Review,” with Timothy P. Hubbard, Denis Nekipelov</w:t>
      </w:r>
      <w:r>
        <w:rPr>
          <w:spacing w:val="-3"/>
          <w:sz w:val="24"/>
        </w:rPr>
        <w:t> </w:t>
      </w:r>
      <w:r>
        <w:rPr>
          <w:sz w:val="24"/>
        </w:rPr>
        <w:t>and</w:t>
      </w:r>
      <w:r>
        <w:rPr>
          <w:spacing w:val="-3"/>
          <w:sz w:val="24"/>
        </w:rPr>
        <w:t> </w:t>
      </w:r>
      <w:r>
        <w:rPr>
          <w:sz w:val="24"/>
        </w:rPr>
        <w:t>Harry</w:t>
      </w:r>
      <w:r>
        <w:rPr>
          <w:spacing w:val="-3"/>
          <w:sz w:val="24"/>
        </w:rPr>
        <w:t> </w:t>
      </w:r>
      <w:r>
        <w:rPr>
          <w:sz w:val="24"/>
        </w:rPr>
        <w:t>J.</w:t>
      </w:r>
      <w:r>
        <w:rPr>
          <w:spacing w:val="-3"/>
          <w:sz w:val="24"/>
        </w:rPr>
        <w:t> </w:t>
      </w:r>
      <w:r>
        <w:rPr>
          <w:sz w:val="24"/>
        </w:rPr>
        <w:t>Paarsch.</w:t>
      </w:r>
      <w:r>
        <w:rPr>
          <w:spacing w:val="-3"/>
          <w:sz w:val="24"/>
        </w:rPr>
        <w:t> </w:t>
      </w:r>
      <w:r>
        <w:rPr>
          <w:i/>
          <w:sz w:val="24"/>
        </w:rPr>
        <w:t>Foundations</w:t>
      </w:r>
      <w:r>
        <w:rPr>
          <w:i/>
          <w:spacing w:val="-3"/>
          <w:sz w:val="24"/>
        </w:rPr>
        <w:t> </w:t>
      </w:r>
      <w:r>
        <w:rPr>
          <w:i/>
          <w:sz w:val="24"/>
        </w:rPr>
        <w:t>and</w:t>
      </w:r>
      <w:r>
        <w:rPr>
          <w:i/>
          <w:spacing w:val="-3"/>
          <w:sz w:val="24"/>
        </w:rPr>
        <w:t> </w:t>
      </w:r>
      <w:r>
        <w:rPr>
          <w:i/>
          <w:sz w:val="24"/>
        </w:rPr>
        <w:t>Trends</w:t>
      </w:r>
      <w:r>
        <w:rPr>
          <w:i/>
          <w:spacing w:val="-3"/>
          <w:sz w:val="24"/>
        </w:rPr>
        <w:t> </w:t>
      </w:r>
      <w:r>
        <w:rPr>
          <w:i/>
          <w:sz w:val="24"/>
        </w:rPr>
        <w:t>in</w:t>
      </w:r>
      <w:r>
        <w:rPr>
          <w:i/>
          <w:spacing w:val="-3"/>
          <w:sz w:val="24"/>
        </w:rPr>
        <w:t> </w:t>
      </w:r>
      <w:r>
        <w:rPr>
          <w:i/>
          <w:sz w:val="24"/>
        </w:rPr>
        <w:t>Econometrics</w:t>
      </w:r>
      <w:r>
        <w:rPr>
          <w:i/>
          <w:spacing w:val="-3"/>
          <w:sz w:val="24"/>
        </w:rPr>
        <w:t> </w:t>
      </w:r>
      <w:r>
        <w:rPr>
          <w:sz w:val="24"/>
        </w:rPr>
        <w:t>9:2-4,</w:t>
      </w:r>
      <w:r>
        <w:rPr>
          <w:spacing w:val="-3"/>
          <w:sz w:val="24"/>
        </w:rPr>
        <w:t> </w:t>
      </w:r>
      <w:r>
        <w:rPr>
          <w:sz w:val="24"/>
        </w:rPr>
        <w:t>2018.</w:t>
      </w:r>
    </w:p>
    <w:p>
      <w:pPr>
        <w:spacing w:line="237" w:lineRule="auto" w:before="246"/>
        <w:ind w:left="412" w:right="174" w:hanging="284"/>
        <w:jc w:val="left"/>
        <w:rPr>
          <w:sz w:val="24"/>
        </w:rPr>
      </w:pPr>
      <w:r>
        <w:rPr>
          <w:sz w:val="24"/>
        </w:rPr>
        <w:t>“Auctions</w:t>
      </w:r>
      <w:r>
        <w:rPr>
          <w:spacing w:val="-3"/>
          <w:sz w:val="24"/>
        </w:rPr>
        <w:t> </w:t>
      </w:r>
      <w:r>
        <w:rPr>
          <w:sz w:val="24"/>
        </w:rPr>
        <w:t>with</w:t>
      </w:r>
      <w:r>
        <w:rPr>
          <w:spacing w:val="-3"/>
          <w:sz w:val="24"/>
        </w:rPr>
        <w:t> </w:t>
      </w:r>
      <w:r>
        <w:rPr>
          <w:sz w:val="24"/>
        </w:rPr>
        <w:t>Selective</w:t>
      </w:r>
      <w:r>
        <w:rPr>
          <w:spacing w:val="-4"/>
          <w:sz w:val="24"/>
        </w:rPr>
        <w:t> </w:t>
      </w:r>
      <w:r>
        <w:rPr>
          <w:sz w:val="24"/>
        </w:rPr>
        <w:t>Entry,”</w:t>
      </w:r>
      <w:r>
        <w:rPr>
          <w:spacing w:val="-4"/>
          <w:sz w:val="24"/>
        </w:rPr>
        <w:t> </w:t>
      </w:r>
      <w:r>
        <w:rPr>
          <w:sz w:val="24"/>
        </w:rPr>
        <w:t>with</w:t>
      </w:r>
      <w:r>
        <w:rPr>
          <w:spacing w:val="-3"/>
          <w:sz w:val="24"/>
        </w:rPr>
        <w:t> </w:t>
      </w:r>
      <w:r>
        <w:rPr>
          <w:sz w:val="24"/>
        </w:rPr>
        <w:t>Tong</w:t>
      </w:r>
      <w:r>
        <w:rPr>
          <w:spacing w:val="-3"/>
          <w:sz w:val="24"/>
        </w:rPr>
        <w:t> </w:t>
      </w:r>
      <w:r>
        <w:rPr>
          <w:sz w:val="24"/>
        </w:rPr>
        <w:t>Li</w:t>
      </w:r>
      <w:r>
        <w:rPr>
          <w:spacing w:val="-3"/>
          <w:sz w:val="24"/>
        </w:rPr>
        <w:t> </w:t>
      </w:r>
      <w:r>
        <w:rPr>
          <w:sz w:val="24"/>
        </w:rPr>
        <w:t>and</w:t>
      </w:r>
      <w:r>
        <w:rPr>
          <w:spacing w:val="-3"/>
          <w:sz w:val="24"/>
        </w:rPr>
        <w:t> </w:t>
      </w:r>
      <w:r>
        <w:rPr>
          <w:sz w:val="24"/>
        </w:rPr>
        <w:t>Jingfeng</w:t>
      </w:r>
      <w:r>
        <w:rPr>
          <w:spacing w:val="-3"/>
          <w:sz w:val="24"/>
        </w:rPr>
        <w:t> </w:t>
      </w:r>
      <w:r>
        <w:rPr>
          <w:sz w:val="24"/>
        </w:rPr>
        <w:t>Lu.</w:t>
      </w:r>
      <w:r>
        <w:rPr>
          <w:spacing w:val="-4"/>
          <w:sz w:val="24"/>
        </w:rPr>
        <w:t> </w:t>
      </w:r>
      <w:r>
        <w:rPr>
          <w:i/>
          <w:sz w:val="24"/>
        </w:rPr>
        <w:t>Games</w:t>
      </w:r>
      <w:r>
        <w:rPr>
          <w:i/>
          <w:spacing w:val="-3"/>
          <w:sz w:val="24"/>
        </w:rPr>
        <w:t> </w:t>
      </w:r>
      <w:r>
        <w:rPr>
          <w:i/>
          <w:sz w:val="24"/>
        </w:rPr>
        <w:t>and</w:t>
      </w:r>
      <w:r>
        <w:rPr>
          <w:i/>
          <w:spacing w:val="-3"/>
          <w:sz w:val="24"/>
        </w:rPr>
        <w:t> </w:t>
      </w:r>
      <w:r>
        <w:rPr>
          <w:i/>
          <w:sz w:val="24"/>
        </w:rPr>
        <w:t>Economic Behavior </w:t>
      </w:r>
      <w:r>
        <w:rPr>
          <w:color w:val="2A2A2A"/>
          <w:sz w:val="24"/>
        </w:rPr>
        <w:t>105, 104-111, 2017.</w:t>
      </w:r>
    </w:p>
    <w:p>
      <w:pPr>
        <w:pStyle w:val="BodyText"/>
        <w:spacing w:before="243"/>
        <w:ind w:left="412" w:right="174" w:hanging="224"/>
      </w:pPr>
      <w:r>
        <w:rPr/>
        <w:t>“Existence</w:t>
      </w:r>
      <w:r>
        <w:rPr>
          <w:spacing w:val="-4"/>
        </w:rPr>
        <w:t> </w:t>
      </w:r>
      <w:r>
        <w:rPr/>
        <w:t>of</w:t>
      </w:r>
      <w:r>
        <w:rPr>
          <w:spacing w:val="-3"/>
        </w:rPr>
        <w:t> </w:t>
      </w:r>
      <w:r>
        <w:rPr/>
        <w:t>Monotone</w:t>
      </w:r>
      <w:r>
        <w:rPr>
          <w:spacing w:val="-4"/>
        </w:rPr>
        <w:t> </w:t>
      </w:r>
      <w:r>
        <w:rPr/>
        <w:t>Equilibrium</w:t>
      </w:r>
      <w:r>
        <w:rPr>
          <w:spacing w:val="-3"/>
        </w:rPr>
        <w:t> </w:t>
      </w:r>
      <w:r>
        <w:rPr/>
        <w:t>in</w:t>
      </w:r>
      <w:r>
        <w:rPr>
          <w:spacing w:val="-3"/>
        </w:rPr>
        <w:t> </w:t>
      </w:r>
      <w:r>
        <w:rPr/>
        <w:t>First</w:t>
      </w:r>
      <w:r>
        <w:rPr>
          <w:spacing w:val="-3"/>
        </w:rPr>
        <w:t> </w:t>
      </w:r>
      <w:r>
        <w:rPr/>
        <w:t>Price</w:t>
      </w:r>
      <w:r>
        <w:rPr>
          <w:spacing w:val="-4"/>
        </w:rPr>
        <w:t> </w:t>
      </w:r>
      <w:r>
        <w:rPr/>
        <w:t>Auctions</w:t>
      </w:r>
      <w:r>
        <w:rPr>
          <w:spacing w:val="-3"/>
        </w:rPr>
        <w:t> </w:t>
      </w:r>
      <w:r>
        <w:rPr/>
        <w:t>with</w:t>
      </w:r>
      <w:r>
        <w:rPr>
          <w:spacing w:val="-3"/>
        </w:rPr>
        <w:t> </w:t>
      </w:r>
      <w:r>
        <w:rPr/>
        <w:t>Private</w:t>
      </w:r>
      <w:r>
        <w:rPr>
          <w:spacing w:val="-3"/>
        </w:rPr>
        <w:t> </w:t>
      </w:r>
      <w:r>
        <w:rPr/>
        <w:t>Risk</w:t>
      </w:r>
      <w:r>
        <w:rPr>
          <w:spacing w:val="-3"/>
        </w:rPr>
        <w:t> </w:t>
      </w:r>
      <w:r>
        <w:rPr/>
        <w:t>Aversion and Private Initial Wealth,” with Tong Li and Jingfeng Lu. </w:t>
      </w:r>
      <w:r>
        <w:rPr>
          <w:i/>
        </w:rPr>
        <w:t>Games and Economic Behavior </w:t>
      </w:r>
      <w:r>
        <w:rPr/>
        <w:t>91, 214-221, 2015.</w:t>
      </w:r>
    </w:p>
    <w:p>
      <w:pPr>
        <w:pStyle w:val="BodyText"/>
        <w:spacing w:line="242" w:lineRule="auto" w:before="238"/>
        <w:ind w:left="412" w:right="174" w:hanging="284"/>
      </w:pPr>
      <w:r>
        <w:rPr/>
        <w:t>“Identification</w:t>
      </w:r>
      <w:r>
        <w:rPr>
          <w:spacing w:val="-3"/>
        </w:rPr>
        <w:t> </w:t>
      </w:r>
      <w:r>
        <w:rPr/>
        <w:t>in</w:t>
      </w:r>
      <w:r>
        <w:rPr>
          <w:spacing w:val="-3"/>
        </w:rPr>
        <w:t> </w:t>
      </w:r>
      <w:r>
        <w:rPr/>
        <w:t>Auctions</w:t>
      </w:r>
      <w:r>
        <w:rPr>
          <w:spacing w:val="-3"/>
        </w:rPr>
        <w:t> </w:t>
      </w:r>
      <w:r>
        <w:rPr/>
        <w:t>with</w:t>
      </w:r>
      <w:r>
        <w:rPr>
          <w:spacing w:val="-3"/>
        </w:rPr>
        <w:t> </w:t>
      </w:r>
      <w:r>
        <w:rPr/>
        <w:t>Selective</w:t>
      </w:r>
      <w:r>
        <w:rPr>
          <w:spacing w:val="-4"/>
        </w:rPr>
        <w:t> </w:t>
      </w:r>
      <w:r>
        <w:rPr/>
        <w:t>Entry,”</w:t>
      </w:r>
      <w:r>
        <w:rPr>
          <w:spacing w:val="-4"/>
        </w:rPr>
        <w:t> </w:t>
      </w:r>
      <w:r>
        <w:rPr/>
        <w:t>with</w:t>
      </w:r>
      <w:r>
        <w:rPr>
          <w:spacing w:val="-3"/>
        </w:rPr>
        <w:t> </w:t>
      </w:r>
      <w:r>
        <w:rPr/>
        <w:t>Tong</w:t>
      </w:r>
      <w:r>
        <w:rPr>
          <w:spacing w:val="-3"/>
        </w:rPr>
        <w:t> </w:t>
      </w:r>
      <w:r>
        <w:rPr/>
        <w:t>Li.</w:t>
      </w:r>
      <w:r>
        <w:rPr>
          <w:spacing w:val="-4"/>
        </w:rPr>
        <w:t> </w:t>
      </w:r>
      <w:r>
        <w:rPr>
          <w:i/>
        </w:rPr>
        <w:t>Econometrica</w:t>
      </w:r>
      <w:r>
        <w:rPr>
          <w:i/>
          <w:spacing w:val="-3"/>
        </w:rPr>
        <w:t> </w:t>
      </w:r>
      <w:r>
        <w:rPr/>
        <w:t>82:1,</w:t>
      </w:r>
      <w:r>
        <w:rPr>
          <w:spacing w:val="-3"/>
        </w:rPr>
        <w:t> </w:t>
      </w:r>
      <w:r>
        <w:rPr/>
        <w:t>315- 344, 2014.</w:t>
      </w:r>
    </w:p>
    <w:p>
      <w:pPr>
        <w:pStyle w:val="BodyText"/>
        <w:spacing w:line="242" w:lineRule="auto" w:before="234"/>
        <w:ind w:left="412" w:right="242" w:hanging="284"/>
      </w:pPr>
      <w:r>
        <w:rPr/>
        <w:t>“A</w:t>
      </w:r>
      <w:r>
        <w:rPr>
          <w:spacing w:val="-4"/>
        </w:rPr>
        <w:t> </w:t>
      </w:r>
      <w:r>
        <w:rPr/>
        <w:t>New</w:t>
      </w:r>
      <w:r>
        <w:rPr>
          <w:spacing w:val="-4"/>
        </w:rPr>
        <w:t> </w:t>
      </w:r>
      <w:r>
        <w:rPr/>
        <w:t>Class</w:t>
      </w:r>
      <w:r>
        <w:rPr>
          <w:spacing w:val="-4"/>
        </w:rPr>
        <w:t> </w:t>
      </w:r>
      <w:r>
        <w:rPr/>
        <w:t>of</w:t>
      </w:r>
      <w:r>
        <w:rPr>
          <w:spacing w:val="-4"/>
        </w:rPr>
        <w:t> </w:t>
      </w:r>
      <w:r>
        <w:rPr/>
        <w:t>Asymptotically</w:t>
      </w:r>
      <w:r>
        <w:rPr>
          <w:spacing w:val="-4"/>
        </w:rPr>
        <w:t> </w:t>
      </w:r>
      <w:r>
        <w:rPr/>
        <w:t>Efficient</w:t>
      </w:r>
      <w:r>
        <w:rPr>
          <w:spacing w:val="-4"/>
        </w:rPr>
        <w:t> </w:t>
      </w:r>
      <w:r>
        <w:rPr/>
        <w:t>Estimators</w:t>
      </w:r>
      <w:r>
        <w:rPr>
          <w:spacing w:val="-4"/>
        </w:rPr>
        <w:t> </w:t>
      </w:r>
      <w:r>
        <w:rPr/>
        <w:t>for</w:t>
      </w:r>
      <w:r>
        <w:rPr>
          <w:spacing w:val="-4"/>
        </w:rPr>
        <w:t> </w:t>
      </w:r>
      <w:r>
        <w:rPr/>
        <w:t>Moment</w:t>
      </w:r>
      <w:r>
        <w:rPr>
          <w:spacing w:val="-4"/>
        </w:rPr>
        <w:t> </w:t>
      </w:r>
      <w:r>
        <w:rPr/>
        <w:t>Condition</w:t>
      </w:r>
      <w:r>
        <w:rPr>
          <w:spacing w:val="-4"/>
        </w:rPr>
        <w:t> </w:t>
      </w:r>
      <w:r>
        <w:rPr/>
        <w:t>Models,” with Yanqin Fan and Tong Li. </w:t>
      </w:r>
      <w:r>
        <w:rPr>
          <w:i/>
        </w:rPr>
        <w:t>Journal of Econometrics </w:t>
      </w:r>
      <w:r>
        <w:rPr/>
        <w:t>162, 268-277, 2011.</w:t>
      </w:r>
    </w:p>
    <w:p>
      <w:pPr>
        <w:pStyle w:val="BodyText"/>
        <w:spacing w:before="271"/>
      </w:pPr>
    </w:p>
    <w:p>
      <w:pPr>
        <w:pStyle w:val="Heading1"/>
        <w:tabs>
          <w:tab w:pos="9046" w:val="left" w:leader="none"/>
        </w:tabs>
        <w:ind w:left="23"/>
      </w:pPr>
      <w:r>
        <w:rPr>
          <w:spacing w:val="44"/>
          <w:u w:val="single"/>
        </w:rPr>
        <w:t> </w:t>
      </w:r>
      <w:r>
        <w:rPr>
          <w:u w:val="single"/>
        </w:rPr>
        <w:t>Working </w:t>
      </w:r>
      <w:r>
        <w:rPr>
          <w:spacing w:val="-2"/>
          <w:u w:val="single"/>
        </w:rPr>
        <w:t>Papers</w:t>
      </w:r>
      <w:r>
        <w:rPr>
          <w:u w:val="single"/>
        </w:rPr>
        <w:tab/>
      </w:r>
    </w:p>
    <w:p>
      <w:pPr>
        <w:pStyle w:val="BodyText"/>
        <w:spacing w:line="237" w:lineRule="auto" w:before="254"/>
        <w:ind w:left="412" w:right="174" w:hanging="284"/>
      </w:pPr>
      <w:r>
        <w:rPr/>
        <w:t>“Dynamic</w:t>
      </w:r>
      <w:r>
        <w:rPr>
          <w:spacing w:val="-4"/>
        </w:rPr>
        <w:t> </w:t>
      </w:r>
      <w:r>
        <w:rPr/>
        <w:t>oligopoly</w:t>
      </w:r>
      <w:r>
        <w:rPr>
          <w:spacing w:val="-4"/>
        </w:rPr>
        <w:t> </w:t>
      </w:r>
      <w:r>
        <w:rPr/>
        <w:t>in</w:t>
      </w:r>
      <w:r>
        <w:rPr>
          <w:spacing w:val="-3"/>
        </w:rPr>
        <w:t> </w:t>
      </w:r>
      <w:r>
        <w:rPr/>
        <w:t>procurement</w:t>
      </w:r>
      <w:r>
        <w:rPr>
          <w:spacing w:val="-3"/>
        </w:rPr>
        <w:t> </w:t>
      </w:r>
      <w:r>
        <w:rPr/>
        <w:t>auction</w:t>
      </w:r>
      <w:r>
        <w:rPr>
          <w:spacing w:val="-3"/>
        </w:rPr>
        <w:t> </w:t>
      </w:r>
      <w:r>
        <w:rPr/>
        <w:t>markets,”</w:t>
      </w:r>
      <w:r>
        <w:rPr>
          <w:spacing w:val="-4"/>
        </w:rPr>
        <w:t> </w:t>
      </w:r>
      <w:r>
        <w:rPr/>
        <w:t>with</w:t>
      </w:r>
      <w:r>
        <w:rPr>
          <w:spacing w:val="-3"/>
        </w:rPr>
        <w:t> </w:t>
      </w:r>
      <w:r>
        <w:rPr/>
        <w:t>Dakshina</w:t>
      </w:r>
      <w:r>
        <w:rPr>
          <w:spacing w:val="-4"/>
        </w:rPr>
        <w:t> </w:t>
      </w:r>
      <w:r>
        <w:rPr/>
        <w:t>De</w:t>
      </w:r>
      <w:r>
        <w:rPr>
          <w:spacing w:val="-4"/>
        </w:rPr>
        <w:t> </w:t>
      </w:r>
      <w:r>
        <w:rPr/>
        <w:t>Silva</w:t>
      </w:r>
      <w:r>
        <w:rPr>
          <w:spacing w:val="-4"/>
        </w:rPr>
        <w:t> </w:t>
      </w:r>
      <w:r>
        <w:rPr/>
        <w:t>and Pasquale Schiraldi.</w:t>
      </w:r>
    </w:p>
    <w:p>
      <w:pPr>
        <w:spacing w:line="237" w:lineRule="auto" w:before="246"/>
        <w:ind w:left="412" w:right="174" w:hanging="284"/>
        <w:jc w:val="left"/>
        <w:rPr>
          <w:i/>
          <w:sz w:val="24"/>
        </w:rPr>
      </w:pPr>
      <w:r>
        <w:rPr>
          <w:sz w:val="24"/>
        </w:rPr>
        <w:t>“Displays,</w:t>
      </w:r>
      <w:r>
        <w:rPr>
          <w:spacing w:val="-3"/>
          <w:sz w:val="24"/>
        </w:rPr>
        <w:t> </w:t>
      </w:r>
      <w:r>
        <w:rPr>
          <w:sz w:val="24"/>
        </w:rPr>
        <w:t>Sales</w:t>
      </w:r>
      <w:r>
        <w:rPr>
          <w:spacing w:val="-3"/>
          <w:sz w:val="24"/>
        </w:rPr>
        <w:t> </w:t>
      </w:r>
      <w:r>
        <w:rPr>
          <w:sz w:val="24"/>
        </w:rPr>
        <w:t>and</w:t>
      </w:r>
      <w:r>
        <w:rPr>
          <w:spacing w:val="-3"/>
          <w:sz w:val="24"/>
        </w:rPr>
        <w:t> </w:t>
      </w:r>
      <w:r>
        <w:rPr>
          <w:sz w:val="24"/>
        </w:rPr>
        <w:t>In-Store</w:t>
      </w:r>
      <w:r>
        <w:rPr>
          <w:spacing w:val="-4"/>
          <w:sz w:val="24"/>
        </w:rPr>
        <w:t> </w:t>
      </w:r>
      <w:r>
        <w:rPr>
          <w:sz w:val="24"/>
        </w:rPr>
        <w:t>Search</w:t>
      </w:r>
      <w:r>
        <w:rPr>
          <w:spacing w:val="-3"/>
          <w:sz w:val="24"/>
        </w:rPr>
        <w:t> </w:t>
      </w:r>
      <w:r>
        <w:rPr>
          <w:sz w:val="24"/>
        </w:rPr>
        <w:t>in</w:t>
      </w:r>
      <w:r>
        <w:rPr>
          <w:spacing w:val="-3"/>
          <w:sz w:val="24"/>
        </w:rPr>
        <w:t> </w:t>
      </w:r>
      <w:r>
        <w:rPr>
          <w:sz w:val="24"/>
        </w:rPr>
        <w:t>Retail</w:t>
      </w:r>
      <w:r>
        <w:rPr>
          <w:spacing w:val="-3"/>
          <w:sz w:val="24"/>
        </w:rPr>
        <w:t> </w:t>
      </w:r>
      <w:r>
        <w:rPr>
          <w:sz w:val="24"/>
        </w:rPr>
        <w:t>Markets.”</w:t>
      </w:r>
      <w:r>
        <w:rPr>
          <w:spacing w:val="-4"/>
          <w:sz w:val="24"/>
        </w:rPr>
        <w:t> </w:t>
      </w:r>
      <w:r>
        <w:rPr>
          <w:i/>
          <w:sz w:val="24"/>
        </w:rPr>
        <w:t>Submission</w:t>
      </w:r>
      <w:r>
        <w:rPr>
          <w:i/>
          <w:spacing w:val="-3"/>
          <w:sz w:val="24"/>
        </w:rPr>
        <w:t> </w:t>
      </w:r>
      <w:r>
        <w:rPr>
          <w:i/>
          <w:sz w:val="24"/>
        </w:rPr>
        <w:t>invited</w:t>
      </w:r>
      <w:r>
        <w:rPr>
          <w:i/>
          <w:spacing w:val="-3"/>
          <w:sz w:val="24"/>
        </w:rPr>
        <w:t> </w:t>
      </w:r>
      <w:r>
        <w:rPr>
          <w:i/>
          <w:sz w:val="24"/>
        </w:rPr>
        <w:t>by</w:t>
      </w:r>
      <w:r>
        <w:rPr>
          <w:i/>
          <w:spacing w:val="-4"/>
          <w:sz w:val="24"/>
        </w:rPr>
        <w:t> </w:t>
      </w:r>
      <w:r>
        <w:rPr>
          <w:i/>
          <w:sz w:val="24"/>
        </w:rPr>
        <w:t>editor, Quantitative Marketing and Economics.</w:t>
      </w:r>
    </w:p>
    <w:p>
      <w:pPr>
        <w:spacing w:after="0" w:line="237" w:lineRule="auto"/>
        <w:jc w:val="left"/>
        <w:rPr>
          <w:i/>
          <w:sz w:val="24"/>
        </w:rPr>
        <w:sectPr>
          <w:pgSz w:w="11910" w:h="16840"/>
          <w:pgMar w:top="1580" w:bottom="280" w:left="1417" w:right="1417"/>
        </w:sectPr>
      </w:pPr>
    </w:p>
    <w:p>
      <w:pPr>
        <w:pStyle w:val="Heading1"/>
        <w:spacing w:before="78"/>
      </w:pPr>
      <w:r>
        <w:rPr/>
        <w:t>Work</w:t>
      </w:r>
      <w:r>
        <w:rPr>
          <w:spacing w:val="-3"/>
        </w:rPr>
        <w:t> </w:t>
      </w:r>
      <w:r>
        <w:rPr/>
        <w:t>in </w:t>
      </w:r>
      <w:r>
        <w:rPr>
          <w:spacing w:val="-2"/>
        </w:rPr>
        <w:t>Progress</w:t>
      </w:r>
    </w:p>
    <w:p>
      <w:pPr>
        <w:pStyle w:val="BodyText"/>
        <w:spacing w:line="20" w:lineRule="exact"/>
        <w:ind w:left="23" w:right="-44"/>
        <w:rPr>
          <w:sz w:val="2"/>
        </w:rPr>
      </w:pPr>
      <w:r>
        <w:rPr>
          <w:sz w:val="2"/>
        </w:rPr>
        <mc:AlternateContent>
          <mc:Choice Requires="wps">
            <w:drawing>
              <wp:inline distT="0" distB="0" distL="0" distR="0">
                <wp:extent cx="5730240" cy="6350"/>
                <wp:effectExtent l="0" t="0" r="0" b="0"/>
                <wp:docPr id="5" name="Group 5"/>
                <wp:cNvGraphicFramePr>
                  <a:graphicFrameLocks/>
                </wp:cNvGraphicFramePr>
                <a:graphic>
                  <a:graphicData uri="http://schemas.microsoft.com/office/word/2010/wordprocessingGroup">
                    <wpg:wgp>
                      <wpg:cNvPr id="5" name="Group 5"/>
                      <wpg:cNvGrpSpPr/>
                      <wpg:grpSpPr>
                        <a:xfrm>
                          <a:off x="0" y="0"/>
                          <a:ext cx="5730240" cy="6350"/>
                          <a:chExt cx="5730240" cy="6350"/>
                        </a:xfrm>
                      </wpg:grpSpPr>
                      <wps:wsp>
                        <wps:cNvPr id="6" name="Graphic 6"/>
                        <wps:cNvSpPr/>
                        <wps:spPr>
                          <a:xfrm>
                            <a:off x="0" y="0"/>
                            <a:ext cx="5730240" cy="6350"/>
                          </a:xfrm>
                          <a:custGeom>
                            <a:avLst/>
                            <a:gdLst/>
                            <a:ahLst/>
                            <a:cxnLst/>
                            <a:rect l="l" t="t" r="r" b="b"/>
                            <a:pathLst>
                              <a:path w="5730240" h="6350">
                                <a:moveTo>
                                  <a:pt x="5730240" y="0"/>
                                </a:moveTo>
                                <a:lnTo>
                                  <a:pt x="0" y="0"/>
                                </a:lnTo>
                                <a:lnTo>
                                  <a:pt x="0" y="6096"/>
                                </a:lnTo>
                                <a:lnTo>
                                  <a:pt x="5730240" y="6096"/>
                                </a:lnTo>
                                <a:lnTo>
                                  <a:pt x="57302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2pt;height:.5pt;mso-position-horizontal-relative:char;mso-position-vertical-relative:line" id="docshapegroup5" coordorigin="0,0" coordsize="9024,10">
                <v:rect style="position:absolute;left:0;top:0;width:9024;height:10" id="docshape6" filled="true" fillcolor="#000000" stroked="false">
                  <v:fill type="solid"/>
                </v:rect>
              </v:group>
            </w:pict>
          </mc:Fallback>
        </mc:AlternateContent>
      </w:r>
      <w:r>
        <w:rPr>
          <w:sz w:val="2"/>
        </w:rPr>
      </w:r>
    </w:p>
    <w:p>
      <w:pPr>
        <w:pStyle w:val="BodyText"/>
        <w:spacing w:before="231"/>
        <w:ind w:left="128"/>
      </w:pPr>
      <w:r>
        <w:rPr/>
        <w:t>“Price</w:t>
      </w:r>
      <w:r>
        <w:rPr>
          <w:spacing w:val="-5"/>
        </w:rPr>
        <w:t> </w:t>
      </w:r>
      <w:r>
        <w:rPr/>
        <w:t>Reference</w:t>
      </w:r>
      <w:r>
        <w:rPr>
          <w:spacing w:val="-3"/>
        </w:rPr>
        <w:t> </w:t>
      </w:r>
      <w:r>
        <w:rPr/>
        <w:t>Effects</w:t>
      </w:r>
      <w:r>
        <w:rPr>
          <w:spacing w:val="-2"/>
        </w:rPr>
        <w:t> </w:t>
      </w:r>
      <w:r>
        <w:rPr/>
        <w:t>in</w:t>
      </w:r>
      <w:r>
        <w:rPr>
          <w:spacing w:val="-2"/>
        </w:rPr>
        <w:t> </w:t>
      </w:r>
      <w:r>
        <w:rPr/>
        <w:t>Consumer</w:t>
      </w:r>
      <w:r>
        <w:rPr>
          <w:spacing w:val="-2"/>
        </w:rPr>
        <w:t> </w:t>
      </w:r>
      <w:r>
        <w:rPr/>
        <w:t>Demand,”</w:t>
      </w:r>
      <w:r>
        <w:rPr>
          <w:spacing w:val="-3"/>
        </w:rPr>
        <w:t> </w:t>
      </w:r>
      <w:r>
        <w:rPr/>
        <w:t>with</w:t>
      </w:r>
      <w:r>
        <w:rPr>
          <w:spacing w:val="-2"/>
        </w:rPr>
        <w:t> </w:t>
      </w:r>
      <w:r>
        <w:rPr/>
        <w:t>Martin</w:t>
      </w:r>
      <w:r>
        <w:rPr>
          <w:spacing w:val="-1"/>
        </w:rPr>
        <w:t> </w:t>
      </w:r>
      <w:r>
        <w:rPr>
          <w:spacing w:val="-2"/>
        </w:rPr>
        <w:t>Pesendorfer.</w:t>
      </w:r>
    </w:p>
    <w:p>
      <w:pPr>
        <w:pStyle w:val="BodyText"/>
        <w:spacing w:line="242" w:lineRule="auto" w:before="237"/>
        <w:ind w:left="412" w:right="174" w:hanging="284"/>
      </w:pPr>
      <w:r>
        <w:rPr/>
        <w:t>“A</w:t>
      </w:r>
      <w:r>
        <w:rPr>
          <w:spacing w:val="-3"/>
        </w:rPr>
        <w:t> </w:t>
      </w:r>
      <w:r>
        <w:rPr/>
        <w:t>Structural</w:t>
      </w:r>
      <w:r>
        <w:rPr>
          <w:spacing w:val="-3"/>
        </w:rPr>
        <w:t> </w:t>
      </w:r>
      <w:r>
        <w:rPr/>
        <w:t>Model</w:t>
      </w:r>
      <w:r>
        <w:rPr>
          <w:spacing w:val="-3"/>
        </w:rPr>
        <w:t> </w:t>
      </w:r>
      <w:r>
        <w:rPr/>
        <w:t>of</w:t>
      </w:r>
      <w:r>
        <w:rPr>
          <w:spacing w:val="-3"/>
        </w:rPr>
        <w:t> </w:t>
      </w:r>
      <w:r>
        <w:rPr/>
        <w:t>Product-Line</w:t>
      </w:r>
      <w:r>
        <w:rPr>
          <w:spacing w:val="-4"/>
        </w:rPr>
        <w:t> </w:t>
      </w:r>
      <w:r>
        <w:rPr/>
        <w:t>Pricing,”</w:t>
      </w:r>
      <w:r>
        <w:rPr>
          <w:spacing w:val="-4"/>
        </w:rPr>
        <w:t> </w:t>
      </w:r>
      <w:r>
        <w:rPr/>
        <w:t>with</w:t>
      </w:r>
      <w:r>
        <w:rPr>
          <w:spacing w:val="-4"/>
        </w:rPr>
        <w:t> </w:t>
      </w:r>
      <w:r>
        <w:rPr/>
        <w:t>Isis</w:t>
      </w:r>
      <w:r>
        <w:rPr>
          <w:spacing w:val="-3"/>
        </w:rPr>
        <w:t> </w:t>
      </w:r>
      <w:r>
        <w:rPr/>
        <w:t>Durrmeyer,</w:t>
      </w:r>
      <w:r>
        <w:rPr>
          <w:spacing w:val="-4"/>
        </w:rPr>
        <w:t> </w:t>
      </w:r>
      <w:r>
        <w:rPr/>
        <w:t>Andras</w:t>
      </w:r>
      <w:r>
        <w:rPr>
          <w:spacing w:val="-3"/>
        </w:rPr>
        <w:t> </w:t>
      </w:r>
      <w:r>
        <w:rPr/>
        <w:t>Niedermeyer and Artyom Shneyerov.</w:t>
      </w:r>
    </w:p>
    <w:p>
      <w:pPr>
        <w:pStyle w:val="BodyText"/>
      </w:pPr>
    </w:p>
    <w:p>
      <w:pPr>
        <w:pStyle w:val="BodyText"/>
        <w:spacing w:before="76"/>
      </w:pPr>
    </w:p>
    <w:p>
      <w:pPr>
        <w:pStyle w:val="Heading1"/>
        <w:spacing w:before="1" w:after="4"/>
      </w:pPr>
      <w:r>
        <w:rPr>
          <w:spacing w:val="-2"/>
        </w:rPr>
        <w:t>Referee</w:t>
      </w:r>
    </w:p>
    <w:p>
      <w:pPr>
        <w:pStyle w:val="BodyText"/>
        <w:spacing w:line="20" w:lineRule="exact"/>
        <w:ind w:left="23" w:right="-44"/>
        <w:rPr>
          <w:sz w:val="2"/>
        </w:rPr>
      </w:pPr>
      <w:r>
        <w:rPr>
          <w:sz w:val="2"/>
        </w:rPr>
        <mc:AlternateContent>
          <mc:Choice Requires="wps">
            <w:drawing>
              <wp:inline distT="0" distB="0" distL="0" distR="0">
                <wp:extent cx="5730240"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5730240" cy="6350"/>
                          <a:chExt cx="5730240" cy="6350"/>
                        </a:xfrm>
                      </wpg:grpSpPr>
                      <wps:wsp>
                        <wps:cNvPr id="8" name="Graphic 8"/>
                        <wps:cNvSpPr/>
                        <wps:spPr>
                          <a:xfrm>
                            <a:off x="0" y="0"/>
                            <a:ext cx="5730240" cy="6350"/>
                          </a:xfrm>
                          <a:custGeom>
                            <a:avLst/>
                            <a:gdLst/>
                            <a:ahLst/>
                            <a:cxnLst/>
                            <a:rect l="l" t="t" r="r" b="b"/>
                            <a:pathLst>
                              <a:path w="5730240" h="6350">
                                <a:moveTo>
                                  <a:pt x="5730240" y="0"/>
                                </a:moveTo>
                                <a:lnTo>
                                  <a:pt x="0" y="0"/>
                                </a:lnTo>
                                <a:lnTo>
                                  <a:pt x="0" y="6096"/>
                                </a:lnTo>
                                <a:lnTo>
                                  <a:pt x="5730240" y="6096"/>
                                </a:lnTo>
                                <a:lnTo>
                                  <a:pt x="57302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2pt;height:.5pt;mso-position-horizontal-relative:char;mso-position-vertical-relative:line" id="docshapegroup7" coordorigin="0,0" coordsize="9024,10">
                <v:rect style="position:absolute;left:0;top:0;width:9024;height:10" id="docshape8" filled="true" fillcolor="#000000" stroked="false">
                  <v:fill type="solid"/>
                </v:rect>
              </v:group>
            </w:pict>
          </mc:Fallback>
        </mc:AlternateContent>
      </w:r>
      <w:r>
        <w:rPr>
          <w:sz w:val="2"/>
        </w:rPr>
      </w:r>
    </w:p>
    <w:p>
      <w:pPr>
        <w:pStyle w:val="BodyText"/>
        <w:spacing w:before="87"/>
        <w:ind w:left="128"/>
      </w:pPr>
      <w:r>
        <w:rPr/>
        <w:t>Econometrica, American Economic Review, Review of Economic Studies, Journal of Political</w:t>
      </w:r>
      <w:r>
        <w:rPr>
          <w:spacing w:val="-4"/>
        </w:rPr>
        <w:t> </w:t>
      </w:r>
      <w:r>
        <w:rPr/>
        <w:t>Economy,</w:t>
      </w:r>
      <w:r>
        <w:rPr>
          <w:spacing w:val="-4"/>
        </w:rPr>
        <w:t> </w:t>
      </w:r>
      <w:r>
        <w:rPr/>
        <w:t>Journal</w:t>
      </w:r>
      <w:r>
        <w:rPr>
          <w:spacing w:val="-4"/>
        </w:rPr>
        <w:t> </w:t>
      </w:r>
      <w:r>
        <w:rPr/>
        <w:t>of</w:t>
      </w:r>
      <w:r>
        <w:rPr>
          <w:spacing w:val="-4"/>
        </w:rPr>
        <w:t> </w:t>
      </w:r>
      <w:r>
        <w:rPr/>
        <w:t>the</w:t>
      </w:r>
      <w:r>
        <w:rPr>
          <w:spacing w:val="-4"/>
        </w:rPr>
        <w:t> </w:t>
      </w:r>
      <w:r>
        <w:rPr/>
        <w:t>European</w:t>
      </w:r>
      <w:r>
        <w:rPr>
          <w:spacing w:val="-4"/>
        </w:rPr>
        <w:t> </w:t>
      </w:r>
      <w:r>
        <w:rPr/>
        <w:t>Economic</w:t>
      </w:r>
      <w:r>
        <w:rPr>
          <w:spacing w:val="-4"/>
        </w:rPr>
        <w:t> </w:t>
      </w:r>
      <w:r>
        <w:rPr/>
        <w:t>Association,</w:t>
      </w:r>
      <w:r>
        <w:rPr>
          <w:spacing w:val="-4"/>
        </w:rPr>
        <w:t> </w:t>
      </w:r>
      <w:r>
        <w:rPr/>
        <w:t>European</w:t>
      </w:r>
      <w:r>
        <w:rPr>
          <w:spacing w:val="-4"/>
        </w:rPr>
        <w:t> </w:t>
      </w:r>
      <w:r>
        <w:rPr/>
        <w:t>Economic Review, Management Science, RAND Journal of Economics, International Journal of Industrial Organization, Journal of Industrial Economics, Journal of Econometrics, International Economic Review, Journal of Applied Econometrics, Journal of Public Economic Theory, Journal of Public Economics</w:t>
      </w:r>
    </w:p>
    <w:p>
      <w:pPr>
        <w:pStyle w:val="BodyText"/>
      </w:pPr>
    </w:p>
    <w:p>
      <w:pPr>
        <w:pStyle w:val="BodyText"/>
        <w:spacing w:before="81"/>
      </w:pPr>
    </w:p>
    <w:p>
      <w:pPr>
        <w:pStyle w:val="Heading1"/>
        <w:spacing w:before="1"/>
      </w:pPr>
      <w:r>
        <w:rPr/>
        <w:t>Doctoral</w:t>
      </w:r>
      <w:r>
        <w:rPr>
          <w:spacing w:val="-3"/>
        </w:rPr>
        <w:t> </w:t>
      </w:r>
      <w:r>
        <w:rPr/>
        <w:t>Students</w:t>
      </w:r>
      <w:r>
        <w:rPr>
          <w:spacing w:val="-2"/>
        </w:rPr>
        <w:t> Advised</w:t>
      </w:r>
    </w:p>
    <w:p>
      <w:pPr>
        <w:pStyle w:val="BodyText"/>
        <w:spacing w:line="20" w:lineRule="exact"/>
        <w:ind w:left="23" w:right="-44"/>
        <w:rPr>
          <w:sz w:val="2"/>
        </w:rPr>
      </w:pPr>
      <w:r>
        <w:rPr>
          <w:sz w:val="2"/>
        </w:rPr>
        <mc:AlternateContent>
          <mc:Choice Requires="wps">
            <w:drawing>
              <wp:inline distT="0" distB="0" distL="0" distR="0">
                <wp:extent cx="5730240" cy="6350"/>
                <wp:effectExtent l="0" t="0" r="0" b="0"/>
                <wp:docPr id="9" name="Group 9"/>
                <wp:cNvGraphicFramePr>
                  <a:graphicFrameLocks/>
                </wp:cNvGraphicFramePr>
                <a:graphic>
                  <a:graphicData uri="http://schemas.microsoft.com/office/word/2010/wordprocessingGroup">
                    <wpg:wgp>
                      <wpg:cNvPr id="9" name="Group 9"/>
                      <wpg:cNvGrpSpPr/>
                      <wpg:grpSpPr>
                        <a:xfrm>
                          <a:off x="0" y="0"/>
                          <a:ext cx="5730240" cy="6350"/>
                          <a:chExt cx="5730240" cy="6350"/>
                        </a:xfrm>
                      </wpg:grpSpPr>
                      <wps:wsp>
                        <wps:cNvPr id="10" name="Graphic 10"/>
                        <wps:cNvSpPr/>
                        <wps:spPr>
                          <a:xfrm>
                            <a:off x="0" y="0"/>
                            <a:ext cx="5730240" cy="6350"/>
                          </a:xfrm>
                          <a:custGeom>
                            <a:avLst/>
                            <a:gdLst/>
                            <a:ahLst/>
                            <a:cxnLst/>
                            <a:rect l="l" t="t" r="r" b="b"/>
                            <a:pathLst>
                              <a:path w="5730240" h="6350">
                                <a:moveTo>
                                  <a:pt x="5730240" y="0"/>
                                </a:moveTo>
                                <a:lnTo>
                                  <a:pt x="0" y="0"/>
                                </a:lnTo>
                                <a:lnTo>
                                  <a:pt x="0" y="6095"/>
                                </a:lnTo>
                                <a:lnTo>
                                  <a:pt x="5730240" y="6095"/>
                                </a:lnTo>
                                <a:lnTo>
                                  <a:pt x="57302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2pt;height:.5pt;mso-position-horizontal-relative:char;mso-position-vertical-relative:line" id="docshapegroup9" coordorigin="0,0" coordsize="9024,10">
                <v:rect style="position:absolute;left:0;top:0;width:9024;height:10" id="docshape10" filled="true" fillcolor="#000000" stroked="false">
                  <v:fill type="solid"/>
                </v:rect>
              </v:group>
            </w:pict>
          </mc:Fallback>
        </mc:AlternateContent>
      </w:r>
      <w:r>
        <w:rPr>
          <w:sz w:val="2"/>
        </w:rPr>
      </w:r>
    </w:p>
    <w:p>
      <w:pPr>
        <w:pStyle w:val="BodyText"/>
        <w:spacing w:line="237" w:lineRule="auto"/>
        <w:ind w:left="412" w:right="4538"/>
      </w:pPr>
      <w:r>
        <w:rPr/>
        <w:t>Philip Solimine (FSU, 2022, co-chair) Anthony Manucci (FSU, 2023, chair) Jacob</w:t>
      </w:r>
      <w:r>
        <w:rPr>
          <w:spacing w:val="-7"/>
        </w:rPr>
        <w:t> </w:t>
      </w:r>
      <w:r>
        <w:rPr/>
        <w:t>Haines</w:t>
      </w:r>
      <w:r>
        <w:rPr>
          <w:spacing w:val="-7"/>
        </w:rPr>
        <w:t> </w:t>
      </w:r>
      <w:r>
        <w:rPr/>
        <w:t>(FSU,</w:t>
      </w:r>
      <w:r>
        <w:rPr>
          <w:spacing w:val="-7"/>
        </w:rPr>
        <w:t> </w:t>
      </w:r>
      <w:r>
        <w:rPr/>
        <w:t>expected</w:t>
      </w:r>
      <w:r>
        <w:rPr>
          <w:spacing w:val="-7"/>
        </w:rPr>
        <w:t> </w:t>
      </w:r>
      <w:r>
        <w:rPr/>
        <w:t>2025,</w:t>
      </w:r>
      <w:r>
        <w:rPr>
          <w:spacing w:val="-7"/>
        </w:rPr>
        <w:t> </w:t>
      </w:r>
      <w:r>
        <w:rPr/>
        <w:t>chair)</w:t>
      </w:r>
    </w:p>
    <w:p>
      <w:pPr>
        <w:pStyle w:val="BodyText"/>
        <w:ind w:left="412"/>
      </w:pPr>
      <w:r>
        <w:rPr/>
        <w:t>David</w:t>
      </w:r>
      <w:r>
        <w:rPr>
          <w:spacing w:val="-2"/>
        </w:rPr>
        <w:t> </w:t>
      </w:r>
      <w:r>
        <w:rPr/>
        <w:t>Luengas</w:t>
      </w:r>
      <w:r>
        <w:rPr>
          <w:spacing w:val="-1"/>
        </w:rPr>
        <w:t> </w:t>
      </w:r>
      <w:r>
        <w:rPr/>
        <w:t>Silva</w:t>
      </w:r>
      <w:r>
        <w:rPr>
          <w:spacing w:val="-2"/>
        </w:rPr>
        <w:t> </w:t>
      </w:r>
      <w:r>
        <w:rPr/>
        <w:t>(FSU,</w:t>
      </w:r>
      <w:r>
        <w:rPr>
          <w:spacing w:val="-3"/>
        </w:rPr>
        <w:t> </w:t>
      </w:r>
      <w:r>
        <w:rPr/>
        <w:t>expected</w:t>
      </w:r>
      <w:r>
        <w:rPr>
          <w:spacing w:val="-1"/>
        </w:rPr>
        <w:t> </w:t>
      </w:r>
      <w:r>
        <w:rPr/>
        <w:t>2027,</w:t>
      </w:r>
      <w:r>
        <w:rPr>
          <w:spacing w:val="-1"/>
        </w:rPr>
        <w:t> </w:t>
      </w:r>
      <w:r>
        <w:rPr>
          <w:spacing w:val="-2"/>
        </w:rPr>
        <w:t>chair)</w:t>
      </w:r>
    </w:p>
    <w:p>
      <w:pPr>
        <w:pStyle w:val="BodyText"/>
      </w:pPr>
    </w:p>
    <w:p>
      <w:pPr>
        <w:pStyle w:val="BodyText"/>
        <w:spacing w:before="81"/>
      </w:pPr>
    </w:p>
    <w:p>
      <w:pPr>
        <w:pStyle w:val="Heading1"/>
      </w:pPr>
      <w:r>
        <w:rPr>
          <w:spacing w:val="-2"/>
        </w:rPr>
        <w:t>Teaching</w:t>
      </w:r>
    </w:p>
    <w:p>
      <w:pPr>
        <w:pStyle w:val="BodyText"/>
        <w:spacing w:line="20" w:lineRule="exact"/>
        <w:ind w:left="23" w:right="-44"/>
        <w:rPr>
          <w:sz w:val="2"/>
        </w:rPr>
      </w:pPr>
      <w:r>
        <w:rPr>
          <w:sz w:val="2"/>
        </w:rPr>
        <mc:AlternateContent>
          <mc:Choice Requires="wps">
            <w:drawing>
              <wp:inline distT="0" distB="0" distL="0" distR="0">
                <wp:extent cx="5730240" cy="6350"/>
                <wp:effectExtent l="0" t="0" r="0" b="0"/>
                <wp:docPr id="11" name="Group 11"/>
                <wp:cNvGraphicFramePr>
                  <a:graphicFrameLocks/>
                </wp:cNvGraphicFramePr>
                <a:graphic>
                  <a:graphicData uri="http://schemas.microsoft.com/office/word/2010/wordprocessingGroup">
                    <wpg:wgp>
                      <wpg:cNvPr id="11" name="Group 11"/>
                      <wpg:cNvGrpSpPr/>
                      <wpg:grpSpPr>
                        <a:xfrm>
                          <a:off x="0" y="0"/>
                          <a:ext cx="5730240" cy="6350"/>
                          <a:chExt cx="5730240" cy="6350"/>
                        </a:xfrm>
                      </wpg:grpSpPr>
                      <wps:wsp>
                        <wps:cNvPr id="12" name="Graphic 12"/>
                        <wps:cNvSpPr/>
                        <wps:spPr>
                          <a:xfrm>
                            <a:off x="0" y="0"/>
                            <a:ext cx="5730240" cy="6350"/>
                          </a:xfrm>
                          <a:custGeom>
                            <a:avLst/>
                            <a:gdLst/>
                            <a:ahLst/>
                            <a:cxnLst/>
                            <a:rect l="l" t="t" r="r" b="b"/>
                            <a:pathLst>
                              <a:path w="5730240" h="6350">
                                <a:moveTo>
                                  <a:pt x="5730240" y="0"/>
                                </a:moveTo>
                                <a:lnTo>
                                  <a:pt x="0" y="0"/>
                                </a:lnTo>
                                <a:lnTo>
                                  <a:pt x="0" y="6096"/>
                                </a:lnTo>
                                <a:lnTo>
                                  <a:pt x="5730240" y="6096"/>
                                </a:lnTo>
                                <a:lnTo>
                                  <a:pt x="57302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2pt;height:.5pt;mso-position-horizontal-relative:char;mso-position-vertical-relative:line" id="docshapegroup11" coordorigin="0,0" coordsize="9024,10">
                <v:rect style="position:absolute;left:0;top:0;width:9024;height:10" id="docshape12" filled="true" fillcolor="#000000" stroked="false">
                  <v:fill type="solid"/>
                </v:rect>
              </v:group>
            </w:pict>
          </mc:Fallback>
        </mc:AlternateContent>
      </w:r>
      <w:r>
        <w:rPr>
          <w:sz w:val="2"/>
        </w:rPr>
      </w:r>
    </w:p>
    <w:p>
      <w:pPr>
        <w:spacing w:before="0"/>
        <w:ind w:left="128" w:right="0" w:firstLine="0"/>
        <w:jc w:val="left"/>
        <w:rPr>
          <w:i/>
          <w:sz w:val="24"/>
        </w:rPr>
      </w:pPr>
      <w:r>
        <w:rPr>
          <w:i/>
          <w:sz w:val="24"/>
        </w:rPr>
        <w:t>Florida</w:t>
      </w:r>
      <w:r>
        <w:rPr>
          <w:i/>
          <w:spacing w:val="-2"/>
          <w:sz w:val="24"/>
        </w:rPr>
        <w:t> </w:t>
      </w:r>
      <w:r>
        <w:rPr>
          <w:i/>
          <w:sz w:val="24"/>
        </w:rPr>
        <w:t>State</w:t>
      </w:r>
      <w:r>
        <w:rPr>
          <w:i/>
          <w:spacing w:val="-1"/>
          <w:sz w:val="24"/>
        </w:rPr>
        <w:t> </w:t>
      </w:r>
      <w:r>
        <w:rPr>
          <w:i/>
          <w:sz w:val="24"/>
        </w:rPr>
        <w:t>University</w:t>
      </w:r>
      <w:r>
        <w:rPr>
          <w:i/>
          <w:spacing w:val="-2"/>
          <w:sz w:val="24"/>
        </w:rPr>
        <w:t> </w:t>
      </w:r>
      <w:r>
        <w:rPr>
          <w:i/>
          <w:sz w:val="24"/>
        </w:rPr>
        <w:t>(2019-</w:t>
      </w:r>
      <w:r>
        <w:rPr>
          <w:i/>
          <w:spacing w:val="-2"/>
          <w:sz w:val="24"/>
        </w:rPr>
        <w:t>2025)</w:t>
      </w:r>
    </w:p>
    <w:p>
      <w:pPr>
        <w:pStyle w:val="BodyText"/>
        <w:spacing w:line="237" w:lineRule="auto"/>
        <w:ind w:left="428" w:right="5642"/>
      </w:pPr>
      <w:r>
        <w:rPr/>
        <w:t>Econometrics I (PhD) Industrial</w:t>
      </w:r>
      <w:r>
        <w:rPr>
          <w:spacing w:val="-15"/>
        </w:rPr>
        <w:t> </w:t>
      </w:r>
      <w:r>
        <w:rPr/>
        <w:t>Organization</w:t>
      </w:r>
      <w:r>
        <w:rPr>
          <w:spacing w:val="-15"/>
        </w:rPr>
        <w:t> </w:t>
      </w:r>
      <w:r>
        <w:rPr/>
        <w:t>(PhD)</w:t>
      </w:r>
    </w:p>
    <w:p>
      <w:pPr>
        <w:pStyle w:val="BodyText"/>
        <w:spacing w:line="237" w:lineRule="auto"/>
        <w:ind w:left="412" w:right="4035" w:firstLine="16"/>
      </w:pPr>
      <w:r>
        <w:rPr/>
        <w:t>Structural Econometric Methods (PhD) Business</w:t>
      </w:r>
      <w:r>
        <w:rPr>
          <w:spacing w:val="-8"/>
        </w:rPr>
        <w:t> </w:t>
      </w:r>
      <w:r>
        <w:rPr/>
        <w:t>Organization</w:t>
      </w:r>
      <w:r>
        <w:rPr>
          <w:spacing w:val="-8"/>
        </w:rPr>
        <w:t> </w:t>
      </w:r>
      <w:r>
        <w:rPr/>
        <w:t>and</w:t>
      </w:r>
      <w:r>
        <w:rPr>
          <w:spacing w:val="-8"/>
        </w:rPr>
        <w:t> </w:t>
      </w:r>
      <w:r>
        <w:rPr/>
        <w:t>Market</w:t>
      </w:r>
      <w:r>
        <w:rPr>
          <w:spacing w:val="-8"/>
        </w:rPr>
        <w:t> </w:t>
      </w:r>
      <w:r>
        <w:rPr/>
        <w:t>Structure</w:t>
      </w:r>
    </w:p>
    <w:p>
      <w:pPr>
        <w:spacing w:before="273"/>
        <w:ind w:left="128" w:right="0" w:firstLine="0"/>
        <w:jc w:val="left"/>
        <w:rPr>
          <w:i/>
          <w:sz w:val="24"/>
        </w:rPr>
      </w:pPr>
      <w:r>
        <w:rPr>
          <w:i/>
          <w:sz w:val="24"/>
        </w:rPr>
        <w:t>Toulouse</w:t>
      </w:r>
      <w:r>
        <w:rPr>
          <w:i/>
          <w:spacing w:val="-6"/>
          <w:sz w:val="24"/>
        </w:rPr>
        <w:t> </w:t>
      </w:r>
      <w:r>
        <w:rPr>
          <w:i/>
          <w:sz w:val="24"/>
        </w:rPr>
        <w:t>School</w:t>
      </w:r>
      <w:r>
        <w:rPr>
          <w:i/>
          <w:spacing w:val="-2"/>
          <w:sz w:val="24"/>
        </w:rPr>
        <w:t> </w:t>
      </w:r>
      <w:r>
        <w:rPr>
          <w:i/>
          <w:sz w:val="24"/>
        </w:rPr>
        <w:t>of</w:t>
      </w:r>
      <w:r>
        <w:rPr>
          <w:i/>
          <w:spacing w:val="-2"/>
          <w:sz w:val="24"/>
        </w:rPr>
        <w:t> </w:t>
      </w:r>
      <w:r>
        <w:rPr>
          <w:i/>
          <w:sz w:val="24"/>
        </w:rPr>
        <w:t>Economics</w:t>
      </w:r>
      <w:r>
        <w:rPr>
          <w:i/>
          <w:spacing w:val="-2"/>
          <w:sz w:val="24"/>
        </w:rPr>
        <w:t> </w:t>
      </w:r>
      <w:r>
        <w:rPr>
          <w:i/>
          <w:sz w:val="24"/>
        </w:rPr>
        <w:t>(2018-</w:t>
      </w:r>
      <w:r>
        <w:rPr>
          <w:i/>
          <w:spacing w:val="-2"/>
          <w:sz w:val="24"/>
        </w:rPr>
        <w:t>2019)</w:t>
      </w:r>
    </w:p>
    <w:p>
      <w:pPr>
        <w:pStyle w:val="BodyText"/>
        <w:spacing w:line="237" w:lineRule="auto" w:before="5"/>
        <w:ind w:left="428" w:right="3007"/>
      </w:pPr>
      <w:r>
        <w:rPr/>
        <w:t>Empirical</w:t>
      </w:r>
      <w:r>
        <w:rPr>
          <w:spacing w:val="-8"/>
        </w:rPr>
        <w:t> </w:t>
      </w:r>
      <w:r>
        <w:rPr/>
        <w:t>Industrial</w:t>
      </w:r>
      <w:r>
        <w:rPr>
          <w:spacing w:val="-8"/>
        </w:rPr>
        <w:t> </w:t>
      </w:r>
      <w:r>
        <w:rPr/>
        <w:t>Organization</w:t>
      </w:r>
      <w:r>
        <w:rPr>
          <w:spacing w:val="-8"/>
        </w:rPr>
        <w:t> </w:t>
      </w:r>
      <w:r>
        <w:rPr/>
        <w:t>(Economics</w:t>
      </w:r>
      <w:r>
        <w:rPr>
          <w:spacing w:val="-8"/>
        </w:rPr>
        <w:t> </w:t>
      </w:r>
      <w:r>
        <w:rPr/>
        <w:t>Masters) Business Economics (Finance Masters)</w:t>
      </w:r>
    </w:p>
    <w:p>
      <w:pPr>
        <w:pStyle w:val="BodyText"/>
        <w:spacing w:before="1"/>
      </w:pPr>
    </w:p>
    <w:p>
      <w:pPr>
        <w:spacing w:line="240" w:lineRule="auto" w:before="0"/>
        <w:ind w:left="412" w:right="4185" w:hanging="284"/>
        <w:jc w:val="left"/>
        <w:rPr>
          <w:sz w:val="24"/>
        </w:rPr>
      </w:pPr>
      <w:r>
        <w:rPr>
          <w:i/>
          <w:sz w:val="24"/>
        </w:rPr>
        <w:t>London School of Economics</w:t>
      </w:r>
      <w:r>
        <w:rPr>
          <w:i/>
          <w:spacing w:val="40"/>
          <w:sz w:val="24"/>
        </w:rPr>
        <w:t> </w:t>
      </w:r>
      <w:r>
        <w:rPr>
          <w:sz w:val="24"/>
        </w:rPr>
        <w:t>(2012-2018) Economics</w:t>
      </w:r>
      <w:r>
        <w:rPr>
          <w:spacing w:val="-7"/>
          <w:sz w:val="24"/>
        </w:rPr>
        <w:t> </w:t>
      </w:r>
      <w:r>
        <w:rPr>
          <w:sz w:val="24"/>
        </w:rPr>
        <w:t>of</w:t>
      </w:r>
      <w:r>
        <w:rPr>
          <w:spacing w:val="-7"/>
          <w:sz w:val="24"/>
        </w:rPr>
        <w:t> </w:t>
      </w:r>
      <w:r>
        <w:rPr>
          <w:sz w:val="24"/>
        </w:rPr>
        <w:t>Industry</w:t>
      </w:r>
      <w:r>
        <w:rPr>
          <w:spacing w:val="-7"/>
          <w:sz w:val="24"/>
        </w:rPr>
        <w:t> </w:t>
      </w:r>
      <w:r>
        <w:rPr>
          <w:sz w:val="24"/>
        </w:rPr>
        <w:t>for</w:t>
      </w:r>
      <w:r>
        <w:rPr>
          <w:spacing w:val="-7"/>
          <w:sz w:val="24"/>
        </w:rPr>
        <w:t> </w:t>
      </w:r>
      <w:r>
        <w:rPr>
          <w:sz w:val="24"/>
        </w:rPr>
        <w:t>Research</w:t>
      </w:r>
      <w:r>
        <w:rPr>
          <w:spacing w:val="-7"/>
          <w:sz w:val="24"/>
        </w:rPr>
        <w:t> </w:t>
      </w:r>
      <w:r>
        <w:rPr>
          <w:sz w:val="24"/>
        </w:rPr>
        <w:t>Students Problems in Applied Econometrics</w:t>
      </w:r>
    </w:p>
    <w:p>
      <w:pPr>
        <w:pStyle w:val="BodyText"/>
        <w:spacing w:before="2"/>
        <w:ind w:left="412"/>
      </w:pPr>
      <w:r>
        <w:rPr/>
        <w:t>Firms</w:t>
      </w:r>
      <w:r>
        <w:rPr>
          <w:spacing w:val="-1"/>
        </w:rPr>
        <w:t> </w:t>
      </w:r>
      <w:r>
        <w:rPr/>
        <w:t>and </w:t>
      </w:r>
      <w:r>
        <w:rPr>
          <w:spacing w:val="-2"/>
        </w:rPr>
        <w:t>Markets</w:t>
      </w:r>
    </w:p>
    <w:p>
      <w:pPr>
        <w:pStyle w:val="BodyText"/>
        <w:spacing w:before="2"/>
      </w:pPr>
    </w:p>
    <w:p>
      <w:pPr>
        <w:spacing w:line="237" w:lineRule="auto" w:before="1"/>
        <w:ind w:left="412" w:right="4768" w:hanging="284"/>
        <w:jc w:val="left"/>
        <w:rPr>
          <w:sz w:val="24"/>
        </w:rPr>
      </w:pPr>
      <w:r>
        <w:rPr>
          <w:i/>
          <w:sz w:val="24"/>
        </w:rPr>
        <w:t>University of Chicago</w:t>
      </w:r>
      <w:r>
        <w:rPr>
          <w:i/>
          <w:spacing w:val="40"/>
          <w:sz w:val="24"/>
        </w:rPr>
        <w:t> </w:t>
      </w:r>
      <w:r>
        <w:rPr>
          <w:sz w:val="24"/>
        </w:rPr>
        <w:t>(Fall 2013) Problems</w:t>
      </w:r>
      <w:r>
        <w:rPr>
          <w:spacing w:val="-11"/>
          <w:sz w:val="24"/>
        </w:rPr>
        <w:t> </w:t>
      </w:r>
      <w:r>
        <w:rPr>
          <w:sz w:val="24"/>
        </w:rPr>
        <w:t>in</w:t>
      </w:r>
      <w:r>
        <w:rPr>
          <w:spacing w:val="-11"/>
          <w:sz w:val="24"/>
        </w:rPr>
        <w:t> </w:t>
      </w:r>
      <w:r>
        <w:rPr>
          <w:sz w:val="24"/>
        </w:rPr>
        <w:t>Applied</w:t>
      </w:r>
      <w:r>
        <w:rPr>
          <w:spacing w:val="-11"/>
          <w:sz w:val="24"/>
        </w:rPr>
        <w:t> </w:t>
      </w:r>
      <w:r>
        <w:rPr>
          <w:sz w:val="24"/>
        </w:rPr>
        <w:t>Econometrics</w:t>
      </w:r>
    </w:p>
    <w:p>
      <w:pPr>
        <w:pStyle w:val="BodyText"/>
      </w:pPr>
    </w:p>
    <w:p>
      <w:pPr>
        <w:spacing w:line="240" w:lineRule="auto" w:before="1"/>
        <w:ind w:left="412" w:right="4185" w:hanging="284"/>
        <w:jc w:val="left"/>
        <w:rPr>
          <w:sz w:val="24"/>
        </w:rPr>
      </w:pPr>
      <w:r>
        <w:rPr>
          <w:i/>
          <w:sz w:val="24"/>
        </w:rPr>
        <w:t>Vanderbilt</w:t>
      </w:r>
      <w:r>
        <w:rPr>
          <w:i/>
          <w:spacing w:val="-8"/>
          <w:sz w:val="24"/>
        </w:rPr>
        <w:t> </w:t>
      </w:r>
      <w:r>
        <w:rPr>
          <w:i/>
          <w:sz w:val="24"/>
        </w:rPr>
        <w:t>University</w:t>
      </w:r>
      <w:r>
        <w:rPr>
          <w:i/>
          <w:spacing w:val="40"/>
          <w:sz w:val="24"/>
        </w:rPr>
        <w:t> </w:t>
      </w:r>
      <w:r>
        <w:rPr>
          <w:sz w:val="24"/>
        </w:rPr>
        <w:t>(Graduate</w:t>
      </w:r>
      <w:r>
        <w:rPr>
          <w:spacing w:val="-9"/>
          <w:sz w:val="24"/>
        </w:rPr>
        <w:t> </w:t>
      </w:r>
      <w:r>
        <w:rPr>
          <w:sz w:val="24"/>
        </w:rPr>
        <w:t>Assistant) International Macroeconomics Macroeconomic Theory I (PhD)</w:t>
      </w:r>
    </w:p>
    <w:p>
      <w:pPr>
        <w:pStyle w:val="BodyText"/>
        <w:spacing w:before="2"/>
        <w:ind w:left="412"/>
      </w:pPr>
      <w:r>
        <w:rPr/>
        <w:t>Money</w:t>
      </w:r>
      <w:r>
        <w:rPr>
          <w:spacing w:val="-1"/>
        </w:rPr>
        <w:t> </w:t>
      </w:r>
      <w:r>
        <w:rPr/>
        <w:t>and</w:t>
      </w:r>
      <w:r>
        <w:rPr>
          <w:spacing w:val="-1"/>
        </w:rPr>
        <w:t> </w:t>
      </w:r>
      <w:r>
        <w:rPr>
          <w:spacing w:val="-2"/>
        </w:rPr>
        <w:t>Banking</w:t>
      </w:r>
    </w:p>
    <w:p>
      <w:pPr>
        <w:pStyle w:val="BodyText"/>
        <w:spacing w:line="20" w:lineRule="exact"/>
        <w:ind w:left="8" w:right="-44"/>
        <w:rPr>
          <w:sz w:val="2"/>
        </w:rPr>
      </w:pPr>
      <w:r>
        <w:rPr>
          <w:sz w:val="2"/>
        </w:rPr>
        <mc:AlternateContent>
          <mc:Choice Requires="wps">
            <w:drawing>
              <wp:inline distT="0" distB="0" distL="0" distR="0">
                <wp:extent cx="5739765" cy="6350"/>
                <wp:effectExtent l="0" t="0" r="0" b="0"/>
                <wp:docPr id="13" name="Group 13"/>
                <wp:cNvGraphicFramePr>
                  <a:graphicFrameLocks/>
                </wp:cNvGraphicFramePr>
                <a:graphic>
                  <a:graphicData uri="http://schemas.microsoft.com/office/word/2010/wordprocessingGroup">
                    <wpg:wgp>
                      <wpg:cNvPr id="13" name="Group 13"/>
                      <wpg:cNvGrpSpPr/>
                      <wpg:grpSpPr>
                        <a:xfrm>
                          <a:off x="0" y="0"/>
                          <a:ext cx="5739765" cy="6350"/>
                          <a:chExt cx="5739765" cy="6350"/>
                        </a:xfrm>
                      </wpg:grpSpPr>
                      <wps:wsp>
                        <wps:cNvPr id="14" name="Graphic 14"/>
                        <wps:cNvSpPr/>
                        <wps:spPr>
                          <a:xfrm>
                            <a:off x="0" y="0"/>
                            <a:ext cx="5739765" cy="6350"/>
                          </a:xfrm>
                          <a:custGeom>
                            <a:avLst/>
                            <a:gdLst/>
                            <a:ahLst/>
                            <a:cxnLst/>
                            <a:rect l="l" t="t" r="r" b="b"/>
                            <a:pathLst>
                              <a:path w="5739765" h="6350">
                                <a:moveTo>
                                  <a:pt x="5739384" y="0"/>
                                </a:moveTo>
                                <a:lnTo>
                                  <a:pt x="0" y="0"/>
                                </a:lnTo>
                                <a:lnTo>
                                  <a:pt x="0" y="6096"/>
                                </a:lnTo>
                                <a:lnTo>
                                  <a:pt x="5739384" y="6096"/>
                                </a:lnTo>
                                <a:lnTo>
                                  <a:pt x="57393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95pt;height:.5pt;mso-position-horizontal-relative:char;mso-position-vertical-relative:line" id="docshapegroup13" coordorigin="0,0" coordsize="9039,10">
                <v:rect style="position:absolute;left:0;top:0;width:9039;height:10" id="docshape14" filled="true" fillcolor="#000000" stroked="false">
                  <v:fill type="solid"/>
                </v:rect>
              </v:group>
            </w:pict>
          </mc:Fallback>
        </mc:AlternateContent>
      </w:r>
      <w:r>
        <w:rPr>
          <w:sz w:val="2"/>
        </w:rPr>
      </w:r>
    </w:p>
    <w:sectPr>
      <w:pgSz w:w="11910" w:h="16840"/>
      <w:pgMar w:top="13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28"/>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1"/>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ttgentry@a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2025-11-27T08:09:44Z</dcterms:created>
  <dcterms:modified xsi:type="dcterms:W3CDTF">2025-11-27T08:09:44Z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LastSaved">
    <vt:filetime>2025-11-27T00:00:00Z</vt:filetime>
  </property>
  <property fmtid="{D5CDD505-2E9C-101B-9397-08002B2CF9AE}" pid="4" name="Producer">
    <vt:lpwstr>macOS Version 15.4.1 (Build 24E263) Quartz PDFContext</vt:lpwstr>
  </property>
</Properties>
</file>