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74" w:lineRule="auto" w:before="42"/>
        <w:ind w:left="7759" w:right="1410"/>
      </w:pPr>
      <w:r>
        <w:rPr/>
        <w:t>Curriculum</w:t>
      </w:r>
      <w:r>
        <w:rPr>
          <w:spacing w:val="-16"/>
        </w:rPr>
        <w:t> </w:t>
      </w:r>
      <w:r>
        <w:rPr/>
        <w:t>Vitae Spring 2025</w:t>
      </w:r>
    </w:p>
    <w:p>
      <w:pPr>
        <w:pStyle w:val="Title"/>
      </w:pPr>
      <w:r>
        <w:rPr/>
        <w:t>JAROMIR</w:t>
      </w:r>
      <w:r>
        <w:rPr>
          <w:spacing w:val="-8"/>
        </w:rPr>
        <w:t> </w:t>
      </w:r>
      <w:r>
        <w:rPr/>
        <w:t>B.</w:t>
      </w:r>
      <w:r>
        <w:rPr>
          <w:spacing w:val="-9"/>
        </w:rPr>
        <w:t> </w:t>
      </w:r>
      <w:r>
        <w:rPr>
          <w:spacing w:val="-4"/>
        </w:rPr>
        <w:t>NOSAL</w:t>
      </w: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ind w:left="0"/>
        <w:rPr>
          <w:rFonts w:ascii="Arial"/>
          <w:b/>
          <w:sz w:val="20"/>
        </w:rPr>
      </w:pPr>
    </w:p>
    <w:p>
      <w:pPr>
        <w:pStyle w:val="BodyText"/>
        <w:spacing w:before="14"/>
        <w:ind w:left="0"/>
        <w:rPr>
          <w:rFonts w:ascii="Arial"/>
          <w:b/>
          <w:sz w:val="20"/>
        </w:rPr>
      </w:pPr>
    </w:p>
    <w:tbl>
      <w:tblPr>
        <w:tblW w:w="0" w:type="auto"/>
        <w:jc w:val="left"/>
        <w:tblInd w:w="3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19"/>
        <w:gridCol w:w="3960"/>
        <w:gridCol w:w="890"/>
      </w:tblGrid>
      <w:tr>
        <w:trPr>
          <w:trHeight w:val="382" w:hRule="atLeast"/>
        </w:trPr>
        <w:tc>
          <w:tcPr>
            <w:tcW w:w="4919" w:type="dxa"/>
          </w:tcPr>
          <w:p>
            <w:pPr>
              <w:pStyle w:val="TableParagraph"/>
              <w:spacing w:line="274" w:lineRule="exact" w:before="0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  <w:u w:val="single"/>
              </w:rPr>
              <w:t>Personal</w:t>
            </w:r>
            <w:r>
              <w:rPr>
                <w:rFonts w:ascii="Arial"/>
                <w:b/>
                <w:spacing w:val="-9"/>
                <w:sz w:val="28"/>
                <w:u w:val="single"/>
              </w:rPr>
              <w:t> </w:t>
            </w:r>
            <w:r>
              <w:rPr>
                <w:rFonts w:ascii="Arial"/>
                <w:b/>
                <w:spacing w:val="-4"/>
                <w:sz w:val="28"/>
                <w:u w:val="single"/>
              </w:rPr>
              <w:t>Data</w:t>
            </w:r>
          </w:p>
        </w:tc>
        <w:tc>
          <w:tcPr>
            <w:tcW w:w="39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890" w:type="dxa"/>
            <w:vMerge w:val="restart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806" w:hRule="atLeast"/>
        </w:trPr>
        <w:tc>
          <w:tcPr>
            <w:tcW w:w="4919" w:type="dxa"/>
          </w:tcPr>
          <w:p>
            <w:pPr>
              <w:pStyle w:val="TableParagraph"/>
              <w:spacing w:before="67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z w:val="22"/>
              </w:rPr>
              <w:t>Office</w:t>
            </w:r>
            <w:r>
              <w:rPr>
                <w:rFonts w:ascii="Arial"/>
                <w:i/>
                <w:spacing w:val="-6"/>
                <w:sz w:val="22"/>
              </w:rPr>
              <w:t> </w:t>
            </w:r>
            <w:r>
              <w:rPr>
                <w:rFonts w:ascii="Arial"/>
                <w:i/>
                <w:spacing w:val="-2"/>
                <w:sz w:val="22"/>
              </w:rPr>
              <w:t>Address</w:t>
            </w:r>
          </w:p>
          <w:p>
            <w:pPr>
              <w:pStyle w:val="TableParagraph"/>
              <w:spacing w:before="141"/>
              <w:rPr>
                <w:sz w:val="22"/>
              </w:rPr>
            </w:pPr>
            <w:r>
              <w:rPr>
                <w:sz w:val="22"/>
              </w:rPr>
              <w:t>Economics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Department,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Boston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College</w:t>
            </w:r>
          </w:p>
        </w:tc>
        <w:tc>
          <w:tcPr>
            <w:tcW w:w="3960" w:type="dxa"/>
          </w:tcPr>
          <w:p>
            <w:pPr>
              <w:pStyle w:val="TableParagraph"/>
              <w:spacing w:before="67"/>
              <w:ind w:left="711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z w:val="22"/>
              </w:rPr>
              <w:t>Contact</w:t>
            </w:r>
            <w:r>
              <w:rPr>
                <w:rFonts w:ascii="Arial"/>
                <w:i/>
                <w:spacing w:val="-7"/>
                <w:sz w:val="22"/>
              </w:rPr>
              <w:t> </w:t>
            </w:r>
            <w:r>
              <w:rPr>
                <w:rFonts w:ascii="Arial"/>
                <w:i/>
                <w:spacing w:val="-2"/>
                <w:sz w:val="22"/>
              </w:rPr>
              <w:t>Information</w:t>
            </w:r>
          </w:p>
          <w:p>
            <w:pPr>
              <w:pStyle w:val="TableParagraph"/>
              <w:spacing w:before="141"/>
              <w:ind w:left="711"/>
              <w:rPr>
                <w:sz w:val="22"/>
              </w:rPr>
            </w:pPr>
            <w:r>
              <w:rPr>
                <w:sz w:val="22"/>
              </w:rPr>
              <w:t>Office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Phone: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(617)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552-</w:t>
            </w:r>
            <w:r>
              <w:rPr>
                <w:spacing w:val="-4"/>
                <w:sz w:val="22"/>
              </w:rPr>
              <w:t>1954</w:t>
            </w:r>
          </w:p>
        </w:tc>
        <w:tc>
          <w:tcPr>
            <w:tcW w:w="8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8" w:hRule="atLeast"/>
        </w:trPr>
        <w:tc>
          <w:tcPr>
            <w:tcW w:w="49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140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Commonwealth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Avenue,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Maloney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Hall</w:t>
            </w:r>
          </w:p>
        </w:tc>
        <w:tc>
          <w:tcPr>
            <w:tcW w:w="3960" w:type="dxa"/>
          </w:tcPr>
          <w:p>
            <w:pPr>
              <w:pStyle w:val="TableParagraph"/>
              <w:ind w:left="711"/>
              <w:rPr>
                <w:sz w:val="22"/>
              </w:rPr>
            </w:pPr>
            <w:r>
              <w:rPr>
                <w:sz w:val="22"/>
              </w:rPr>
              <w:t>E-mail:</w:t>
            </w:r>
            <w:r>
              <w:rPr>
                <w:spacing w:val="-6"/>
                <w:sz w:val="22"/>
              </w:rPr>
              <w:t> </w:t>
            </w:r>
            <w:hyperlink r:id="rId5">
              <w:r>
                <w:rPr>
                  <w:spacing w:val="-2"/>
                  <w:sz w:val="22"/>
                </w:rPr>
                <w:t>nosalj@bc.edu</w:t>
              </w:r>
            </w:hyperlink>
          </w:p>
        </w:tc>
        <w:tc>
          <w:tcPr>
            <w:tcW w:w="8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5" w:hRule="atLeast"/>
        </w:trPr>
        <w:tc>
          <w:tcPr>
            <w:tcW w:w="491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Chestnut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Hill,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02467</w:t>
            </w:r>
          </w:p>
        </w:tc>
        <w:tc>
          <w:tcPr>
            <w:tcW w:w="39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8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7" w:hRule="atLeast"/>
        </w:trPr>
        <w:tc>
          <w:tcPr>
            <w:tcW w:w="4919" w:type="dxa"/>
          </w:tcPr>
          <w:p>
            <w:pPr>
              <w:pStyle w:val="TableParagraph"/>
              <w:spacing w:before="4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  <w:u w:val="single"/>
              </w:rPr>
              <w:t>Education</w:t>
            </w:r>
          </w:p>
        </w:tc>
        <w:tc>
          <w:tcPr>
            <w:tcW w:w="39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8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3" w:hRule="atLeast"/>
        </w:trPr>
        <w:tc>
          <w:tcPr>
            <w:tcW w:w="4919" w:type="dxa"/>
          </w:tcPr>
          <w:p>
            <w:pPr>
              <w:pStyle w:val="TableParagraph"/>
              <w:tabs>
                <w:tab w:pos="1849" w:val="left" w:leader="none"/>
              </w:tabs>
              <w:spacing w:before="67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pacing w:val="-2"/>
                <w:sz w:val="22"/>
              </w:rPr>
              <w:t>Degree</w:t>
            </w:r>
            <w:r>
              <w:rPr>
                <w:rFonts w:ascii="Arial"/>
                <w:i/>
                <w:sz w:val="22"/>
              </w:rPr>
              <w:tab/>
            </w:r>
            <w:r>
              <w:rPr>
                <w:rFonts w:ascii="Arial"/>
                <w:i/>
                <w:spacing w:val="-4"/>
                <w:sz w:val="22"/>
              </w:rPr>
              <w:t>Field</w:t>
            </w:r>
          </w:p>
        </w:tc>
        <w:tc>
          <w:tcPr>
            <w:tcW w:w="3960" w:type="dxa"/>
          </w:tcPr>
          <w:p>
            <w:pPr>
              <w:pStyle w:val="TableParagraph"/>
              <w:spacing w:before="67"/>
              <w:ind w:left="711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pacing w:val="-2"/>
                <w:sz w:val="22"/>
              </w:rPr>
              <w:t>Institution</w:t>
            </w:r>
          </w:p>
        </w:tc>
        <w:tc>
          <w:tcPr>
            <w:tcW w:w="890" w:type="dxa"/>
          </w:tcPr>
          <w:p>
            <w:pPr>
              <w:pStyle w:val="TableParagraph"/>
              <w:spacing w:before="67"/>
              <w:ind w:left="0" w:right="71"/>
              <w:jc w:val="right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pacing w:val="-4"/>
                <w:sz w:val="22"/>
              </w:rPr>
              <w:t>Year</w:t>
            </w:r>
          </w:p>
        </w:tc>
      </w:tr>
      <w:tr>
        <w:trPr>
          <w:trHeight w:val="309" w:hRule="atLeast"/>
        </w:trPr>
        <w:tc>
          <w:tcPr>
            <w:tcW w:w="4919" w:type="dxa"/>
          </w:tcPr>
          <w:p>
            <w:pPr>
              <w:pStyle w:val="TableParagraph"/>
              <w:tabs>
                <w:tab w:pos="1849" w:val="left" w:leader="none"/>
              </w:tabs>
              <w:spacing w:line="23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Ph.D.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Economics</w:t>
            </w:r>
          </w:p>
        </w:tc>
        <w:tc>
          <w:tcPr>
            <w:tcW w:w="3960" w:type="dxa"/>
          </w:tcPr>
          <w:p>
            <w:pPr>
              <w:pStyle w:val="TableParagraph"/>
              <w:spacing w:line="237" w:lineRule="exact"/>
              <w:ind w:left="711"/>
              <w:rPr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Minnesota</w:t>
            </w:r>
          </w:p>
        </w:tc>
        <w:tc>
          <w:tcPr>
            <w:tcW w:w="890" w:type="dxa"/>
          </w:tcPr>
          <w:p>
            <w:pPr>
              <w:pStyle w:val="TableParagraph"/>
              <w:spacing w:line="237" w:lineRule="exact"/>
              <w:ind w:left="0" w:right="47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</w:tr>
    </w:tbl>
    <w:p>
      <w:pPr>
        <w:pStyle w:val="Heading1"/>
        <w:spacing w:before="145"/>
        <w:rPr>
          <w:u w:val="none"/>
        </w:rPr>
      </w:pPr>
      <w:r>
        <w:rPr>
          <w:spacing w:val="-2"/>
          <w:u w:val="single"/>
        </w:rPr>
        <w:t>Appointments</w:t>
      </w:r>
    </w:p>
    <w:p>
      <w:pPr>
        <w:pStyle w:val="BodyText"/>
        <w:tabs>
          <w:tab w:pos="2178" w:val="left" w:leader="none"/>
        </w:tabs>
        <w:spacing w:line="376" w:lineRule="auto" w:before="176"/>
        <w:ind w:right="4643"/>
      </w:pPr>
      <w:r>
        <w:rPr>
          <w:spacing w:val="-2"/>
        </w:rPr>
        <w:t>2023-present</w:t>
      </w:r>
      <w:r>
        <w:rPr/>
        <w:tab/>
        <w:t>Associate Professor, Boston College </w:t>
      </w:r>
      <w:r>
        <w:rPr>
          <w:spacing w:val="-2"/>
        </w:rPr>
        <w:t>2015-2023</w:t>
      </w:r>
      <w:r>
        <w:rPr/>
        <w:tab/>
        <w:t>Assistant Professor, Boston College Spring 2015</w:t>
        <w:tab/>
        <w:t>Visiting Professor, Ohio State University </w:t>
      </w:r>
      <w:r>
        <w:rPr>
          <w:spacing w:val="-2"/>
        </w:rPr>
        <w:t>2008-2015</w:t>
      </w:r>
      <w:r>
        <w:rPr/>
        <w:tab/>
        <w:t>Assistant</w:t>
      </w:r>
      <w:r>
        <w:rPr>
          <w:spacing w:val="-12"/>
        </w:rPr>
        <w:t> </w:t>
      </w:r>
      <w:r>
        <w:rPr/>
        <w:t>Professor,</w:t>
      </w:r>
      <w:r>
        <w:rPr>
          <w:spacing w:val="-12"/>
        </w:rPr>
        <w:t> </w:t>
      </w:r>
      <w:r>
        <w:rPr/>
        <w:t>Columbia</w:t>
      </w:r>
      <w:r>
        <w:rPr>
          <w:spacing w:val="-12"/>
        </w:rPr>
        <w:t> </w:t>
      </w:r>
      <w:r>
        <w:rPr/>
        <w:t>University</w:t>
      </w:r>
    </w:p>
    <w:p>
      <w:pPr>
        <w:pStyle w:val="BodyText"/>
        <w:tabs>
          <w:tab w:pos="2178" w:val="left" w:leader="none"/>
        </w:tabs>
        <w:spacing w:line="248" w:lineRule="exact"/>
      </w:pPr>
      <w:r>
        <w:rPr>
          <w:spacing w:val="-2"/>
        </w:rPr>
        <w:t>2011-</w:t>
      </w:r>
      <w:r>
        <w:rPr>
          <w:spacing w:val="-4"/>
        </w:rPr>
        <w:t>2012</w:t>
      </w:r>
      <w:r>
        <w:rPr/>
        <w:tab/>
        <w:t>Kennen</w:t>
      </w:r>
      <w:r>
        <w:rPr>
          <w:spacing w:val="-12"/>
        </w:rPr>
        <w:t> </w:t>
      </w:r>
      <w:r>
        <w:rPr/>
        <w:t>Fellow,</w:t>
      </w:r>
      <w:r>
        <w:rPr>
          <w:spacing w:val="-9"/>
        </w:rPr>
        <w:t> </w:t>
      </w:r>
      <w:r>
        <w:rPr/>
        <w:t>Princeton</w:t>
      </w:r>
      <w:r>
        <w:rPr>
          <w:spacing w:val="-9"/>
        </w:rPr>
        <w:t> </w:t>
      </w:r>
      <w:r>
        <w:rPr/>
        <w:t>University,</w:t>
      </w:r>
      <w:r>
        <w:rPr>
          <w:spacing w:val="-10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Economics</w:t>
      </w:r>
      <w:r>
        <w:rPr>
          <w:spacing w:val="-9"/>
        </w:rPr>
        <w:t> </w:t>
      </w:r>
      <w:r>
        <w:rPr>
          <w:spacing w:val="-2"/>
        </w:rPr>
        <w:t>Section</w:t>
      </w:r>
    </w:p>
    <w:p>
      <w:pPr>
        <w:pStyle w:val="Heading1"/>
        <w:spacing w:before="152"/>
        <w:rPr>
          <w:u w:val="none"/>
        </w:rPr>
      </w:pPr>
      <w:r>
        <w:rPr>
          <w:spacing w:val="-2"/>
          <w:u w:val="single"/>
        </w:rPr>
        <w:t>Papers</w:t>
      </w:r>
    </w:p>
    <w:p>
      <w:pPr>
        <w:spacing w:line="376" w:lineRule="auto" w:before="176"/>
        <w:ind w:left="379" w:right="0" w:firstLine="0"/>
        <w:jc w:val="left"/>
        <w:rPr>
          <w:sz w:val="22"/>
        </w:rPr>
      </w:pPr>
      <w:r>
        <w:rPr>
          <w:sz w:val="22"/>
        </w:rPr>
        <w:t>‘Understanding</w:t>
      </w:r>
      <w:r>
        <w:rPr>
          <w:spacing w:val="40"/>
          <w:sz w:val="22"/>
        </w:rPr>
        <w:t> </w:t>
      </w:r>
      <w:r>
        <w:rPr>
          <w:sz w:val="22"/>
        </w:rPr>
        <w:t>International</w:t>
      </w:r>
      <w:r>
        <w:rPr>
          <w:spacing w:val="40"/>
          <w:sz w:val="22"/>
        </w:rPr>
        <w:t> </w:t>
      </w:r>
      <w:r>
        <w:rPr>
          <w:sz w:val="22"/>
        </w:rPr>
        <w:t>Prices:</w:t>
      </w:r>
      <w:r>
        <w:rPr>
          <w:spacing w:val="40"/>
          <w:sz w:val="22"/>
        </w:rPr>
        <w:t> </w:t>
      </w:r>
      <w:r>
        <w:rPr>
          <w:sz w:val="22"/>
        </w:rPr>
        <w:t>Customers</w:t>
      </w:r>
      <w:r>
        <w:rPr>
          <w:spacing w:val="40"/>
          <w:sz w:val="22"/>
        </w:rPr>
        <w:t> </w:t>
      </w:r>
      <w:r>
        <w:rPr>
          <w:sz w:val="22"/>
        </w:rPr>
        <w:t>as</w:t>
      </w:r>
      <w:r>
        <w:rPr>
          <w:spacing w:val="40"/>
          <w:sz w:val="22"/>
        </w:rPr>
        <w:t> </w:t>
      </w:r>
      <w:r>
        <w:rPr>
          <w:sz w:val="22"/>
        </w:rPr>
        <w:t>Capital’,</w:t>
      </w:r>
      <w:r>
        <w:rPr>
          <w:spacing w:val="40"/>
          <w:sz w:val="22"/>
        </w:rPr>
        <w:t> </w:t>
      </w:r>
      <w:r>
        <w:rPr>
          <w:sz w:val="22"/>
        </w:rPr>
        <w:t>joint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Lukasz</w:t>
      </w:r>
      <w:r>
        <w:rPr>
          <w:spacing w:val="40"/>
          <w:sz w:val="22"/>
        </w:rPr>
        <w:t> </w:t>
      </w:r>
      <w:r>
        <w:rPr>
          <w:sz w:val="22"/>
        </w:rPr>
        <w:t>A.</w:t>
      </w:r>
      <w:r>
        <w:rPr>
          <w:spacing w:val="40"/>
          <w:sz w:val="22"/>
        </w:rPr>
        <w:t> </w:t>
      </w:r>
      <w:r>
        <w:rPr>
          <w:sz w:val="22"/>
        </w:rPr>
        <w:t>Drozd,</w:t>
      </w:r>
      <w:r>
        <w:rPr>
          <w:spacing w:val="40"/>
          <w:sz w:val="22"/>
        </w:rPr>
        <w:t> </w:t>
      </w:r>
      <w:r>
        <w:rPr>
          <w:rFonts w:ascii="Arial" w:hAnsi="Arial"/>
          <w:b/>
          <w:i/>
          <w:sz w:val="22"/>
        </w:rPr>
        <w:t>American</w:t>
      </w:r>
      <w:r>
        <w:rPr>
          <w:rFonts w:ascii="Arial" w:hAnsi="Arial"/>
          <w:b/>
          <w:i/>
          <w:spacing w:val="80"/>
          <w:sz w:val="22"/>
        </w:rPr>
        <w:t> </w:t>
      </w:r>
      <w:r>
        <w:rPr>
          <w:rFonts w:ascii="Arial" w:hAnsi="Arial"/>
          <w:b/>
          <w:i/>
          <w:sz w:val="22"/>
        </w:rPr>
        <w:t>Economic Review</w:t>
      </w:r>
      <w:r>
        <w:rPr>
          <w:rFonts w:ascii="Arial" w:hAnsi="Arial"/>
          <w:i/>
          <w:sz w:val="22"/>
        </w:rPr>
        <w:t>, </w:t>
      </w:r>
      <w:r>
        <w:rPr>
          <w:sz w:val="22"/>
        </w:rPr>
        <w:t>February 2012</w:t>
      </w:r>
    </w:p>
    <w:p>
      <w:pPr>
        <w:spacing w:line="376" w:lineRule="auto" w:before="0"/>
        <w:ind w:left="379" w:right="0" w:firstLine="0"/>
        <w:jc w:val="left"/>
        <w:rPr>
          <w:rFonts w:ascii="Arial" w:hAnsi="Arial"/>
          <w:i/>
          <w:sz w:val="22"/>
        </w:rPr>
      </w:pPr>
      <w:r>
        <w:rPr>
          <w:sz w:val="22"/>
        </w:rPr>
        <w:t>‘Uncertainty</w:t>
      </w:r>
      <w:r>
        <w:rPr>
          <w:spacing w:val="40"/>
          <w:sz w:val="22"/>
        </w:rPr>
        <w:t> </w:t>
      </w:r>
      <w:r>
        <w:rPr>
          <w:sz w:val="22"/>
        </w:rPr>
        <w:t>as</w:t>
      </w:r>
      <w:r>
        <w:rPr>
          <w:spacing w:val="40"/>
          <w:sz w:val="22"/>
        </w:rPr>
        <w:t> </w:t>
      </w:r>
      <w:r>
        <w:rPr>
          <w:sz w:val="22"/>
        </w:rPr>
        <w:t>Commitment’,</w:t>
      </w:r>
      <w:r>
        <w:rPr>
          <w:spacing w:val="40"/>
          <w:sz w:val="22"/>
        </w:rPr>
        <w:t> </w:t>
      </w:r>
      <w:r>
        <w:rPr>
          <w:sz w:val="22"/>
        </w:rPr>
        <w:t>joint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Guillermo</w:t>
      </w:r>
      <w:r>
        <w:rPr>
          <w:spacing w:val="40"/>
          <w:sz w:val="22"/>
        </w:rPr>
        <w:t> </w:t>
      </w:r>
      <w:r>
        <w:rPr>
          <w:sz w:val="22"/>
        </w:rPr>
        <w:t>Ordoñez,</w:t>
      </w:r>
      <w:r>
        <w:rPr>
          <w:spacing w:val="40"/>
          <w:sz w:val="22"/>
        </w:rPr>
        <w:t> </w:t>
      </w:r>
      <w:r>
        <w:rPr>
          <w:rFonts w:ascii="Arial" w:hAnsi="Arial"/>
          <w:b/>
          <w:i/>
          <w:sz w:val="22"/>
        </w:rPr>
        <w:t>Journal</w:t>
      </w:r>
      <w:r>
        <w:rPr>
          <w:rFonts w:ascii="Arial" w:hAnsi="Arial"/>
          <w:b/>
          <w:i/>
          <w:spacing w:val="40"/>
          <w:sz w:val="22"/>
        </w:rPr>
        <w:t> </w:t>
      </w:r>
      <w:r>
        <w:rPr>
          <w:rFonts w:ascii="Arial" w:hAnsi="Arial"/>
          <w:b/>
          <w:i/>
          <w:sz w:val="22"/>
        </w:rPr>
        <w:t>of</w:t>
      </w:r>
      <w:r>
        <w:rPr>
          <w:rFonts w:ascii="Arial" w:hAnsi="Arial"/>
          <w:b/>
          <w:i/>
          <w:spacing w:val="40"/>
          <w:sz w:val="22"/>
        </w:rPr>
        <w:t> </w:t>
      </w:r>
      <w:r>
        <w:rPr>
          <w:rFonts w:ascii="Arial" w:hAnsi="Arial"/>
          <w:b/>
          <w:i/>
          <w:sz w:val="22"/>
        </w:rPr>
        <w:t>Monetary</w:t>
      </w:r>
      <w:r>
        <w:rPr>
          <w:rFonts w:ascii="Arial" w:hAnsi="Arial"/>
          <w:b/>
          <w:i/>
          <w:spacing w:val="40"/>
          <w:sz w:val="22"/>
        </w:rPr>
        <w:t> </w:t>
      </w:r>
      <w:r>
        <w:rPr>
          <w:rFonts w:ascii="Arial" w:hAnsi="Arial"/>
          <w:b/>
          <w:i/>
          <w:sz w:val="22"/>
        </w:rPr>
        <w:t>Economics</w:t>
      </w:r>
      <w:r>
        <w:rPr>
          <w:rFonts w:ascii="Arial" w:hAnsi="Arial"/>
          <w:i/>
          <w:sz w:val="22"/>
        </w:rPr>
        <w:t>,</w:t>
      </w:r>
      <w:r>
        <w:rPr>
          <w:rFonts w:ascii="Arial" w:hAnsi="Arial"/>
          <w:i/>
          <w:spacing w:val="40"/>
          <w:sz w:val="22"/>
        </w:rPr>
        <w:t> </w:t>
      </w:r>
      <w:r>
        <w:rPr>
          <w:rFonts w:ascii="Arial" w:hAnsi="Arial"/>
          <w:i/>
          <w:sz w:val="22"/>
        </w:rPr>
        <w:t>June </w:t>
      </w:r>
      <w:r>
        <w:rPr>
          <w:rFonts w:ascii="Arial" w:hAnsi="Arial"/>
          <w:i/>
          <w:spacing w:val="-2"/>
          <w:sz w:val="22"/>
        </w:rPr>
        <w:t>2016.</w:t>
      </w:r>
    </w:p>
    <w:p>
      <w:pPr>
        <w:spacing w:line="376" w:lineRule="auto" w:before="0"/>
        <w:ind w:left="379" w:right="0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‘</w:t>
      </w:r>
      <w:r>
        <w:rPr>
          <w:sz w:val="22"/>
        </w:rPr>
        <w:t>Personal Bankruptcy in the US: Effects of the 2005 Reform’, joint with Stefania Albanesi, </w:t>
      </w:r>
      <w:r>
        <w:rPr>
          <w:rFonts w:ascii="Arial" w:hAnsi="Arial"/>
          <w:b/>
          <w:i/>
          <w:sz w:val="22"/>
        </w:rPr>
        <w:t>CESifo DICE Report</w:t>
      </w:r>
      <w:r>
        <w:rPr>
          <w:rFonts w:ascii="Arial" w:hAnsi="Arial"/>
          <w:i/>
          <w:sz w:val="22"/>
        </w:rPr>
        <w:t>, 4/2015.</w:t>
      </w:r>
    </w:p>
    <w:p>
      <w:pPr>
        <w:spacing w:line="376" w:lineRule="auto" w:before="0"/>
        <w:ind w:left="379" w:right="0" w:firstLine="0"/>
        <w:jc w:val="left"/>
        <w:rPr>
          <w:rFonts w:ascii="Arial" w:hAnsi="Arial"/>
          <w:i/>
          <w:sz w:val="22"/>
        </w:rPr>
      </w:pPr>
      <w:r>
        <w:rPr>
          <w:sz w:val="22"/>
        </w:rPr>
        <w:t>‘Investor</w:t>
      </w:r>
      <w:r>
        <w:rPr>
          <w:spacing w:val="40"/>
          <w:sz w:val="22"/>
        </w:rPr>
        <w:t> </w:t>
      </w:r>
      <w:r>
        <w:rPr>
          <w:sz w:val="22"/>
        </w:rPr>
        <w:t>Sophistication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Capital</w:t>
      </w:r>
      <w:r>
        <w:rPr>
          <w:spacing w:val="40"/>
          <w:sz w:val="22"/>
        </w:rPr>
        <w:t> </w:t>
      </w:r>
      <w:r>
        <w:rPr>
          <w:sz w:val="22"/>
        </w:rPr>
        <w:t>Income</w:t>
      </w:r>
      <w:r>
        <w:rPr>
          <w:spacing w:val="40"/>
          <w:sz w:val="22"/>
        </w:rPr>
        <w:t> </w:t>
      </w:r>
      <w:r>
        <w:rPr>
          <w:sz w:val="22"/>
        </w:rPr>
        <w:t>Inequality’,</w:t>
      </w:r>
      <w:r>
        <w:rPr>
          <w:spacing w:val="40"/>
          <w:sz w:val="22"/>
        </w:rPr>
        <w:t> </w:t>
      </w:r>
      <w:r>
        <w:rPr>
          <w:sz w:val="22"/>
        </w:rPr>
        <w:t>joint</w:t>
      </w:r>
      <w:r>
        <w:rPr>
          <w:spacing w:val="40"/>
          <w:sz w:val="22"/>
        </w:rPr>
        <w:t> </w:t>
      </w:r>
      <w:r>
        <w:rPr>
          <w:sz w:val="22"/>
        </w:rPr>
        <w:t>with</w:t>
      </w:r>
      <w:r>
        <w:rPr>
          <w:spacing w:val="40"/>
          <w:sz w:val="22"/>
        </w:rPr>
        <w:t> </w:t>
      </w:r>
      <w:r>
        <w:rPr>
          <w:sz w:val="22"/>
        </w:rPr>
        <w:t>Marcin</w:t>
      </w:r>
      <w:r>
        <w:rPr>
          <w:spacing w:val="40"/>
          <w:sz w:val="22"/>
        </w:rPr>
        <w:t> </w:t>
      </w:r>
      <w:r>
        <w:rPr>
          <w:sz w:val="22"/>
        </w:rPr>
        <w:t>Kacperczyk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Luminita</w:t>
      </w:r>
      <w:r>
        <w:rPr>
          <w:spacing w:val="80"/>
          <w:sz w:val="22"/>
        </w:rPr>
        <w:t> </w:t>
      </w:r>
      <w:r>
        <w:rPr>
          <w:sz w:val="22"/>
        </w:rPr>
        <w:t>Stevens</w:t>
      </w:r>
      <w:r>
        <w:rPr>
          <w:rFonts w:ascii="Arial" w:hAnsi="Arial"/>
          <w:i/>
          <w:sz w:val="22"/>
        </w:rPr>
        <w:t>, </w:t>
      </w:r>
      <w:r>
        <w:rPr>
          <w:rFonts w:ascii="Arial" w:hAnsi="Arial"/>
          <w:b/>
          <w:i/>
          <w:sz w:val="22"/>
        </w:rPr>
        <w:t>Journal of Monetary Economics</w:t>
      </w:r>
      <w:r>
        <w:rPr>
          <w:rFonts w:ascii="Arial" w:hAnsi="Arial"/>
          <w:i/>
          <w:sz w:val="22"/>
        </w:rPr>
        <w:t>, 2019.</w:t>
      </w:r>
    </w:p>
    <w:p>
      <w:pPr>
        <w:spacing w:line="376" w:lineRule="auto" w:before="0"/>
        <w:ind w:left="379" w:right="0" w:firstLine="0"/>
        <w:jc w:val="left"/>
        <w:rPr>
          <w:rFonts w:ascii="Arial" w:hAnsi="Arial"/>
          <w:i/>
          <w:sz w:val="22"/>
        </w:rPr>
      </w:pPr>
      <w:r>
        <w:rPr>
          <w:sz w:val="22"/>
        </w:rPr>
        <w:t>‘The</w:t>
      </w:r>
      <w:r>
        <w:rPr>
          <w:spacing w:val="80"/>
          <w:w w:val="150"/>
          <w:sz w:val="22"/>
        </w:rPr>
        <w:t> </w:t>
      </w:r>
      <w:r>
        <w:rPr>
          <w:sz w:val="22"/>
        </w:rPr>
        <w:t>Trade-Comovement</w:t>
      </w:r>
      <w:r>
        <w:rPr>
          <w:spacing w:val="80"/>
          <w:w w:val="150"/>
          <w:sz w:val="22"/>
        </w:rPr>
        <w:t> </w:t>
      </w:r>
      <w:r>
        <w:rPr>
          <w:sz w:val="22"/>
        </w:rPr>
        <w:t>Puzzle’,</w:t>
      </w:r>
      <w:r>
        <w:rPr>
          <w:spacing w:val="80"/>
          <w:w w:val="150"/>
          <w:sz w:val="22"/>
        </w:rPr>
        <w:t> </w:t>
      </w:r>
      <w:r>
        <w:rPr>
          <w:sz w:val="22"/>
        </w:rPr>
        <w:t>joint</w:t>
      </w:r>
      <w:r>
        <w:rPr>
          <w:spacing w:val="80"/>
          <w:w w:val="150"/>
          <w:sz w:val="22"/>
        </w:rPr>
        <w:t> </w:t>
      </w:r>
      <w:r>
        <w:rPr>
          <w:sz w:val="22"/>
        </w:rPr>
        <w:t>with</w:t>
      </w:r>
      <w:r>
        <w:rPr>
          <w:spacing w:val="80"/>
          <w:w w:val="150"/>
          <w:sz w:val="22"/>
        </w:rPr>
        <w:t> </w:t>
      </w:r>
      <w:r>
        <w:rPr>
          <w:sz w:val="22"/>
        </w:rPr>
        <w:t>Lukasz</w:t>
      </w:r>
      <w:r>
        <w:rPr>
          <w:spacing w:val="80"/>
          <w:w w:val="150"/>
          <w:sz w:val="22"/>
        </w:rPr>
        <w:t> </w:t>
      </w:r>
      <w:r>
        <w:rPr>
          <w:sz w:val="22"/>
        </w:rPr>
        <w:t>A.</w:t>
      </w:r>
      <w:r>
        <w:rPr>
          <w:spacing w:val="80"/>
          <w:w w:val="150"/>
          <w:sz w:val="22"/>
        </w:rPr>
        <w:t> </w:t>
      </w:r>
      <w:r>
        <w:rPr>
          <w:sz w:val="22"/>
        </w:rPr>
        <w:t>Drozd,</w:t>
      </w:r>
      <w:r>
        <w:rPr>
          <w:spacing w:val="80"/>
          <w:w w:val="150"/>
          <w:sz w:val="22"/>
        </w:rPr>
        <w:t> </w:t>
      </w:r>
      <w:r>
        <w:rPr>
          <w:rFonts w:ascii="Arial" w:hAnsi="Arial"/>
          <w:b/>
          <w:i/>
          <w:sz w:val="22"/>
        </w:rPr>
        <w:t>American</w:t>
      </w:r>
      <w:r>
        <w:rPr>
          <w:rFonts w:ascii="Arial" w:hAnsi="Arial"/>
          <w:b/>
          <w:i/>
          <w:spacing w:val="80"/>
          <w:w w:val="150"/>
          <w:sz w:val="22"/>
        </w:rPr>
        <w:t> </w:t>
      </w:r>
      <w:r>
        <w:rPr>
          <w:rFonts w:ascii="Arial" w:hAnsi="Arial"/>
          <w:b/>
          <w:i/>
          <w:sz w:val="22"/>
        </w:rPr>
        <w:t>Economic</w:t>
      </w:r>
      <w:r>
        <w:rPr>
          <w:rFonts w:ascii="Arial" w:hAnsi="Arial"/>
          <w:b/>
          <w:i/>
          <w:spacing w:val="80"/>
          <w:w w:val="150"/>
          <w:sz w:val="22"/>
        </w:rPr>
        <w:t> </w:t>
      </w:r>
      <w:r>
        <w:rPr>
          <w:rFonts w:ascii="Arial" w:hAnsi="Arial"/>
          <w:b/>
          <w:i/>
          <w:sz w:val="22"/>
        </w:rPr>
        <w:t>Journal: Macroeconomics</w:t>
      </w:r>
      <w:r>
        <w:rPr>
          <w:rFonts w:ascii="Arial" w:hAnsi="Arial"/>
          <w:i/>
          <w:sz w:val="22"/>
        </w:rPr>
        <w:t>, 2021.</w:t>
      </w:r>
    </w:p>
    <w:p>
      <w:pPr>
        <w:pStyle w:val="BodyText"/>
        <w:spacing w:line="376" w:lineRule="auto"/>
        <w:rPr>
          <w:rFonts w:ascii="Arial" w:hAnsi="Arial"/>
          <w:i/>
        </w:rPr>
      </w:pPr>
      <w:r>
        <w:rPr/>
        <w:t>‘The Nontradable Goods’ Real Exchange Rate Puzzle’, joint with Lukasz A. Drozd, </w:t>
      </w:r>
      <w:r>
        <w:rPr>
          <w:rFonts w:ascii="Arial" w:hAnsi="Arial"/>
          <w:b/>
          <w:i/>
        </w:rPr>
        <w:t>NBER ISOM </w:t>
      </w:r>
      <w:r>
        <w:rPr>
          <w:rFonts w:ascii="Arial" w:hAnsi="Arial"/>
          <w:i/>
        </w:rPr>
        <w:t>2009</w:t>
      </w:r>
      <w:r>
        <w:rPr/>
        <w:t>. ‘Credit</w:t>
      </w:r>
      <w:r>
        <w:rPr>
          <w:spacing w:val="-3"/>
        </w:rPr>
        <w:t> </w:t>
      </w:r>
      <w:r>
        <w:rPr/>
        <w:t>Growth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Crisis: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Narrative’,</w:t>
      </w:r>
      <w:r>
        <w:rPr>
          <w:spacing w:val="-3"/>
        </w:rPr>
        <w:t> </w:t>
      </w:r>
      <w:r>
        <w:rPr/>
        <w:t>2022,</w:t>
      </w:r>
      <w:r>
        <w:rPr>
          <w:spacing w:val="-3"/>
        </w:rPr>
        <w:t> </w:t>
      </w:r>
      <w:r>
        <w:rPr/>
        <w:t>joint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Stefania</w:t>
      </w:r>
      <w:r>
        <w:rPr>
          <w:spacing w:val="-3"/>
        </w:rPr>
        <w:t> </w:t>
      </w:r>
      <w:r>
        <w:rPr/>
        <w:t>Albanesi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Giacomo DeGiorgi</w:t>
      </w:r>
      <w:r>
        <w:rPr>
          <w:rFonts w:ascii="Arial" w:hAnsi="Arial"/>
          <w:i/>
        </w:rPr>
        <w:t>, </w:t>
      </w:r>
      <w:r>
        <w:rPr>
          <w:rFonts w:ascii="Arial" w:hAnsi="Arial"/>
          <w:b/>
          <w:i/>
        </w:rPr>
        <w:t>Journal of Monetary Economics</w:t>
      </w:r>
      <w:r>
        <w:rPr>
          <w:rFonts w:ascii="Arial" w:hAnsi="Arial"/>
          <w:i/>
        </w:rPr>
        <w:t>.</w:t>
      </w:r>
    </w:p>
    <w:p>
      <w:pPr>
        <w:pStyle w:val="BodyText"/>
        <w:spacing w:after="0" w:line="376" w:lineRule="auto"/>
        <w:rPr>
          <w:rFonts w:ascii="Arial" w:hAnsi="Arial"/>
          <w:i/>
        </w:rPr>
        <w:sectPr>
          <w:type w:val="continuous"/>
          <w:pgSz w:w="12240" w:h="15840"/>
          <w:pgMar w:top="1100" w:bottom="280" w:left="1080" w:right="360"/>
        </w:sectPr>
      </w:pPr>
    </w:p>
    <w:p>
      <w:pPr>
        <w:pStyle w:val="BodyText"/>
        <w:spacing w:before="44"/>
      </w:pPr>
      <w:r>
        <w:rPr/>
        <w:t>‘Market</w:t>
      </w:r>
      <w:r>
        <w:rPr>
          <w:spacing w:val="66"/>
          <w:w w:val="150"/>
        </w:rPr>
        <w:t> </w:t>
      </w:r>
      <w:r>
        <w:rPr/>
        <w:t>Power</w:t>
      </w:r>
      <w:r>
        <w:rPr>
          <w:spacing w:val="67"/>
          <w:w w:val="150"/>
        </w:rPr>
        <w:t> </w:t>
      </w:r>
      <w:r>
        <w:rPr/>
        <w:t>and</w:t>
      </w:r>
      <w:r>
        <w:rPr>
          <w:spacing w:val="67"/>
          <w:w w:val="150"/>
        </w:rPr>
        <w:t> </w:t>
      </w:r>
      <w:r>
        <w:rPr/>
        <w:t>Price</w:t>
      </w:r>
      <w:r>
        <w:rPr>
          <w:spacing w:val="67"/>
          <w:w w:val="150"/>
        </w:rPr>
        <w:t> </w:t>
      </w:r>
      <w:r>
        <w:rPr/>
        <w:t>Informativeness’,</w:t>
      </w:r>
      <w:r>
        <w:rPr>
          <w:spacing w:val="67"/>
          <w:w w:val="150"/>
        </w:rPr>
        <w:t> </w:t>
      </w:r>
      <w:r>
        <w:rPr/>
        <w:t>2024,</w:t>
      </w:r>
      <w:r>
        <w:rPr>
          <w:spacing w:val="67"/>
          <w:w w:val="150"/>
        </w:rPr>
        <w:t> </w:t>
      </w:r>
      <w:r>
        <w:rPr/>
        <w:t>joint</w:t>
      </w:r>
      <w:r>
        <w:rPr>
          <w:spacing w:val="67"/>
          <w:w w:val="150"/>
        </w:rPr>
        <w:t> </w:t>
      </w:r>
      <w:r>
        <w:rPr/>
        <w:t>with</w:t>
      </w:r>
      <w:r>
        <w:rPr>
          <w:spacing w:val="67"/>
          <w:w w:val="150"/>
        </w:rPr>
        <w:t> </w:t>
      </w:r>
      <w:r>
        <w:rPr/>
        <w:t>Marcin</w:t>
      </w:r>
      <w:r>
        <w:rPr>
          <w:spacing w:val="67"/>
          <w:w w:val="150"/>
        </w:rPr>
        <w:t> </w:t>
      </w:r>
      <w:r>
        <w:rPr/>
        <w:t>Kacperczyk</w:t>
      </w:r>
      <w:r>
        <w:rPr>
          <w:spacing w:val="67"/>
          <w:w w:val="150"/>
        </w:rPr>
        <w:t> </w:t>
      </w:r>
      <w:r>
        <w:rPr/>
        <w:t>and</w:t>
      </w:r>
      <w:r>
        <w:rPr>
          <w:spacing w:val="67"/>
          <w:w w:val="150"/>
        </w:rPr>
        <w:t> </w:t>
      </w:r>
      <w:r>
        <w:rPr/>
        <w:t>Savitar</w:t>
      </w:r>
      <w:r>
        <w:rPr>
          <w:spacing w:val="67"/>
          <w:w w:val="150"/>
        </w:rPr>
        <w:t> </w:t>
      </w:r>
      <w:r>
        <w:rPr>
          <w:spacing w:val="-5"/>
        </w:rPr>
        <w:t>V.</w:t>
      </w:r>
    </w:p>
    <w:p>
      <w:pPr>
        <w:spacing w:before="145"/>
        <w:ind w:left="379" w:right="0" w:firstLine="0"/>
        <w:jc w:val="left"/>
        <w:rPr>
          <w:rFonts w:ascii="Arial"/>
          <w:b/>
          <w:i/>
          <w:sz w:val="22"/>
        </w:rPr>
      </w:pPr>
      <w:r>
        <w:rPr>
          <w:sz w:val="22"/>
        </w:rPr>
        <w:t>Sundaresan</w:t>
      </w:r>
      <w:r>
        <w:rPr>
          <w:rFonts w:ascii="Arial"/>
          <w:i/>
          <w:sz w:val="22"/>
        </w:rPr>
        <w:t>.</w:t>
      </w:r>
      <w:r>
        <w:rPr>
          <w:rFonts w:ascii="Arial"/>
          <w:i/>
          <w:spacing w:val="50"/>
          <w:sz w:val="22"/>
        </w:rPr>
        <w:t> </w:t>
      </w:r>
      <w:r>
        <w:rPr>
          <w:rFonts w:ascii="Arial"/>
          <w:b/>
          <w:i/>
          <w:sz w:val="22"/>
        </w:rPr>
        <w:t>Review</w:t>
      </w:r>
      <w:r>
        <w:rPr>
          <w:rFonts w:ascii="Arial"/>
          <w:b/>
          <w:i/>
          <w:spacing w:val="-6"/>
          <w:sz w:val="22"/>
        </w:rPr>
        <w:t> </w:t>
      </w:r>
      <w:r>
        <w:rPr>
          <w:rFonts w:ascii="Arial"/>
          <w:b/>
          <w:i/>
          <w:sz w:val="22"/>
        </w:rPr>
        <w:t>of</w:t>
      </w:r>
      <w:r>
        <w:rPr>
          <w:rFonts w:ascii="Arial"/>
          <w:b/>
          <w:i/>
          <w:spacing w:val="-6"/>
          <w:sz w:val="22"/>
        </w:rPr>
        <w:t> </w:t>
      </w:r>
      <w:r>
        <w:rPr>
          <w:rFonts w:ascii="Arial"/>
          <w:b/>
          <w:i/>
          <w:sz w:val="22"/>
        </w:rPr>
        <w:t>Economic</w:t>
      </w:r>
      <w:r>
        <w:rPr>
          <w:rFonts w:ascii="Arial"/>
          <w:b/>
          <w:i/>
          <w:spacing w:val="-5"/>
          <w:sz w:val="22"/>
        </w:rPr>
        <w:t> </w:t>
      </w:r>
      <w:r>
        <w:rPr>
          <w:rFonts w:ascii="Arial"/>
          <w:b/>
          <w:i/>
          <w:spacing w:val="-2"/>
          <w:sz w:val="22"/>
        </w:rPr>
        <w:t>Studies</w:t>
      </w:r>
    </w:p>
    <w:p>
      <w:pPr>
        <w:pStyle w:val="BodyText"/>
        <w:spacing w:before="141"/>
        <w:rPr>
          <w:rFonts w:ascii="Arial" w:hAnsi="Arial"/>
          <w:b/>
          <w:i/>
        </w:rPr>
      </w:pPr>
      <w:r>
        <w:rPr/>
        <w:t>‘Pricing</w:t>
      </w:r>
      <w:r>
        <w:rPr>
          <w:spacing w:val="14"/>
        </w:rPr>
        <w:t> </w:t>
      </w:r>
      <w:r>
        <w:rPr/>
        <w:t>to</w:t>
      </w:r>
      <w:r>
        <w:rPr>
          <w:spacing w:val="17"/>
        </w:rPr>
        <w:t> </w:t>
      </w:r>
      <w:r>
        <w:rPr/>
        <w:t>Market</w:t>
      </w:r>
      <w:r>
        <w:rPr>
          <w:spacing w:val="17"/>
        </w:rPr>
        <w:t> </w:t>
      </w:r>
      <w:r>
        <w:rPr/>
        <w:t>in</w:t>
      </w:r>
      <w:r>
        <w:rPr>
          <w:spacing w:val="17"/>
        </w:rPr>
        <w:t> </w:t>
      </w:r>
      <w:r>
        <w:rPr/>
        <w:t>Business</w:t>
      </w:r>
      <w:r>
        <w:rPr>
          <w:spacing w:val="16"/>
        </w:rPr>
        <w:t> </w:t>
      </w:r>
      <w:r>
        <w:rPr/>
        <w:t>Cycle</w:t>
      </w:r>
      <w:r>
        <w:rPr>
          <w:spacing w:val="17"/>
        </w:rPr>
        <w:t> </w:t>
      </w:r>
      <w:r>
        <w:rPr/>
        <w:t>Models’,</w:t>
      </w:r>
      <w:r>
        <w:rPr>
          <w:spacing w:val="17"/>
        </w:rPr>
        <w:t> </w:t>
      </w:r>
      <w:r>
        <w:rPr/>
        <w:t>2022,</w:t>
      </w:r>
      <w:r>
        <w:rPr>
          <w:spacing w:val="17"/>
        </w:rPr>
        <w:t> </w:t>
      </w:r>
      <w:r>
        <w:rPr/>
        <w:t>joint</w:t>
      </w:r>
      <w:r>
        <w:rPr>
          <w:spacing w:val="17"/>
        </w:rPr>
        <w:t> </w:t>
      </w:r>
      <w:r>
        <w:rPr/>
        <w:t>with</w:t>
      </w:r>
      <w:r>
        <w:rPr>
          <w:spacing w:val="15"/>
        </w:rPr>
        <w:t> </w:t>
      </w:r>
      <w:r>
        <w:rPr/>
        <w:t>Lukasz</w:t>
      </w:r>
      <w:r>
        <w:rPr>
          <w:spacing w:val="16"/>
        </w:rPr>
        <w:t> </w:t>
      </w:r>
      <w:r>
        <w:rPr/>
        <w:t>A.</w:t>
      </w:r>
      <w:r>
        <w:rPr>
          <w:spacing w:val="17"/>
        </w:rPr>
        <w:t> </w:t>
      </w:r>
      <w:r>
        <w:rPr/>
        <w:t>Drozd.</w:t>
      </w:r>
      <w:r>
        <w:rPr>
          <w:spacing w:val="16"/>
        </w:rPr>
        <w:t> </w:t>
      </w:r>
      <w:r>
        <w:rPr>
          <w:rFonts w:ascii="Arial" w:hAnsi="Arial"/>
          <w:b/>
          <w:i/>
        </w:rPr>
        <w:t>Reject</w:t>
      </w:r>
      <w:r>
        <w:rPr>
          <w:rFonts w:ascii="Arial" w:hAnsi="Arial"/>
          <w:b/>
          <w:i/>
          <w:spacing w:val="16"/>
        </w:rPr>
        <w:t> </w:t>
      </w:r>
      <w:r>
        <w:rPr>
          <w:rFonts w:ascii="Arial" w:hAnsi="Arial"/>
          <w:b/>
          <w:i/>
        </w:rPr>
        <w:t>and</w:t>
      </w:r>
      <w:r>
        <w:rPr>
          <w:rFonts w:ascii="Arial" w:hAnsi="Arial"/>
          <w:b/>
          <w:i/>
          <w:spacing w:val="16"/>
        </w:rPr>
        <w:t> </w:t>
      </w:r>
      <w:r>
        <w:rPr>
          <w:rFonts w:ascii="Arial" w:hAnsi="Arial"/>
          <w:b/>
          <w:i/>
          <w:spacing w:val="-2"/>
        </w:rPr>
        <w:t>Resubmit,</w:t>
      </w:r>
    </w:p>
    <w:p>
      <w:pPr>
        <w:pStyle w:val="Heading2"/>
      </w:pPr>
      <w:r>
        <w:rPr/>
        <w:t>Review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>
          <w:spacing w:val="-2"/>
        </w:rPr>
        <w:t>Dynamics</w:t>
      </w:r>
    </w:p>
    <w:p>
      <w:pPr>
        <w:spacing w:line="376" w:lineRule="auto" w:before="141"/>
        <w:ind w:left="379" w:right="158" w:firstLine="0"/>
        <w:jc w:val="both"/>
        <w:rPr>
          <w:rFonts w:ascii="Arial" w:hAnsi="Arial"/>
          <w:i/>
          <w:sz w:val="22"/>
        </w:rPr>
      </w:pPr>
      <w:r>
        <w:rPr>
          <w:sz w:val="22"/>
        </w:rPr>
        <w:t>‘Insolvency after the 2005 Bankruptcy Reform’, 2024, joint with Stefania Albanesi</w:t>
      </w:r>
      <w:r>
        <w:rPr>
          <w:rFonts w:ascii="Arial" w:hAnsi="Arial"/>
          <w:i/>
          <w:sz w:val="22"/>
        </w:rPr>
        <w:t>. </w:t>
      </w:r>
      <w:r>
        <w:rPr>
          <w:rFonts w:ascii="Arial" w:hAnsi="Arial"/>
          <w:b/>
          <w:i/>
          <w:sz w:val="22"/>
        </w:rPr>
        <w:t>forthcoming, Journal of Law, Economics and Organization</w:t>
      </w:r>
      <w:r>
        <w:rPr>
          <w:rFonts w:ascii="Arial" w:hAnsi="Arial"/>
          <w:i/>
          <w:sz w:val="22"/>
        </w:rPr>
        <w:t>.</w:t>
      </w:r>
    </w:p>
    <w:p>
      <w:pPr>
        <w:pStyle w:val="BodyText"/>
        <w:spacing w:line="251" w:lineRule="exact"/>
        <w:jc w:val="both"/>
      </w:pPr>
      <w:r>
        <w:rPr/>
        <w:t>‘Global</w:t>
      </w:r>
      <w:r>
        <w:rPr>
          <w:spacing w:val="64"/>
        </w:rPr>
        <w:t> </w:t>
      </w:r>
      <w:r>
        <w:rPr/>
        <w:t>Volatility</w:t>
      </w:r>
      <w:r>
        <w:rPr>
          <w:spacing w:val="63"/>
        </w:rPr>
        <w:t> </w:t>
      </w:r>
      <w:r>
        <w:rPr/>
        <w:t>and</w:t>
      </w:r>
      <w:r>
        <w:rPr>
          <w:spacing w:val="64"/>
        </w:rPr>
        <w:t> </w:t>
      </w:r>
      <w:r>
        <w:rPr/>
        <w:t>Firm-Level</w:t>
      </w:r>
      <w:r>
        <w:rPr>
          <w:spacing w:val="64"/>
        </w:rPr>
        <w:t> </w:t>
      </w:r>
      <w:r>
        <w:rPr/>
        <w:t>Capital</w:t>
      </w:r>
      <w:r>
        <w:rPr>
          <w:spacing w:val="65"/>
        </w:rPr>
        <w:t> </w:t>
      </w:r>
      <w:r>
        <w:rPr/>
        <w:t>Flows’,</w:t>
      </w:r>
      <w:r>
        <w:rPr>
          <w:spacing w:val="64"/>
        </w:rPr>
        <w:t> </w:t>
      </w:r>
      <w:r>
        <w:rPr/>
        <w:t>with</w:t>
      </w:r>
      <w:r>
        <w:rPr>
          <w:spacing w:val="63"/>
        </w:rPr>
        <w:t> </w:t>
      </w:r>
      <w:r>
        <w:rPr/>
        <w:t>Marcin</w:t>
      </w:r>
      <w:r>
        <w:rPr>
          <w:spacing w:val="64"/>
        </w:rPr>
        <w:t> </w:t>
      </w:r>
      <w:r>
        <w:rPr/>
        <w:t>Kacperczyk</w:t>
      </w:r>
      <w:r>
        <w:rPr>
          <w:spacing w:val="63"/>
        </w:rPr>
        <w:t> </w:t>
      </w:r>
      <w:r>
        <w:rPr/>
        <w:t>and</w:t>
      </w:r>
      <w:r>
        <w:rPr>
          <w:spacing w:val="64"/>
        </w:rPr>
        <w:t> </w:t>
      </w:r>
      <w:r>
        <w:rPr/>
        <w:t>Tianyu</w:t>
      </w:r>
      <w:r>
        <w:rPr>
          <w:spacing w:val="63"/>
        </w:rPr>
        <w:t> </w:t>
      </w:r>
      <w:r>
        <w:rPr/>
        <w:t>Wang,</w:t>
      </w:r>
      <w:r>
        <w:rPr>
          <w:spacing w:val="65"/>
        </w:rPr>
        <w:t> </w:t>
      </w:r>
      <w:r>
        <w:rPr>
          <w:spacing w:val="-2"/>
        </w:rPr>
        <w:t>2025.</w:t>
      </w:r>
    </w:p>
    <w:p>
      <w:pPr>
        <w:pStyle w:val="Heading2"/>
      </w:pPr>
      <w:r>
        <w:rPr/>
        <w:t>Accepted,</w:t>
      </w:r>
      <w:r>
        <w:rPr>
          <w:spacing w:val="-7"/>
        </w:rPr>
        <w:t> </w:t>
      </w:r>
      <w:r>
        <w:rPr/>
        <w:t>Journal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Financial</w:t>
      </w:r>
      <w:r>
        <w:rPr>
          <w:spacing w:val="-6"/>
        </w:rPr>
        <w:t> </w:t>
      </w:r>
      <w:r>
        <w:rPr>
          <w:spacing w:val="-2"/>
        </w:rPr>
        <w:t>Economics.</w:t>
      </w:r>
    </w:p>
    <w:p>
      <w:pPr>
        <w:spacing w:line="376" w:lineRule="auto" w:before="141"/>
        <w:ind w:left="379" w:right="158" w:firstLine="0"/>
        <w:jc w:val="both"/>
        <w:rPr>
          <w:rFonts w:ascii="Arial" w:hAnsi="Arial"/>
          <w:b/>
          <w:i/>
          <w:sz w:val="22"/>
        </w:rPr>
      </w:pPr>
      <w:r>
        <w:rPr>
          <w:sz w:val="22"/>
        </w:rPr>
        <w:t>‘Market Power in Credit Markets’, 2023 joint with Manolis Galenianos and Tzuo Hann Law. </w:t>
      </w:r>
      <w:r>
        <w:rPr>
          <w:rFonts w:ascii="Arial" w:hAnsi="Arial"/>
          <w:b/>
          <w:i/>
          <w:sz w:val="22"/>
        </w:rPr>
        <w:t>Revise and Resubmit, AEJ: Macroeconomics</w:t>
      </w:r>
    </w:p>
    <w:p>
      <w:pPr>
        <w:pStyle w:val="BodyText"/>
        <w:spacing w:line="251" w:lineRule="exact"/>
        <w:ind w:left="446"/>
        <w:jc w:val="both"/>
      </w:pPr>
      <w:r>
        <w:rPr/>
        <w:t>‘Competing</w:t>
      </w:r>
      <w:r>
        <w:rPr>
          <w:spacing w:val="23"/>
        </w:rPr>
        <w:t> </w:t>
      </w:r>
      <w:r>
        <w:rPr/>
        <w:t>for</w:t>
      </w:r>
      <w:r>
        <w:rPr>
          <w:spacing w:val="26"/>
        </w:rPr>
        <w:t> </w:t>
      </w:r>
      <w:r>
        <w:rPr/>
        <w:t>Customers:</w:t>
      </w:r>
      <w:r>
        <w:rPr>
          <w:spacing w:val="25"/>
        </w:rPr>
        <w:t> </w:t>
      </w:r>
      <w:r>
        <w:rPr/>
        <w:t>A</w:t>
      </w:r>
      <w:r>
        <w:rPr>
          <w:spacing w:val="26"/>
        </w:rPr>
        <w:t> </w:t>
      </w:r>
      <w:r>
        <w:rPr/>
        <w:t>Search</w:t>
      </w:r>
      <w:r>
        <w:rPr>
          <w:spacing w:val="26"/>
        </w:rPr>
        <w:t> </w:t>
      </w:r>
      <w:r>
        <w:rPr/>
        <w:t>Model</w:t>
      </w:r>
      <w:r>
        <w:rPr>
          <w:spacing w:val="25"/>
        </w:rPr>
        <w:t> </w:t>
      </w:r>
      <w:r>
        <w:rPr/>
        <w:t>of</w:t>
      </w:r>
      <w:r>
        <w:rPr>
          <w:spacing w:val="26"/>
        </w:rPr>
        <w:t> </w:t>
      </w:r>
      <w:r>
        <w:rPr/>
        <w:t>the</w:t>
      </w:r>
      <w:r>
        <w:rPr>
          <w:spacing w:val="25"/>
        </w:rPr>
        <w:t> </w:t>
      </w:r>
      <w:r>
        <w:rPr/>
        <w:t>Market</w:t>
      </w:r>
      <w:r>
        <w:rPr>
          <w:spacing w:val="26"/>
        </w:rPr>
        <w:t> </w:t>
      </w:r>
      <w:r>
        <w:rPr/>
        <w:t>for</w:t>
      </w:r>
      <w:r>
        <w:rPr>
          <w:spacing w:val="26"/>
        </w:rPr>
        <w:t> </w:t>
      </w:r>
      <w:r>
        <w:rPr/>
        <w:t>Unsecured</w:t>
      </w:r>
      <w:r>
        <w:rPr>
          <w:spacing w:val="25"/>
        </w:rPr>
        <w:t> </w:t>
      </w:r>
      <w:r>
        <w:rPr/>
        <w:t>Credit’,</w:t>
      </w:r>
      <w:r>
        <w:rPr>
          <w:spacing w:val="26"/>
        </w:rPr>
        <w:t> </w:t>
      </w:r>
      <w:r>
        <w:rPr/>
        <w:t>joint</w:t>
      </w:r>
      <w:r>
        <w:rPr>
          <w:spacing w:val="25"/>
        </w:rPr>
        <w:t> </w:t>
      </w:r>
      <w:r>
        <w:rPr/>
        <w:t>with</w:t>
      </w:r>
      <w:r>
        <w:rPr>
          <w:spacing w:val="26"/>
        </w:rPr>
        <w:t> </w:t>
      </w:r>
      <w:r>
        <w:rPr/>
        <w:t>Lukasz</w:t>
      </w:r>
      <w:r>
        <w:rPr>
          <w:spacing w:val="26"/>
        </w:rPr>
        <w:t> </w:t>
      </w:r>
      <w:r>
        <w:rPr>
          <w:spacing w:val="-5"/>
        </w:rPr>
        <w:t>A.</w:t>
      </w:r>
    </w:p>
    <w:p>
      <w:pPr>
        <w:spacing w:before="145"/>
        <w:ind w:left="379" w:right="0" w:firstLine="0"/>
        <w:jc w:val="left"/>
        <w:rPr>
          <w:rFonts w:ascii="Arial"/>
          <w:i/>
          <w:sz w:val="22"/>
        </w:rPr>
      </w:pPr>
      <w:r>
        <w:rPr>
          <w:sz w:val="22"/>
        </w:rPr>
        <w:t>Drozd,</w:t>
      </w:r>
      <w:r>
        <w:rPr>
          <w:spacing w:val="-7"/>
          <w:sz w:val="22"/>
        </w:rPr>
        <w:t> </w:t>
      </w:r>
      <w:r>
        <w:rPr>
          <w:rFonts w:ascii="Arial"/>
          <w:i/>
          <w:sz w:val="22"/>
        </w:rPr>
        <w:t>Working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2"/>
          <w:sz w:val="22"/>
        </w:rPr>
        <w:t>paper</w:t>
      </w:r>
    </w:p>
    <w:p>
      <w:pPr>
        <w:pStyle w:val="BodyText"/>
        <w:spacing w:line="374" w:lineRule="auto" w:before="146"/>
        <w:ind w:right="158"/>
        <w:jc w:val="both"/>
        <w:rPr>
          <w:rFonts w:ascii="Arial" w:hAnsi="Arial"/>
          <w:i/>
        </w:rPr>
      </w:pPr>
      <w:r>
        <w:rPr/>
        <w:t>‘Born to be (sub)Prime: An Exploratory Analysis’, 2023, with Helena Bach, Pietro Campa, Giacomo De Giorgi, Davide Pietrobon, </w:t>
      </w:r>
      <w:r>
        <w:rPr>
          <w:rFonts w:ascii="Arial" w:hAnsi="Arial"/>
          <w:b/>
          <w:i/>
        </w:rPr>
        <w:t>AEA Papers and Proceedings</w:t>
      </w:r>
      <w:r>
        <w:rPr>
          <w:rFonts w:ascii="Arial" w:hAnsi="Arial"/>
          <w:i/>
        </w:rPr>
        <w:t>.</w:t>
      </w:r>
    </w:p>
    <w:p>
      <w:pPr>
        <w:pStyle w:val="BodyText"/>
        <w:spacing w:line="374" w:lineRule="auto" w:before="2"/>
        <w:ind w:right="156"/>
        <w:jc w:val="both"/>
      </w:pPr>
      <w:r>
        <w:rPr/>
        <w:t>‘The Macroeconomic Consequences of the gen-AI Economy’, 2024, with Pablo Guerron and Tomoaki </w:t>
      </w:r>
      <w:r>
        <w:rPr>
          <w:spacing w:val="-2"/>
        </w:rPr>
        <w:t>Mikami.</w:t>
      </w:r>
    </w:p>
    <w:p>
      <w:pPr>
        <w:pStyle w:val="Heading1"/>
        <w:spacing w:before="9"/>
        <w:jc w:val="both"/>
        <w:rPr>
          <w:u w:val="none"/>
        </w:rPr>
      </w:pPr>
      <w:r>
        <w:rPr>
          <w:u w:val="single"/>
        </w:rPr>
        <w:t>Work</w:t>
      </w:r>
      <w:r>
        <w:rPr>
          <w:spacing w:val="-5"/>
          <w:u w:val="single"/>
        </w:rPr>
        <w:t> </w:t>
      </w:r>
      <w:r>
        <w:rPr>
          <w:u w:val="single"/>
        </w:rPr>
        <w:t>in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Progress</w:t>
      </w:r>
    </w:p>
    <w:p>
      <w:pPr>
        <w:pStyle w:val="BodyText"/>
        <w:spacing w:before="176"/>
      </w:pPr>
      <w:r>
        <w:rPr/>
        <w:t>‘Born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(sub)Prime’,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Helena</w:t>
      </w:r>
      <w:r>
        <w:rPr>
          <w:spacing w:val="-6"/>
        </w:rPr>
        <w:t> </w:t>
      </w:r>
      <w:r>
        <w:rPr/>
        <w:t>Bach,</w:t>
      </w:r>
      <w:r>
        <w:rPr>
          <w:spacing w:val="-5"/>
        </w:rPr>
        <w:t> </w:t>
      </w:r>
      <w:r>
        <w:rPr/>
        <w:t>Pietro</w:t>
      </w:r>
      <w:r>
        <w:rPr>
          <w:spacing w:val="-6"/>
        </w:rPr>
        <w:t> </w:t>
      </w:r>
      <w:r>
        <w:rPr/>
        <w:t>Campa,</w:t>
      </w:r>
      <w:r>
        <w:rPr>
          <w:spacing w:val="-5"/>
        </w:rPr>
        <w:t> </w:t>
      </w:r>
      <w:r>
        <w:rPr/>
        <w:t>Giacomo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Giorgi,</w:t>
      </w:r>
      <w:r>
        <w:rPr>
          <w:spacing w:val="-5"/>
        </w:rPr>
        <w:t> </w:t>
      </w:r>
      <w:r>
        <w:rPr/>
        <w:t>Davide</w:t>
      </w:r>
      <w:r>
        <w:rPr>
          <w:spacing w:val="-5"/>
        </w:rPr>
        <w:t> </w:t>
      </w:r>
      <w:r>
        <w:rPr>
          <w:spacing w:val="-2"/>
        </w:rPr>
        <w:t>Pietrobon.</w:t>
      </w:r>
    </w:p>
    <w:p>
      <w:pPr>
        <w:pStyle w:val="BodyText"/>
        <w:spacing w:line="376" w:lineRule="auto" w:before="141"/>
        <w:ind w:right="157"/>
        <w:jc w:val="both"/>
      </w:pPr>
      <w:r>
        <w:rPr/>
        <w:t>‘Maybe Some People Shouldn’t Own (3) Homes’, with Christopher Foote, Lara Loewenstein and Paul </w:t>
      </w:r>
      <w:r>
        <w:rPr>
          <w:spacing w:val="-2"/>
        </w:rPr>
        <w:t>Willen.</w:t>
      </w:r>
    </w:p>
    <w:p>
      <w:pPr>
        <w:pStyle w:val="Heading1"/>
        <w:jc w:val="both"/>
        <w:rPr>
          <w:u w:val="none"/>
        </w:rPr>
      </w:pPr>
      <w:r>
        <w:rPr>
          <w:u w:val="single"/>
        </w:rPr>
        <w:t>Professional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Service</w:t>
      </w:r>
    </w:p>
    <w:p>
      <w:pPr>
        <w:pStyle w:val="BodyText"/>
        <w:spacing w:line="374" w:lineRule="auto" w:before="181"/>
        <w:ind w:right="153"/>
        <w:jc w:val="both"/>
      </w:pPr>
      <w:r>
        <w:rPr>
          <w:rFonts w:ascii="Arial"/>
          <w:b/>
          <w:i/>
        </w:rPr>
        <w:t>Refereeing</w:t>
      </w:r>
      <w:r>
        <w:rPr>
          <w:rFonts w:ascii="Arial"/>
          <w:i/>
        </w:rPr>
        <w:t>: </w:t>
      </w:r>
      <w:r>
        <w:rPr/>
        <w:t>American Economic Review, The Review of Economic Studies, Econometrica, American Economic Review: Insights, American Economic Journal: Macroeconomics, American Economic Journal: Economic Policy, Journal of Monetary Economics, Journal of International Economics, Journal of Economic</w:t>
      </w:r>
      <w:r>
        <w:rPr>
          <w:spacing w:val="-2"/>
        </w:rPr>
        <w:t> </w:t>
      </w:r>
      <w:r>
        <w:rPr/>
        <w:t>Theory,</w:t>
      </w:r>
      <w:r>
        <w:rPr>
          <w:spacing w:val="-2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Science,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Journal,</w:t>
      </w:r>
      <w:r>
        <w:rPr>
          <w:spacing w:val="-2"/>
        </w:rPr>
        <w:t> </w:t>
      </w:r>
      <w:r>
        <w:rPr/>
        <w:t>Journal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Growth,</w:t>
      </w:r>
      <w:r>
        <w:rPr>
          <w:spacing w:val="-2"/>
        </w:rPr>
        <w:t> </w:t>
      </w:r>
      <w:r>
        <w:rPr/>
        <w:t>Journal</w:t>
      </w:r>
      <w:r>
        <w:rPr>
          <w:spacing w:val="-2"/>
        </w:rPr>
        <w:t> </w:t>
      </w:r>
      <w:r>
        <w:rPr/>
        <w:t>of Economic Dynamics and Control, Journal of the European Economic Association, European Economic Review,</w:t>
      </w:r>
      <w:r>
        <w:rPr>
          <w:spacing w:val="-1"/>
        </w:rPr>
        <w:t> </w:t>
      </w:r>
      <w:r>
        <w:rPr/>
        <w:t>Review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Dynamics,</w:t>
      </w:r>
      <w:r>
        <w:rPr>
          <w:spacing w:val="-1"/>
        </w:rPr>
        <w:t> </w:t>
      </w:r>
      <w:r>
        <w:rPr/>
        <w:t>International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Review,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Journal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Macroeconomics, Journal of Money, Credit and Banking, Review of Finance, The Canadian Journal of Economics, Review of Industrial Organization.</w:t>
      </w:r>
    </w:p>
    <w:p>
      <w:pPr>
        <w:pStyle w:val="BodyText"/>
        <w:spacing w:line="376" w:lineRule="auto" w:before="11"/>
        <w:ind w:right="158"/>
        <w:jc w:val="both"/>
      </w:pPr>
      <w:r>
        <w:rPr>
          <w:rFonts w:ascii="Arial" w:hAnsi="Arial"/>
          <w:b/>
          <w:i/>
        </w:rPr>
        <w:t>Conference Organization</w:t>
      </w:r>
      <w:r>
        <w:rPr>
          <w:rFonts w:ascii="Arial" w:hAnsi="Arial"/>
          <w:i/>
        </w:rPr>
        <w:t>: </w:t>
      </w:r>
      <w:r>
        <w:rPr/>
        <w:t>Committee - Society for Economic Dynamics in Ghent (2011), Limassol (2012), Seoul (2013), Warsaw (2015), Program Committee - Wharton Conference on Liquidity and Financial Crises 2014-2016, Wharton Conference on Liquidity and Financial Fragility 2017-2020,</w:t>
      </w:r>
      <w:r>
        <w:rPr>
          <w:spacing w:val="40"/>
        </w:rPr>
        <w:t> </w:t>
      </w:r>
      <w:r>
        <w:rPr/>
        <w:t>Program Committee – Midwest Finance Association 2016 Annual Meeting, Program Committee – European</w:t>
      </w:r>
      <w:r>
        <w:rPr>
          <w:spacing w:val="-1"/>
        </w:rPr>
        <w:t> </w:t>
      </w:r>
      <w:r>
        <w:rPr/>
        <w:t>Finance</w:t>
      </w:r>
      <w:r>
        <w:rPr>
          <w:spacing w:val="-2"/>
        </w:rPr>
        <w:t> </w:t>
      </w:r>
      <w:r>
        <w:rPr/>
        <w:t>Association</w:t>
      </w:r>
      <w:r>
        <w:rPr>
          <w:spacing w:val="-1"/>
        </w:rPr>
        <w:t> </w:t>
      </w:r>
      <w:r>
        <w:rPr/>
        <w:t>Annual</w:t>
      </w:r>
      <w:r>
        <w:rPr>
          <w:spacing w:val="-1"/>
        </w:rPr>
        <w:t> </w:t>
      </w:r>
      <w:r>
        <w:rPr/>
        <w:t>Meeting,</w:t>
      </w:r>
      <w:r>
        <w:rPr>
          <w:spacing w:val="-1"/>
        </w:rPr>
        <w:t> </w:t>
      </w:r>
      <w:r>
        <w:rPr/>
        <w:t>2018-2025,</w:t>
      </w:r>
      <w:r>
        <w:rPr>
          <w:spacing w:val="-1"/>
        </w:rPr>
        <w:t> </w:t>
      </w:r>
      <w:r>
        <w:rPr/>
        <w:t>Program</w:t>
      </w:r>
      <w:r>
        <w:rPr>
          <w:spacing w:val="-2"/>
        </w:rPr>
        <w:t> </w:t>
      </w:r>
      <w:r>
        <w:rPr/>
        <w:t>Committee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LACEA-LAMES</w:t>
      </w:r>
      <w:r>
        <w:rPr>
          <w:spacing w:val="-2"/>
        </w:rPr>
        <w:t> </w:t>
      </w:r>
      <w:r>
        <w:rPr/>
        <w:t>2018, Program Committee – Society for Financial Studies Cavalcade North America 2021-2025.</w:t>
      </w:r>
    </w:p>
    <w:p>
      <w:pPr>
        <w:pStyle w:val="BodyText"/>
        <w:spacing w:after="0" w:line="376" w:lineRule="auto"/>
        <w:jc w:val="both"/>
        <w:sectPr>
          <w:pgSz w:w="12240" w:h="15840"/>
          <w:pgMar w:top="700" w:bottom="280" w:left="1080" w:right="360"/>
        </w:sectPr>
      </w:pPr>
    </w:p>
    <w:p>
      <w:pPr>
        <w:pStyle w:val="BodyText"/>
        <w:spacing w:before="4"/>
        <w:ind w:left="0"/>
        <w:rPr>
          <w:sz w:val="17"/>
        </w:rPr>
      </w:pPr>
    </w:p>
    <w:sectPr>
      <w:pgSz w:w="12240" w:h="15840"/>
      <w:pgMar w:top="1820" w:bottom="280" w:left="10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79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"/>
      <w:ind w:left="379"/>
      <w:outlineLvl w:val="1"/>
    </w:pPr>
    <w:rPr>
      <w:rFonts w:ascii="Arial" w:hAnsi="Arial" w:eastAsia="Arial" w:cs="Arial"/>
      <w:b/>
      <w:bCs/>
      <w:sz w:val="28"/>
      <w:szCs w:val="28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45"/>
      <w:ind w:left="379"/>
      <w:outlineLvl w:val="2"/>
    </w:pPr>
    <w:rPr>
      <w:rFonts w:ascii="Arial" w:hAnsi="Arial" w:eastAsia="Arial" w:cs="Arial"/>
      <w:b/>
      <w:bCs/>
      <w:i/>
      <w:i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05"/>
      <w:ind w:right="414"/>
      <w:jc w:val="center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2"/>
      <w:ind w:left="5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osalj@bc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Jaromir Nosal</dc:creator>
  <dc:title>CV_Nosal2</dc:title>
  <dcterms:created xsi:type="dcterms:W3CDTF">2025-12-06T05:38:26Z</dcterms:created>
  <dcterms:modified xsi:type="dcterms:W3CDTF">2025-12-06T05:38:26Z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2025-04-07T00:00:00Z</vt:filetime>
  </property>
  <property fmtid="{D5CDD505-2E9C-101B-9397-08002B2CF9AE}" pid="3" name="Creator">
    <vt:lpwstr>Word</vt:lpwstr>
  </property>
  <property fmtid="{D5CDD505-2E9C-101B-9397-08002B2CF9AE}" pid="4" name="LastSaved">
    <vt:filetime>2025-12-06T00:00:00Z</vt:filetime>
  </property>
  <property fmtid="{D5CDD505-2E9C-101B-9397-08002B2CF9AE}" pid="5" name="Producer">
    <vt:lpwstr>macOS Version 15.4 (Build 24E248) Quartz PDFContext</vt:lpwstr>
  </property>
</Properties>
</file>