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119"/>
        <w:ind w:left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208396</wp:posOffset>
                </wp:positionV>
                <wp:extent cx="62001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pt,16.409149pt" to="560.169pt,16.409149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pStyle w:val="Title"/>
      </w:pPr>
      <w:r>
        <w:rPr/>
        <w:br w:type="column"/>
      </w:r>
      <w:r>
        <w:rPr>
          <w:smallCaps/>
          <w:spacing w:val="13"/>
        </w:rPr>
        <w:t>Todd</w:t>
      </w:r>
      <w:r>
        <w:rPr>
          <w:smallCaps/>
          <w:spacing w:val="64"/>
        </w:rPr>
        <w:t> </w:t>
      </w:r>
      <w:r>
        <w:rPr>
          <w:smallCaps/>
        </w:rPr>
        <w:t>B.</w:t>
      </w:r>
      <w:r>
        <w:rPr>
          <w:smallCaps/>
          <w:spacing w:val="38"/>
        </w:rPr>
        <w:t> </w:t>
      </w:r>
      <w:r>
        <w:rPr>
          <w:smallCaps/>
          <w:spacing w:val="12"/>
        </w:rPr>
        <w:t>Walker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805" w:top="1280" w:bottom="1000" w:left="1440" w:right="1080"/>
          <w:pgNumType w:start="1"/>
          <w:cols w:num="2" w:equalWidth="0">
            <w:col w:w="1098" w:space="2063"/>
            <w:col w:w="6559"/>
          </w:cols>
        </w:sectPr>
      </w:pPr>
    </w:p>
    <w:p>
      <w:pPr>
        <w:pStyle w:val="BodyText"/>
        <w:spacing w:before="195"/>
        <w:ind w:left="0"/>
      </w:pPr>
      <w:r>
        <w:rPr>
          <w:w w:val="110"/>
        </w:rPr>
        <w:t>Ph.D.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Iowa,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2006</w:t>
      </w:r>
    </w:p>
    <w:p>
      <w:pPr>
        <w:pStyle w:val="BodyText"/>
        <w:spacing w:before="32"/>
        <w:ind w:left="0"/>
      </w:pPr>
      <w:r>
        <w:rPr>
          <w:w w:val="110"/>
        </w:rPr>
        <w:t>M.A.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8"/>
          <w:w w:val="110"/>
        </w:rPr>
        <w:t> </w:t>
      </w:r>
      <w:r>
        <w:rPr>
          <w:w w:val="110"/>
        </w:rPr>
        <w:t>Miami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2001</w:t>
      </w:r>
    </w:p>
    <w:p>
      <w:pPr>
        <w:pStyle w:val="BodyText"/>
        <w:spacing w:before="32"/>
        <w:ind w:left="0"/>
      </w:pPr>
      <w:r>
        <w:rPr>
          <w:w w:val="110"/>
        </w:rPr>
        <w:t>B.A.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5"/>
          <w:w w:val="110"/>
        </w:rPr>
        <w:t> </w:t>
      </w:r>
      <w:r>
        <w:rPr>
          <w:w w:val="110"/>
        </w:rPr>
        <w:t>Political</w:t>
      </w:r>
      <w:r>
        <w:rPr>
          <w:spacing w:val="-5"/>
          <w:w w:val="110"/>
        </w:rPr>
        <w:t> </w:t>
      </w:r>
      <w:r>
        <w:rPr>
          <w:w w:val="110"/>
        </w:rPr>
        <w:t>Science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Japanese</w:t>
      </w:r>
      <w:r>
        <w:rPr>
          <w:spacing w:val="-5"/>
          <w:w w:val="110"/>
        </w:rPr>
        <w:t> </w:t>
      </w:r>
      <w:r>
        <w:rPr>
          <w:w w:val="110"/>
        </w:rPr>
        <w:t>Minor,</w:t>
      </w:r>
      <w:r>
        <w:rPr>
          <w:spacing w:val="-5"/>
          <w:w w:val="110"/>
        </w:rPr>
        <w:t> </w:t>
      </w:r>
      <w:r>
        <w:rPr>
          <w:w w:val="110"/>
        </w:rPr>
        <w:t>Miami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2000</w:t>
      </w:r>
    </w:p>
    <w:p>
      <w:pPr>
        <w:pStyle w:val="BodyText"/>
        <w:spacing w:before="7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208402</wp:posOffset>
                </wp:positionV>
                <wp:extent cx="620014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pt,16.409668pt" to="560.169pt,16.409668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Current</w:t>
      </w:r>
      <w:r>
        <w:rPr>
          <w:spacing w:val="13"/>
        </w:rPr>
        <w:t> </w:t>
      </w:r>
      <w:r>
        <w:rPr>
          <w:spacing w:val="-2"/>
        </w:rPr>
        <w:t>Positions</w:t>
      </w:r>
    </w:p>
    <w:p>
      <w:pPr>
        <w:pStyle w:val="BodyText"/>
        <w:spacing w:line="278" w:lineRule="auto" w:before="195"/>
        <w:ind w:left="0" w:right="3204"/>
      </w:pPr>
      <w:r>
        <w:rPr>
          <w:w w:val="115"/>
        </w:rPr>
        <w:t>Walter</w:t>
      </w:r>
      <w:r>
        <w:rPr>
          <w:spacing w:val="-7"/>
          <w:w w:val="115"/>
        </w:rPr>
        <w:t> </w:t>
      </w:r>
      <w:r>
        <w:rPr>
          <w:w w:val="115"/>
        </w:rPr>
        <w:t>Professor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Financial</w:t>
      </w:r>
      <w:r>
        <w:rPr>
          <w:spacing w:val="-7"/>
          <w:w w:val="115"/>
        </w:rPr>
        <w:t> </w:t>
      </w:r>
      <w:r>
        <w:rPr>
          <w:w w:val="115"/>
        </w:rPr>
        <w:t>Economics,</w:t>
      </w:r>
      <w:r>
        <w:rPr>
          <w:spacing w:val="-7"/>
          <w:w w:val="115"/>
        </w:rPr>
        <w:t> </w:t>
      </w:r>
      <w:r>
        <w:rPr>
          <w:w w:val="115"/>
        </w:rPr>
        <w:t>Indiana</w:t>
      </w:r>
      <w:r>
        <w:rPr>
          <w:spacing w:val="-7"/>
          <w:w w:val="115"/>
        </w:rPr>
        <w:t> </w:t>
      </w:r>
      <w:r>
        <w:rPr>
          <w:w w:val="115"/>
        </w:rPr>
        <w:t>University</w:t>
      </w:r>
      <w:r>
        <w:rPr>
          <w:spacing w:val="-7"/>
          <w:w w:val="115"/>
        </w:rPr>
        <w:t> </w:t>
      </w:r>
      <w:r>
        <w:rPr>
          <w:w w:val="115"/>
        </w:rPr>
        <w:t>(2017</w:t>
      </w:r>
      <w:r>
        <w:rPr>
          <w:spacing w:val="-7"/>
          <w:w w:val="115"/>
        </w:rPr>
        <w:t> </w:t>
      </w:r>
      <w:r>
        <w:rPr>
          <w:w w:val="115"/>
        </w:rPr>
        <w:t>–</w:t>
      </w:r>
      <w:r>
        <w:rPr>
          <w:spacing w:val="-7"/>
          <w:w w:val="115"/>
        </w:rPr>
        <w:t> </w:t>
      </w:r>
      <w:r>
        <w:rPr>
          <w:w w:val="115"/>
        </w:rPr>
        <w:t>) Director,</w:t>
      </w:r>
      <w:r>
        <w:rPr>
          <w:spacing w:val="-7"/>
          <w:w w:val="115"/>
        </w:rPr>
        <w:t> </w:t>
      </w:r>
      <w:r>
        <w:rPr>
          <w:w w:val="115"/>
        </w:rPr>
        <w:t>Center</w:t>
      </w:r>
      <w:r>
        <w:rPr>
          <w:spacing w:val="-7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Applied</w:t>
      </w:r>
      <w:r>
        <w:rPr>
          <w:spacing w:val="-7"/>
          <w:w w:val="115"/>
        </w:rPr>
        <w:t> </w:t>
      </w:r>
      <w:r>
        <w:rPr>
          <w:w w:val="115"/>
        </w:rPr>
        <w:t>Economics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Policy</w:t>
      </w:r>
      <w:r>
        <w:rPr>
          <w:spacing w:val="-7"/>
          <w:w w:val="115"/>
        </w:rPr>
        <w:t> </w:t>
      </w:r>
      <w:r>
        <w:rPr>
          <w:w w:val="115"/>
        </w:rPr>
        <w:t>Research</w:t>
      </w:r>
      <w:r>
        <w:rPr>
          <w:spacing w:val="-7"/>
          <w:w w:val="115"/>
        </w:rPr>
        <w:t> </w:t>
      </w:r>
      <w:r>
        <w:rPr>
          <w:w w:val="115"/>
        </w:rPr>
        <w:t>(2017–</w:t>
      </w:r>
      <w:r>
        <w:rPr>
          <w:spacing w:val="-7"/>
          <w:w w:val="115"/>
        </w:rPr>
        <w:t> </w:t>
      </w:r>
      <w:r>
        <w:rPr>
          <w:w w:val="115"/>
        </w:rPr>
        <w:t>) </w:t>
      </w:r>
      <w:r>
        <w:rPr>
          <w:w w:val="110"/>
        </w:rPr>
        <w:t>Associate Chair, Department of Economics, Indiana University (2024– )</w:t>
      </w:r>
    </w:p>
    <w:p>
      <w:pPr>
        <w:pStyle w:val="BodyText"/>
        <w:spacing w:before="206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207982</wp:posOffset>
                </wp:positionV>
                <wp:extent cx="620014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16.37661pt" to="560.169pt,16.37661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Past</w:t>
      </w:r>
      <w:r>
        <w:rPr>
          <w:spacing w:val="-7"/>
        </w:rPr>
        <w:t> </w:t>
      </w:r>
      <w:r>
        <w:rPr>
          <w:spacing w:val="-2"/>
        </w:rPr>
        <w:t>Positions</w:t>
      </w:r>
    </w:p>
    <w:p>
      <w:pPr>
        <w:pStyle w:val="BodyText"/>
        <w:spacing w:line="278" w:lineRule="auto" w:before="195"/>
        <w:ind w:left="0" w:right="3970"/>
      </w:pPr>
      <w:r>
        <w:rPr>
          <w:w w:val="110"/>
        </w:rPr>
        <w:t>Assistant Professor of Economics, Indiana University (2006 – 2013) Associate Professor of Economics, Indiana University (2013 – 2017) </w:t>
      </w:r>
      <w:r>
        <w:rPr>
          <w:w w:val="115"/>
        </w:rPr>
        <w:t>Director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Graduate</w:t>
      </w:r>
      <w:r>
        <w:rPr>
          <w:spacing w:val="-2"/>
          <w:w w:val="115"/>
        </w:rPr>
        <w:t> </w:t>
      </w:r>
      <w:r>
        <w:rPr>
          <w:w w:val="115"/>
        </w:rPr>
        <w:t>Studies,</w:t>
      </w:r>
      <w:r>
        <w:rPr>
          <w:spacing w:val="-2"/>
          <w:w w:val="115"/>
        </w:rPr>
        <w:t> </w:t>
      </w:r>
      <w:r>
        <w:rPr>
          <w:w w:val="115"/>
        </w:rPr>
        <w:t>Indiana</w:t>
      </w:r>
      <w:r>
        <w:rPr>
          <w:spacing w:val="-2"/>
          <w:w w:val="115"/>
        </w:rPr>
        <w:t> </w:t>
      </w:r>
      <w:r>
        <w:rPr>
          <w:w w:val="115"/>
        </w:rPr>
        <w:t>University</w:t>
      </w:r>
      <w:r>
        <w:rPr>
          <w:spacing w:val="-2"/>
          <w:w w:val="115"/>
        </w:rPr>
        <w:t> </w:t>
      </w:r>
      <w:r>
        <w:rPr>
          <w:w w:val="115"/>
        </w:rPr>
        <w:t>(2013</w:t>
      </w:r>
      <w:r>
        <w:rPr>
          <w:spacing w:val="-2"/>
          <w:w w:val="115"/>
        </w:rPr>
        <w:t> </w:t>
      </w:r>
      <w:r>
        <w:rPr>
          <w:w w:val="115"/>
        </w:rPr>
        <w:t>–</w:t>
      </w:r>
      <w:r>
        <w:rPr>
          <w:spacing w:val="-2"/>
          <w:w w:val="115"/>
        </w:rPr>
        <w:t> </w:t>
      </w:r>
      <w:r>
        <w:rPr>
          <w:w w:val="115"/>
        </w:rPr>
        <w:t>2017) Associate</w:t>
      </w:r>
      <w:r>
        <w:rPr>
          <w:spacing w:val="-9"/>
          <w:w w:val="115"/>
        </w:rPr>
        <w:t> </w:t>
      </w:r>
      <w:r>
        <w:rPr>
          <w:w w:val="115"/>
        </w:rPr>
        <w:t>Editor,</w:t>
      </w:r>
      <w:r>
        <w:rPr>
          <w:spacing w:val="-9"/>
          <w:w w:val="115"/>
        </w:rPr>
        <w:t> </w:t>
      </w:r>
      <w:r>
        <w:rPr>
          <w:w w:val="115"/>
        </w:rPr>
        <w:t>European</w:t>
      </w:r>
      <w:r>
        <w:rPr>
          <w:spacing w:val="-9"/>
          <w:w w:val="115"/>
        </w:rPr>
        <w:t> </w:t>
      </w:r>
      <w:r>
        <w:rPr>
          <w:w w:val="115"/>
        </w:rPr>
        <w:t>Economic</w:t>
      </w:r>
      <w:r>
        <w:rPr>
          <w:spacing w:val="-9"/>
          <w:w w:val="115"/>
        </w:rPr>
        <w:t> </w:t>
      </w:r>
      <w:r>
        <w:rPr>
          <w:w w:val="115"/>
        </w:rPr>
        <w:t>Review</w:t>
      </w:r>
      <w:r>
        <w:rPr>
          <w:spacing w:val="-9"/>
          <w:w w:val="115"/>
        </w:rPr>
        <w:t> </w:t>
      </w:r>
      <w:r>
        <w:rPr>
          <w:w w:val="115"/>
        </w:rPr>
        <w:t>(2011</w:t>
      </w:r>
      <w:r>
        <w:rPr>
          <w:spacing w:val="-9"/>
          <w:w w:val="115"/>
        </w:rPr>
        <w:t> </w:t>
      </w:r>
      <w:r>
        <w:rPr>
          <w:w w:val="115"/>
        </w:rPr>
        <w:t>–2017) Associate Editor, Economic Inquiry (2014–2017)</w:t>
      </w:r>
    </w:p>
    <w:p>
      <w:pPr>
        <w:pStyle w:val="Heading1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330590</wp:posOffset>
                </wp:positionV>
                <wp:extent cx="620014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2pt,26.03071pt" to="560.169pt,26.03071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Short-Term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Visiting</w:t>
      </w:r>
      <w:r>
        <w:rPr>
          <w:spacing w:val="-7"/>
        </w:rPr>
        <w:t> </w:t>
      </w:r>
      <w:r>
        <w:rPr>
          <w:spacing w:val="-2"/>
        </w:rPr>
        <w:t>Positions</w:t>
      </w:r>
    </w:p>
    <w:p>
      <w:pPr>
        <w:pStyle w:val="BodyText"/>
        <w:spacing w:line="278" w:lineRule="auto" w:before="195"/>
        <w:ind w:left="0" w:right="6091"/>
      </w:pPr>
      <w:r>
        <w:rPr>
          <w:w w:val="110"/>
        </w:rPr>
        <w:t>Visiting</w:t>
      </w:r>
      <w:r>
        <w:rPr>
          <w:spacing w:val="-1"/>
          <w:w w:val="110"/>
        </w:rPr>
        <w:t> </w:t>
      </w:r>
      <w:r>
        <w:rPr>
          <w:w w:val="110"/>
        </w:rPr>
        <w:t>Professor,</w:t>
      </w:r>
      <w:r>
        <w:rPr>
          <w:spacing w:val="-1"/>
          <w:w w:val="110"/>
        </w:rPr>
        <w:t> </w:t>
      </w:r>
      <w:r>
        <w:rPr>
          <w:w w:val="110"/>
        </w:rPr>
        <w:t>Universität</w:t>
      </w:r>
      <w:r>
        <w:rPr>
          <w:spacing w:val="-1"/>
          <w:w w:val="110"/>
        </w:rPr>
        <w:t> </w:t>
      </w:r>
      <w:r>
        <w:rPr>
          <w:w w:val="110"/>
        </w:rPr>
        <w:t>Bonn </w:t>
      </w:r>
      <w:r>
        <w:rPr>
          <w:w w:val="115"/>
        </w:rPr>
        <w:t>Research Professor, Bundesbank</w:t>
      </w:r>
    </w:p>
    <w:p>
      <w:pPr>
        <w:pStyle w:val="BodyText"/>
        <w:spacing w:line="205" w:lineRule="exact" w:before="0"/>
        <w:ind w:left="0"/>
      </w:pPr>
      <w:r>
        <w:rPr>
          <w:w w:val="110"/>
        </w:rPr>
        <w:t>Visiting</w:t>
      </w:r>
      <w:r>
        <w:rPr>
          <w:spacing w:val="-10"/>
          <w:w w:val="110"/>
        </w:rPr>
        <w:t> </w:t>
      </w:r>
      <w:r>
        <w:rPr>
          <w:w w:val="110"/>
        </w:rPr>
        <w:t>Scholar,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9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St.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Louis</w:t>
      </w:r>
    </w:p>
    <w:p>
      <w:pPr>
        <w:pStyle w:val="BodyText"/>
        <w:spacing w:line="278" w:lineRule="auto" w:before="32"/>
        <w:ind w:left="0" w:right="2150"/>
      </w:pPr>
      <w:r>
        <w:rPr>
          <w:w w:val="110"/>
        </w:rPr>
        <w:t>Visiting Scholar, Laboratory for Aggregate Economics and Finance, UC-Santa Barbara </w:t>
      </w:r>
      <w:r>
        <w:rPr>
          <w:w w:val="115"/>
        </w:rPr>
        <w:t>Visiting Scholar, Central Bank of Peru</w:t>
      </w:r>
    </w:p>
    <w:p>
      <w:pPr>
        <w:pStyle w:val="BodyText"/>
        <w:spacing w:line="278" w:lineRule="auto" w:before="0"/>
        <w:ind w:left="0" w:right="6091"/>
      </w:pPr>
      <w:r>
        <w:rPr>
          <w:w w:val="110"/>
        </w:rPr>
        <w:t>Visiting</w:t>
      </w:r>
      <w:r>
        <w:rPr>
          <w:spacing w:val="-6"/>
          <w:w w:val="110"/>
        </w:rPr>
        <w:t> </w:t>
      </w:r>
      <w:r>
        <w:rPr>
          <w:w w:val="110"/>
        </w:rPr>
        <w:t>Scholar,</w:t>
      </w:r>
      <w:r>
        <w:rPr>
          <w:spacing w:val="-6"/>
          <w:w w:val="110"/>
        </w:rPr>
        <w:t> </w:t>
      </w:r>
      <w:r>
        <w:rPr>
          <w:w w:val="110"/>
        </w:rPr>
        <w:t>Central</w:t>
      </w:r>
      <w:r>
        <w:rPr>
          <w:spacing w:val="-6"/>
          <w:w w:val="110"/>
        </w:rPr>
        <w:t> </w:t>
      </w:r>
      <w:r>
        <w:rPr>
          <w:w w:val="110"/>
        </w:rPr>
        <w:t>Bank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Jamaica Advisor, Central Bank of The Bahamas</w:t>
      </w:r>
    </w:p>
    <w:p>
      <w:pPr>
        <w:pStyle w:val="Heading1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318118</wp:posOffset>
                </wp:positionV>
                <wp:extent cx="62001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25.048668pt" to="560.169pt,25.048668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Refereed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68"/>
        <w:ind w:left="0"/>
        <w:rPr>
          <w:rFonts w:ascii="Cambria"/>
          <w:b/>
        </w:r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78" w:lineRule="auto" w:before="0" w:after="0"/>
        <w:ind w:left="498" w:right="118" w:hanging="246"/>
        <w:jc w:val="left"/>
        <w:rPr>
          <w:i/>
          <w:sz w:val="18"/>
        </w:rPr>
      </w:pPr>
      <w:r>
        <w:rPr>
          <w:spacing w:val="-2"/>
          <w:w w:val="115"/>
          <w:sz w:val="18"/>
        </w:rPr>
        <w:t>“Temporal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Aggregation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Bias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Monetary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Policy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Transmission,”</w:t>
      </w:r>
      <w:r>
        <w:rPr>
          <w:spacing w:val="-12"/>
          <w:w w:val="115"/>
          <w:sz w:val="18"/>
        </w:rPr>
        <w:t> </w:t>
      </w:r>
      <w:r>
        <w:rPr>
          <w:spacing w:val="-2"/>
          <w:w w:val="115"/>
          <w:sz w:val="18"/>
        </w:rPr>
        <w:t>with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Margaret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Jacobson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Christian</w:t>
      </w:r>
      <w:r>
        <w:rPr>
          <w:spacing w:val="-15"/>
          <w:w w:val="115"/>
          <w:sz w:val="18"/>
        </w:rPr>
        <w:t> </w:t>
      </w:r>
      <w:r>
        <w:rPr>
          <w:spacing w:val="-2"/>
          <w:w w:val="115"/>
          <w:sz w:val="18"/>
        </w:rPr>
        <w:t>Matthes </w:t>
      </w:r>
      <w:r>
        <w:rPr>
          <w:w w:val="115"/>
          <w:sz w:val="18"/>
        </w:rPr>
        <w:t>forthcoming,</w:t>
      </w:r>
      <w:r>
        <w:rPr>
          <w:spacing w:val="-9"/>
          <w:w w:val="115"/>
          <w:sz w:val="18"/>
        </w:rPr>
        <w:t> </w:t>
      </w:r>
      <w:r>
        <w:rPr>
          <w:i/>
          <w:w w:val="115"/>
          <w:sz w:val="18"/>
        </w:rPr>
        <w:t>Journal</w:t>
      </w:r>
      <w:r>
        <w:rPr>
          <w:i/>
          <w:spacing w:val="-9"/>
          <w:w w:val="115"/>
          <w:sz w:val="18"/>
        </w:rPr>
        <w:t> </w:t>
      </w:r>
      <w:r>
        <w:rPr>
          <w:i/>
          <w:w w:val="115"/>
          <w:sz w:val="18"/>
        </w:rPr>
        <w:t>of</w:t>
      </w:r>
      <w:r>
        <w:rPr>
          <w:i/>
          <w:spacing w:val="-9"/>
          <w:w w:val="115"/>
          <w:sz w:val="18"/>
        </w:rPr>
        <w:t> </w:t>
      </w:r>
      <w:r>
        <w:rPr>
          <w:i/>
          <w:w w:val="115"/>
          <w:sz w:val="18"/>
        </w:rPr>
        <w:t>Political</w:t>
      </w:r>
      <w:r>
        <w:rPr>
          <w:i/>
          <w:spacing w:val="-9"/>
          <w:w w:val="115"/>
          <w:sz w:val="18"/>
        </w:rPr>
        <w:t> </w:t>
      </w:r>
      <w:r>
        <w:rPr>
          <w:i/>
          <w:w w:val="115"/>
          <w:sz w:val="18"/>
        </w:rPr>
        <w:t>Economy: Macroeconomics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78" w:lineRule="auto" w:before="147" w:after="0"/>
        <w:ind w:left="498" w:right="239" w:hanging="246"/>
        <w:jc w:val="left"/>
        <w:rPr>
          <w:i/>
          <w:sz w:val="18"/>
        </w:rPr>
      </w:pPr>
      <w:r>
        <w:rPr>
          <w:spacing w:val="-2"/>
          <w:w w:val="115"/>
          <w:sz w:val="18"/>
        </w:rPr>
        <w:t>“Monetary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Policy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Shocks: Data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or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Methods?,”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with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Connor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Brennan,</w:t>
      </w:r>
      <w:r>
        <w:rPr>
          <w:spacing w:val="-10"/>
          <w:w w:val="115"/>
          <w:sz w:val="18"/>
        </w:rPr>
        <w:t> </w:t>
      </w:r>
      <w:r>
        <w:rPr>
          <w:spacing w:val="-2"/>
          <w:w w:val="115"/>
          <w:sz w:val="18"/>
        </w:rPr>
        <w:t>Margaret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Jacobson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Christian</w:t>
      </w:r>
      <w:r>
        <w:rPr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Matthes </w:t>
      </w:r>
      <w:r>
        <w:rPr>
          <w:w w:val="115"/>
          <w:sz w:val="18"/>
        </w:rPr>
        <w:t>forthcoming,</w:t>
      </w:r>
      <w:r>
        <w:rPr>
          <w:spacing w:val="-3"/>
          <w:w w:val="115"/>
          <w:sz w:val="18"/>
        </w:rPr>
        <w:t> </w:t>
      </w:r>
      <w:r>
        <w:rPr>
          <w:i/>
          <w:w w:val="115"/>
          <w:sz w:val="18"/>
        </w:rPr>
        <w:t>The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B.E.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Journal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of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78" w:lineRule="auto" w:before="147" w:after="0"/>
        <w:ind w:left="498" w:right="3269" w:hanging="246"/>
        <w:jc w:val="left"/>
        <w:rPr>
          <w:i/>
          <w:sz w:val="18"/>
        </w:rPr>
      </w:pPr>
      <w:r>
        <w:rPr>
          <w:w w:val="115"/>
          <w:sz w:val="18"/>
        </w:rPr>
        <w:t>“CBDC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Small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Open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Economies,"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Rong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Fan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Allan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Wright </w:t>
      </w:r>
      <w:r>
        <w:rPr>
          <w:w w:val="110"/>
          <w:sz w:val="18"/>
        </w:rPr>
        <w:t>forthcoming, Special Issue of </w:t>
      </w:r>
      <w:r>
        <w:rPr>
          <w:i/>
          <w:w w:val="110"/>
          <w:sz w:val="18"/>
        </w:rPr>
        <w:t>Latin American Journal of Central Banking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47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“Zero-Risk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Weights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Capital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Misallocation,"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Takuji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Fueki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Patrick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Hürtgen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Financial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Stability</w:t>
      </w:r>
      <w:r>
        <w:rPr>
          <w:w w:val="110"/>
          <w:sz w:val="18"/>
        </w:rPr>
        <w:t>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72,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June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2024.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2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“Information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Aggregation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Bias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Samuelson’s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Dictum,"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Yongok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Choi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4"/>
          <w:w w:val="110"/>
          <w:sz w:val="18"/>
        </w:rPr>
        <w:t> </w:t>
      </w:r>
      <w:r>
        <w:rPr>
          <w:spacing w:val="-2"/>
          <w:w w:val="110"/>
          <w:sz w:val="18"/>
        </w:rPr>
        <w:t>Rondina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Money,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Credit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Banking</w:t>
      </w:r>
      <w:r>
        <w:rPr>
          <w:w w:val="110"/>
          <w:sz w:val="18"/>
        </w:rPr>
        <w:t>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55,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August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2023.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1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“Households,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Auctioneers,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Aggregation,"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Karsten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Chipeniuk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Nets</w:t>
      </w:r>
      <w:r>
        <w:rPr>
          <w:spacing w:val="14"/>
          <w:w w:val="110"/>
          <w:sz w:val="18"/>
        </w:rPr>
        <w:t> </w:t>
      </w:r>
      <w:r>
        <w:rPr>
          <w:spacing w:val="-4"/>
          <w:w w:val="110"/>
          <w:sz w:val="18"/>
        </w:rPr>
        <w:t>Katz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European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Review</w:t>
      </w:r>
      <w:r>
        <w:rPr>
          <w:w w:val="110"/>
          <w:sz w:val="18"/>
        </w:rPr>
        <w:t>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141,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January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2022.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181" w:after="0"/>
        <w:ind w:left="244" w:right="4194" w:hanging="244"/>
        <w:jc w:val="center"/>
        <w:rPr>
          <w:sz w:val="18"/>
        </w:rPr>
      </w:pPr>
      <w:r>
        <w:rPr>
          <w:w w:val="110"/>
          <w:sz w:val="18"/>
        </w:rPr>
        <w:t>“Forward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Inflation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Expectations,"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Karsten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Chipeniuk</w:t>
      </w:r>
    </w:p>
    <w:p>
      <w:pPr>
        <w:spacing w:before="32"/>
        <w:ind w:left="0" w:right="4098" w:firstLine="0"/>
        <w:jc w:val="center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Macroeconomics</w:t>
      </w:r>
      <w:r>
        <w:rPr>
          <w:w w:val="110"/>
          <w:sz w:val="18"/>
        </w:rPr>
        <w:t>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70,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December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2021.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1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“Confounding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Dynamics,"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18"/>
          <w:w w:val="110"/>
          <w:sz w:val="18"/>
        </w:rPr>
        <w:t> </w:t>
      </w:r>
      <w:r>
        <w:rPr>
          <w:spacing w:val="-2"/>
          <w:w w:val="110"/>
          <w:sz w:val="18"/>
        </w:rPr>
        <w:t>Rondina,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Theory</w:t>
      </w:r>
      <w:r>
        <w:rPr>
          <w:w w:val="110"/>
          <w:sz w:val="18"/>
        </w:rPr>
        <w:t>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196,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September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2021.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805" w:top="1280" w:bottom="100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71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“Structural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Asset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Pricing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Theory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Wavelets,"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Elizabeth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Housworth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Chen</w:t>
      </w:r>
      <w:r>
        <w:rPr>
          <w:spacing w:val="9"/>
          <w:w w:val="110"/>
          <w:sz w:val="18"/>
        </w:rPr>
        <w:t> </w:t>
      </w:r>
      <w:r>
        <w:rPr>
          <w:spacing w:val="-5"/>
          <w:w w:val="110"/>
          <w:sz w:val="18"/>
        </w:rPr>
        <w:t>Xu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Quantitative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Finance</w:t>
      </w:r>
      <w:r>
        <w:rPr>
          <w:w w:val="110"/>
          <w:sz w:val="18"/>
        </w:rPr>
        <w:t>, Volume 19, Number 10, 2019,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Pages </w:t>
      </w:r>
      <w:r>
        <w:rPr>
          <w:spacing w:val="-2"/>
          <w:w w:val="110"/>
          <w:sz w:val="18"/>
        </w:rPr>
        <w:t>1659–1672.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“Clearing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up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Multiplier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Morass,"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Leeper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Nora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Traum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American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Review</w:t>
      </w:r>
      <w:r>
        <w:rPr>
          <w:w w:val="110"/>
          <w:sz w:val="18"/>
        </w:rPr>
        <w:t>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107,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Number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8,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August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2017,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2409–2454.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“Informational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Stability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Rational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Expectations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Equilibria,"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Rondina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Review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w w:val="110"/>
          <w:sz w:val="18"/>
        </w:rPr>
        <w:t>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21,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July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2016,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147–159.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spacing w:val="-2"/>
          <w:w w:val="115"/>
          <w:sz w:val="18"/>
        </w:rPr>
        <w:t>“Taking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Financial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Frictions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to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the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Data,"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with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Hyunduk</w:t>
      </w:r>
      <w:r>
        <w:rPr>
          <w:spacing w:val="-4"/>
          <w:w w:val="115"/>
          <w:sz w:val="18"/>
        </w:rPr>
        <w:t> </w:t>
      </w:r>
      <w:r>
        <w:rPr>
          <w:spacing w:val="-5"/>
          <w:w w:val="115"/>
          <w:sz w:val="18"/>
        </w:rPr>
        <w:t>Suh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Control</w:t>
      </w:r>
      <w:r>
        <w:rPr>
          <w:w w:val="110"/>
          <w:sz w:val="18"/>
        </w:rPr>
        <w:t>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64,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March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2016,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39–65.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“Solving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Generalized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Multivariate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Linear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Rational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Expectations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Models,"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Fei</w:t>
      </w:r>
      <w:r>
        <w:rPr>
          <w:spacing w:val="6"/>
          <w:w w:val="110"/>
          <w:sz w:val="18"/>
        </w:rPr>
        <w:t> </w:t>
      </w:r>
      <w:r>
        <w:rPr>
          <w:spacing w:val="-5"/>
          <w:w w:val="110"/>
          <w:sz w:val="18"/>
        </w:rPr>
        <w:t>Tan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Control</w:t>
      </w:r>
      <w:r>
        <w:rPr>
          <w:w w:val="110"/>
          <w:sz w:val="18"/>
        </w:rPr>
        <w:t>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60,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November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2015,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2"/>
          <w:w w:val="110"/>
          <w:sz w:val="18"/>
        </w:rPr>
        <w:t> 95–111.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“Anchoring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Experimental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Asset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Markets,"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Sascha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Baghestanian</w:t>
      </w:r>
    </w:p>
    <w:p>
      <w:pPr>
        <w:spacing w:before="33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Behavior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&amp;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Organization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116,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August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2015,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15–25.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“Heterogeneous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Beliefs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Tests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Present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Value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Models,"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Ken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Kasa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Charles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H.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Whiteman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Review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Studies</w:t>
      </w:r>
      <w:r>
        <w:rPr>
          <w:w w:val="110"/>
          <w:sz w:val="18"/>
        </w:rPr>
        <w:t>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81,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3,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July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2014,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1137–1163.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“Accuracy,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Speed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Robustness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Policy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Function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Iteration,"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Alex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Richter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Nate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Throckmorton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Computational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44,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December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2014,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4,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445–476.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“Fiscal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Foresight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Flows,"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Leeper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Shu-Chun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Susan</w:t>
      </w:r>
      <w:r>
        <w:rPr>
          <w:spacing w:val="9"/>
          <w:w w:val="110"/>
          <w:sz w:val="18"/>
        </w:rPr>
        <w:t> </w:t>
      </w:r>
      <w:r>
        <w:rPr>
          <w:spacing w:val="-4"/>
          <w:w w:val="110"/>
          <w:sz w:val="18"/>
        </w:rPr>
        <w:t>Yang</w:t>
      </w:r>
    </w:p>
    <w:p>
      <w:pPr>
        <w:pStyle w:val="BodyText"/>
        <w:spacing w:before="32"/>
        <w:ind w:left="498"/>
      </w:pPr>
      <w:r>
        <w:rPr>
          <w:i/>
          <w:w w:val="110"/>
        </w:rPr>
        <w:t>Econometrica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Volume</w:t>
      </w:r>
      <w:r>
        <w:rPr>
          <w:spacing w:val="-8"/>
          <w:w w:val="110"/>
        </w:rPr>
        <w:t> </w:t>
      </w:r>
      <w:r>
        <w:rPr>
          <w:w w:val="110"/>
        </w:rPr>
        <w:t>81,</w:t>
      </w:r>
      <w:r>
        <w:rPr>
          <w:spacing w:val="-9"/>
          <w:w w:val="110"/>
        </w:rPr>
        <w:t> </w:t>
      </w:r>
      <w:r>
        <w:rPr>
          <w:w w:val="110"/>
        </w:rPr>
        <w:t>Issue</w:t>
      </w:r>
      <w:r>
        <w:rPr>
          <w:spacing w:val="-8"/>
          <w:w w:val="110"/>
        </w:rPr>
        <w:t> </w:t>
      </w:r>
      <w:r>
        <w:rPr>
          <w:w w:val="110"/>
        </w:rPr>
        <w:t>3,</w:t>
      </w:r>
      <w:r>
        <w:rPr>
          <w:spacing w:val="-9"/>
          <w:w w:val="110"/>
        </w:rPr>
        <w:t> </w:t>
      </w:r>
      <w:r>
        <w:rPr>
          <w:w w:val="110"/>
        </w:rPr>
        <w:t>May</w:t>
      </w:r>
      <w:r>
        <w:rPr>
          <w:spacing w:val="-8"/>
          <w:w w:val="110"/>
        </w:rPr>
        <w:t> </w:t>
      </w:r>
      <w:r>
        <w:rPr>
          <w:w w:val="110"/>
        </w:rPr>
        <w:t>2013,</w:t>
      </w:r>
      <w:r>
        <w:rPr>
          <w:spacing w:val="-8"/>
          <w:w w:val="110"/>
        </w:rPr>
        <w:t> </w:t>
      </w:r>
      <w:r>
        <w:rPr>
          <w:w w:val="110"/>
        </w:rPr>
        <w:t>Pages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1115–1146.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Note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Futia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(1981)’s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Non-Existence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Pathology,"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Rondina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Economics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8"/>
        </w:rPr>
        <w:t>Letters</w:t>
      </w:r>
      <w:r>
        <w:rPr>
          <w:w w:val="110"/>
          <w:sz w:val="18"/>
        </w:rPr>
        <w:t>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120,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2,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August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2013,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11"/>
          <w:w w:val="110"/>
          <w:sz w:val="18"/>
        </w:rPr>
        <w:t> </w:t>
      </w:r>
      <w:r>
        <w:rPr>
          <w:spacing w:val="-2"/>
          <w:w w:val="110"/>
          <w:sz w:val="18"/>
        </w:rPr>
        <w:t>177–180.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“Disparity,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Shortfall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Twice-Endogenous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HARA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Utility,"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Ryan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Haley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Kevin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McGee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Econometric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Reviews</w:t>
      </w:r>
      <w:r>
        <w:rPr>
          <w:w w:val="110"/>
          <w:sz w:val="18"/>
        </w:rPr>
        <w:t>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32,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4,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March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2013,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524–541.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“Quantitative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Effects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Foresight,"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Leeper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Alexander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W.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Richter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American</w:t>
      </w:r>
      <w:r>
        <w:rPr>
          <w:i/>
          <w:spacing w:val="-11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Journal: Economic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Policy</w:t>
      </w:r>
      <w:r>
        <w:rPr>
          <w:w w:val="110"/>
          <w:sz w:val="18"/>
        </w:rPr>
        <w:t>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4,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2,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May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2012,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115–144.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“Fiscal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Limits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Advanced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Economies,"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Leeper,</w:t>
      </w:r>
    </w:p>
    <w:p>
      <w:pPr>
        <w:pStyle w:val="BodyText"/>
        <w:spacing w:before="32"/>
        <w:ind w:left="498"/>
      </w:pPr>
      <w:r>
        <w:rPr>
          <w:i/>
          <w:w w:val="110"/>
        </w:rPr>
        <w:t>Economic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Papers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Special</w:t>
      </w:r>
      <w:r>
        <w:rPr>
          <w:spacing w:val="-9"/>
          <w:w w:val="110"/>
        </w:rPr>
        <w:t> </w:t>
      </w:r>
      <w:r>
        <w:rPr>
          <w:w w:val="110"/>
        </w:rPr>
        <w:t>Issue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Monetary-Fiscal</w:t>
      </w:r>
      <w:r>
        <w:rPr>
          <w:spacing w:val="-8"/>
          <w:w w:val="110"/>
        </w:rPr>
        <w:t> </w:t>
      </w:r>
      <w:r>
        <w:rPr>
          <w:w w:val="110"/>
        </w:rPr>
        <w:t>Policy,</w:t>
      </w:r>
      <w:r>
        <w:rPr>
          <w:spacing w:val="-9"/>
          <w:w w:val="110"/>
        </w:rPr>
        <w:t> </w:t>
      </w:r>
      <w:r>
        <w:rPr>
          <w:w w:val="110"/>
        </w:rPr>
        <w:t>Vol.</w:t>
      </w:r>
      <w:r>
        <w:rPr>
          <w:spacing w:val="1"/>
          <w:w w:val="110"/>
        </w:rPr>
        <w:t> </w:t>
      </w:r>
      <w:r>
        <w:rPr>
          <w:w w:val="110"/>
        </w:rPr>
        <w:t>30,</w:t>
      </w:r>
      <w:r>
        <w:rPr>
          <w:spacing w:val="-9"/>
          <w:w w:val="110"/>
        </w:rPr>
        <w:t> </w:t>
      </w:r>
      <w:r>
        <w:rPr>
          <w:w w:val="110"/>
        </w:rPr>
        <w:t>Issue</w:t>
      </w:r>
      <w:r>
        <w:rPr>
          <w:spacing w:val="-9"/>
          <w:w w:val="110"/>
        </w:rPr>
        <w:t> </w:t>
      </w:r>
      <w:r>
        <w:rPr>
          <w:w w:val="110"/>
        </w:rPr>
        <w:t>1,</w:t>
      </w:r>
      <w:r>
        <w:rPr>
          <w:spacing w:val="-9"/>
          <w:w w:val="110"/>
        </w:rPr>
        <w:t> </w:t>
      </w:r>
      <w:r>
        <w:rPr>
          <w:w w:val="110"/>
        </w:rPr>
        <w:t>March</w:t>
      </w:r>
      <w:r>
        <w:rPr>
          <w:spacing w:val="-9"/>
          <w:w w:val="110"/>
        </w:rPr>
        <w:t> </w:t>
      </w:r>
      <w:r>
        <w:rPr>
          <w:w w:val="110"/>
        </w:rPr>
        <w:t>2011,</w:t>
      </w:r>
      <w:r>
        <w:rPr>
          <w:spacing w:val="-8"/>
          <w:w w:val="110"/>
        </w:rPr>
        <w:t> </w:t>
      </w:r>
      <w:r>
        <w:rPr>
          <w:w w:val="110"/>
        </w:rPr>
        <w:t>Pg.</w:t>
      </w:r>
      <w:r>
        <w:rPr>
          <w:spacing w:val="1"/>
          <w:w w:val="110"/>
        </w:rPr>
        <w:t> </w:t>
      </w:r>
      <w:r>
        <w:rPr>
          <w:w w:val="110"/>
        </w:rPr>
        <w:t>33-</w:t>
      </w:r>
      <w:r>
        <w:rPr>
          <w:spacing w:val="-5"/>
          <w:w w:val="110"/>
        </w:rPr>
        <w:t>47.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“Information Flows and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News Driven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Business Cycles,"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with Eric M.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Leeper,</w:t>
      </w:r>
    </w:p>
    <w:p>
      <w:pPr>
        <w:spacing w:before="33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Review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w w:val="110"/>
          <w:sz w:val="18"/>
        </w:rPr>
        <w:t>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14,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1,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January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2011,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55–71.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“Inflation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Limit,"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Troy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Davig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Leeper,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European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Review</w:t>
      </w:r>
      <w:r>
        <w:rPr>
          <w:w w:val="110"/>
          <w:sz w:val="18"/>
        </w:rPr>
        <w:t>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55,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1,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January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2011,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31-</w:t>
      </w:r>
      <w:r>
        <w:rPr>
          <w:spacing w:val="-5"/>
          <w:w w:val="110"/>
          <w:sz w:val="18"/>
        </w:rPr>
        <w:t>47.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Rooney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Rule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Minority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Hiring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NFL,"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Ben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Solow and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John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L.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Solow,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Labour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18,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3,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June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2011,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332-</w:t>
      </w:r>
      <w:r>
        <w:rPr>
          <w:spacing w:val="-4"/>
          <w:w w:val="110"/>
          <w:sz w:val="18"/>
        </w:rPr>
        <w:t>337.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“Alternative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Tilts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Nonparametric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Option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Pricing,"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Ryan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Haley,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Futures</w:t>
      </w:r>
      <w:r>
        <w:rPr>
          <w:i/>
          <w:spacing w:val="-8"/>
          <w:w w:val="110"/>
          <w:sz w:val="18"/>
        </w:rPr>
        <w:t> </w:t>
      </w:r>
      <w:r>
        <w:rPr>
          <w:i/>
          <w:w w:val="110"/>
          <w:sz w:val="18"/>
        </w:rPr>
        <w:t>Markets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30,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10,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October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2010,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983-</w:t>
      </w:r>
      <w:r>
        <w:rPr>
          <w:spacing w:val="-4"/>
          <w:w w:val="110"/>
          <w:sz w:val="18"/>
        </w:rPr>
        <w:t>1006.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“Unfunded</w:t>
      </w:r>
      <w:r>
        <w:rPr>
          <w:spacing w:val="4"/>
          <w:w w:val="110"/>
          <w:sz w:val="18"/>
        </w:rPr>
        <w:t> </w:t>
      </w:r>
      <w:r>
        <w:rPr>
          <w:w w:val="110"/>
          <w:sz w:val="18"/>
        </w:rPr>
        <w:t>Liabilities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Uncertain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Financing,"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Troy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Davig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Leeper,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11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Monetary</w:t>
      </w:r>
      <w:r>
        <w:rPr>
          <w:i/>
          <w:spacing w:val="-10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57,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5,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July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2010,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600-</w:t>
      </w:r>
      <w:r>
        <w:rPr>
          <w:spacing w:val="-4"/>
          <w:w w:val="110"/>
          <w:sz w:val="18"/>
        </w:rPr>
        <w:t>619.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spacing w:val="-2"/>
          <w:w w:val="115"/>
          <w:sz w:val="18"/>
        </w:rPr>
        <w:t>“Government Investment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Fiscal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Stimulus,"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with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Eric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M.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Leeper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Shu-Chun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Susan</w:t>
      </w:r>
      <w:r>
        <w:rPr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Yang,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4"/>
          <w:w w:val="110"/>
          <w:sz w:val="18"/>
        </w:rPr>
        <w:t> </w:t>
      </w:r>
      <w:r>
        <w:rPr>
          <w:i/>
          <w:w w:val="110"/>
          <w:sz w:val="18"/>
        </w:rPr>
        <w:t>Monetary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57,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8,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November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2010.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“How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Equilibrium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Prices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Reveal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Models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Disparately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Informed,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Competitive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Traders,"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Journal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Theory</w:t>
      </w:r>
      <w:r>
        <w:rPr>
          <w:w w:val="110"/>
          <w:sz w:val="18"/>
        </w:rPr>
        <w:t>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137,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1,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November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2007,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512-</w:t>
      </w:r>
      <w:r>
        <w:rPr>
          <w:spacing w:val="-4"/>
          <w:w w:val="110"/>
          <w:sz w:val="18"/>
        </w:rPr>
        <w:t>537.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80" w:after="0"/>
        <w:ind w:left="496" w:right="0" w:hanging="341"/>
        <w:jc w:val="left"/>
        <w:rPr>
          <w:sz w:val="18"/>
        </w:rPr>
      </w:pPr>
      <w:r>
        <w:rPr>
          <w:w w:val="110"/>
          <w:sz w:val="18"/>
        </w:rPr>
        <w:t>“Multiple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Equilibria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Simple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Asset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Pricing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Model,"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Charles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H.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Whiteman,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Economics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Letters</w:t>
      </w:r>
      <w:r>
        <w:rPr>
          <w:w w:val="110"/>
          <w:sz w:val="18"/>
        </w:rPr>
        <w:t>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97,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Issue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3,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December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2007,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191-</w:t>
      </w:r>
      <w:r>
        <w:rPr>
          <w:spacing w:val="-4"/>
          <w:w w:val="110"/>
          <w:sz w:val="18"/>
        </w:rPr>
        <w:t>196.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805" w:top="1400" w:bottom="1000" w:left="1440" w:right="1080"/>
        </w:sectPr>
      </w:pPr>
    </w:p>
    <w:p>
      <w:pPr>
        <w:pStyle w:val="Heading1"/>
        <w:spacing w:before="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252387</wp:posOffset>
                </wp:positionV>
                <wp:extent cx="620014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2pt,19.872999pt" to="560.169pt,19.872999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Book</w:t>
      </w:r>
      <w:r>
        <w:rPr>
          <w:spacing w:val="-4"/>
        </w:rPr>
        <w:t> </w:t>
      </w:r>
      <w:r>
        <w:rPr/>
        <w:t>Chapters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Publications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2"/>
        </w:rPr>
        <w:t>Pieces</w:t>
      </w:r>
    </w:p>
    <w:p>
      <w:pPr>
        <w:pStyle w:val="BodyText"/>
        <w:spacing w:before="88"/>
        <w:ind w:left="0"/>
        <w:rPr>
          <w:rFonts w:ascii="Cambria"/>
          <w:b/>
        </w:rPr>
      </w:pP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0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“Perceptions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Misperceptions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Inflation,"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Leeper</w:t>
      </w:r>
    </w:p>
    <w:p>
      <w:pPr>
        <w:pStyle w:val="BodyText"/>
        <w:spacing w:line="278" w:lineRule="auto" w:before="33"/>
        <w:ind w:left="498"/>
      </w:pPr>
      <w:r>
        <w:rPr>
          <w:w w:val="110"/>
        </w:rPr>
        <w:t>in “Fiscal Policy after the Financial Crisis," edited by A. Alesina and F. Giavazzi.</w:t>
      </w:r>
      <w:r>
        <w:rPr>
          <w:spacing w:val="19"/>
          <w:w w:val="110"/>
        </w:rPr>
        <w:t> </w:t>
      </w:r>
      <w:r>
        <w:rPr>
          <w:w w:val="110"/>
        </w:rPr>
        <w:t>University of Chicago Press, Chicago,</w:t>
      </w:r>
      <w:r>
        <w:rPr>
          <w:spacing w:val="-8"/>
          <w:w w:val="110"/>
        </w:rPr>
        <w:t> </w:t>
      </w:r>
      <w:r>
        <w:rPr>
          <w:w w:val="110"/>
        </w:rPr>
        <w:t>2012.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157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“Inflation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Targeting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Emerging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Economies,"</w:t>
      </w:r>
    </w:p>
    <w:p>
      <w:pPr>
        <w:spacing w:before="32"/>
        <w:ind w:left="498" w:right="0" w:firstLine="0"/>
        <w:jc w:val="left"/>
        <w:rPr>
          <w:sz w:val="18"/>
        </w:rPr>
      </w:pPr>
      <w:r>
        <w:rPr>
          <w:i/>
          <w:w w:val="110"/>
          <w:sz w:val="18"/>
        </w:rPr>
        <w:t>Politica</w:t>
      </w:r>
      <w:r>
        <w:rPr>
          <w:i/>
          <w:spacing w:val="-5"/>
          <w:w w:val="110"/>
          <w:sz w:val="18"/>
        </w:rPr>
        <w:t> </w:t>
      </w:r>
      <w:r>
        <w:rPr>
          <w:i/>
          <w:w w:val="110"/>
          <w:sz w:val="18"/>
        </w:rPr>
        <w:t>Economica</w:t>
      </w:r>
      <w:r>
        <w:rPr>
          <w:i/>
          <w:spacing w:val="-5"/>
          <w:w w:val="110"/>
          <w:sz w:val="18"/>
        </w:rPr>
        <w:t> </w:t>
      </w:r>
      <w:r>
        <w:rPr>
          <w:w w:val="110"/>
          <w:sz w:val="18"/>
        </w:rPr>
        <w:t>(Special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Issue),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36,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Number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1,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2018,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-4"/>
          <w:w w:val="110"/>
          <w:sz w:val="18"/>
        </w:rPr>
        <w:t> 7–20.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78" w:lineRule="auto" w:before="191" w:after="0"/>
        <w:ind w:left="498" w:right="2955" w:hanging="246"/>
        <w:jc w:val="left"/>
        <w:rPr>
          <w:sz w:val="18"/>
        </w:rPr>
      </w:pPr>
      <w:r>
        <w:rPr>
          <w:w w:val="110"/>
          <w:sz w:val="18"/>
        </w:rPr>
        <w:t>U.S. Senate Budget Committee Hearing on Expanding Housing Affordability </w:t>
      </w:r>
      <w:r>
        <w:rPr>
          <w:w w:val="115"/>
          <w:sz w:val="18"/>
        </w:rPr>
        <w:t>January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2024</w:t>
      </w:r>
    </w:p>
    <w:p>
      <w:pPr>
        <w:pStyle w:val="BodyText"/>
        <w:spacing w:before="148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208411</wp:posOffset>
                </wp:positionV>
                <wp:extent cx="620014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2pt,16.410328pt" to="560.169pt,16.410328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Working</w:t>
      </w:r>
      <w:r>
        <w:rPr>
          <w:spacing w:val="3"/>
        </w:rPr>
        <w:t> </w:t>
      </w:r>
      <w:r>
        <w:rPr>
          <w:spacing w:val="-2"/>
        </w:rPr>
        <w:t>Papers</w:t>
      </w:r>
    </w:p>
    <w:p>
      <w:pPr>
        <w:pStyle w:val="BodyText"/>
        <w:spacing w:before="128"/>
        <w:ind w:left="0"/>
        <w:rPr>
          <w:rFonts w:ascii="Cambria"/>
          <w:b/>
        </w:rPr>
      </w:pP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78" w:lineRule="auto" w:before="0" w:after="0"/>
        <w:ind w:left="498" w:right="358" w:hanging="246"/>
        <w:jc w:val="left"/>
        <w:rPr>
          <w:sz w:val="18"/>
        </w:rPr>
      </w:pPr>
      <w:r>
        <w:rPr>
          <w:w w:val="115"/>
          <w:sz w:val="18"/>
        </w:rPr>
        <w:t>“Some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Pitfalls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Instrument-Based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Infererence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Structural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VARs,” with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Christian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Matthes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Vladimir </w:t>
      </w:r>
      <w:r>
        <w:rPr>
          <w:spacing w:val="-2"/>
          <w:w w:val="115"/>
          <w:sz w:val="18"/>
        </w:rPr>
        <w:t>Menshikov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</w:tabs>
        <w:spacing w:line="240" w:lineRule="auto" w:before="157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“A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Simple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Alternative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VIX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Understanding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Macro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Uncertainty”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</w:tabs>
        <w:spacing w:line="240" w:lineRule="auto" w:before="192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“Retail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CBDCs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practice: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experience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SandDollar,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e-CNY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JAM-DEX,”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-5"/>
          <w:w w:val="110"/>
          <w:sz w:val="18"/>
        </w:rPr>
        <w:t> al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</w:tabs>
        <w:spacing w:line="240" w:lineRule="auto" w:before="191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“Dispersed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Hierarchical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Equivalence,”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Rondina</w:t>
      </w:r>
    </w:p>
    <w:p>
      <w:pPr>
        <w:pStyle w:val="Heading1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328875</wp:posOffset>
                </wp:positionV>
                <wp:extent cx="620014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2pt,25.895739pt" to="560.169pt,25.895739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NBER</w:t>
      </w:r>
      <w:r>
        <w:rPr>
          <w:spacing w:val="4"/>
        </w:rPr>
        <w:t> </w:t>
      </w:r>
      <w:r>
        <w:rPr/>
        <w:t>Working</w:t>
      </w:r>
      <w:r>
        <w:rPr>
          <w:spacing w:val="4"/>
        </w:rPr>
        <w:t> </w:t>
      </w:r>
      <w:r>
        <w:rPr>
          <w:spacing w:val="-2"/>
        </w:rPr>
        <w:t>Papers</w:t>
      </w:r>
    </w:p>
    <w:p>
      <w:pPr>
        <w:pStyle w:val="BodyText"/>
        <w:spacing w:before="129"/>
        <w:ind w:left="0"/>
        <w:rPr>
          <w:rFonts w:ascii="Cambria"/>
          <w:b/>
        </w:rPr>
      </w:pP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0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“Clearing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Up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Multiplier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Morass,”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NBER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Working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Paper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No.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17444,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Leeper,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Nora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Traum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91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“Perceptions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Misperceptions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Fiscal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Inflation,”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NBER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Working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Paper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No.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17903,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Eric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2"/>
          <w:w w:val="110"/>
          <w:sz w:val="18"/>
        </w:rPr>
        <w:t> Leeper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78" w:lineRule="auto" w:before="192" w:after="0"/>
        <w:ind w:left="498" w:right="358" w:hanging="246"/>
        <w:jc w:val="left"/>
        <w:rPr>
          <w:sz w:val="18"/>
        </w:rPr>
      </w:pPr>
      <w:r>
        <w:rPr>
          <w:w w:val="115"/>
          <w:sz w:val="18"/>
        </w:rPr>
        <w:t>“Clearing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Up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Fiscal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Multiplier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Morass:</w:t>
      </w:r>
      <w:r>
        <w:rPr>
          <w:w w:val="115"/>
          <w:sz w:val="18"/>
        </w:rPr>
        <w:t> Prior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Posterior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Analysis,”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NBER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Working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Paper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No.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21433, with Eric M. Leeper and Nora Traum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78" w:lineRule="auto" w:before="157" w:after="0"/>
        <w:ind w:left="498" w:right="357" w:hanging="246"/>
        <w:jc w:val="left"/>
        <w:rPr>
          <w:sz w:val="18"/>
        </w:rPr>
      </w:pPr>
      <w:r>
        <w:rPr>
          <w:w w:val="115"/>
          <w:sz w:val="18"/>
        </w:rPr>
        <w:t>“Foresight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Information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Flows,”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NBER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Working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Paper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No.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16951,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Eric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M.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Leeper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Shu-Chun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Susan </w:t>
      </w:r>
      <w:r>
        <w:rPr>
          <w:spacing w:val="-4"/>
          <w:w w:val="115"/>
          <w:sz w:val="18"/>
        </w:rPr>
        <w:t>Yang</w:t>
      </w:r>
    </w:p>
    <w:p>
      <w:pPr>
        <w:pStyle w:val="BodyText"/>
        <w:spacing w:before="188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207939</wp:posOffset>
                </wp:positionV>
                <wp:extent cx="620014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72pt,16.373188pt" to="560.169pt,16.373188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Grants</w:t>
      </w:r>
    </w:p>
    <w:p>
      <w:pPr>
        <w:pStyle w:val="BodyText"/>
        <w:spacing w:before="128"/>
        <w:ind w:left="0"/>
        <w:rPr>
          <w:rFonts w:ascii="Cambria"/>
          <w:b/>
        </w:rPr>
      </w:pPr>
    </w:p>
    <w:p>
      <w:pPr>
        <w:pStyle w:val="ListParagraph"/>
        <w:numPr>
          <w:ilvl w:val="0"/>
          <w:numId w:val="5"/>
        </w:numPr>
        <w:tabs>
          <w:tab w:pos="496" w:val="left" w:leader="none"/>
        </w:tabs>
        <w:spacing w:line="240" w:lineRule="auto" w:before="0" w:after="0"/>
        <w:ind w:left="496" w:right="0" w:hanging="244"/>
        <w:jc w:val="left"/>
        <w:rPr>
          <w:sz w:val="18"/>
        </w:rPr>
      </w:pPr>
      <w:r>
        <w:rPr>
          <w:w w:val="110"/>
          <w:sz w:val="18"/>
        </w:rPr>
        <w:t>NSF: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2010–2013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Incomplete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Dynamic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Economies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(Co-PI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Giacomo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Rondina)</w:t>
      </w: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208248</wp:posOffset>
                </wp:positionV>
                <wp:extent cx="620014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2pt,16.397558pt" to="560.169pt,16.397558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Google</w:t>
      </w:r>
      <w:r>
        <w:rPr>
          <w:spacing w:val="3"/>
        </w:rPr>
        <w:t> </w:t>
      </w:r>
      <w:r>
        <w:rPr/>
        <w:t>Scholar</w:t>
      </w:r>
      <w:r>
        <w:rPr>
          <w:spacing w:val="4"/>
        </w:rPr>
        <w:t> </w:t>
      </w:r>
      <w:r>
        <w:rPr/>
        <w:t>Statistics</w:t>
      </w:r>
      <w:r>
        <w:rPr>
          <w:spacing w:val="3"/>
        </w:rPr>
        <w:t> </w:t>
      </w:r>
      <w:r>
        <w:rPr/>
        <w:t>(November</w:t>
      </w:r>
      <w:r>
        <w:rPr>
          <w:spacing w:val="4"/>
        </w:rPr>
        <w:t> </w:t>
      </w:r>
      <w:r>
        <w:rPr>
          <w:spacing w:val="-2"/>
        </w:rPr>
        <w:t>2025)</w:t>
      </w:r>
    </w:p>
    <w:p>
      <w:pPr>
        <w:pStyle w:val="ListParagraph"/>
        <w:numPr>
          <w:ilvl w:val="0"/>
          <w:numId w:val="6"/>
        </w:numPr>
        <w:tabs>
          <w:tab w:pos="134" w:val="left" w:leader="none"/>
        </w:tabs>
        <w:spacing w:line="258" w:lineRule="exact" w:before="171" w:after="0"/>
        <w:ind w:left="134" w:right="0" w:hanging="134"/>
        <w:jc w:val="left"/>
        <w:rPr>
          <w:sz w:val="18"/>
        </w:rPr>
      </w:pPr>
      <w:r>
        <w:rPr>
          <w:w w:val="110"/>
          <w:sz w:val="18"/>
        </w:rPr>
        <w:t>Citations:</w:t>
      </w:r>
      <w:r>
        <w:rPr>
          <w:spacing w:val="27"/>
          <w:w w:val="110"/>
          <w:sz w:val="18"/>
        </w:rPr>
        <w:t> </w:t>
      </w:r>
      <w:r>
        <w:rPr>
          <w:spacing w:val="-4"/>
          <w:w w:val="110"/>
          <w:sz w:val="18"/>
        </w:rPr>
        <w:t>3851</w:t>
      </w:r>
    </w:p>
    <w:p>
      <w:pPr>
        <w:pStyle w:val="ListParagraph"/>
        <w:numPr>
          <w:ilvl w:val="0"/>
          <w:numId w:val="6"/>
        </w:numPr>
        <w:tabs>
          <w:tab w:pos="134" w:val="left" w:leader="none"/>
        </w:tabs>
        <w:spacing w:line="239" w:lineRule="exact" w:before="0" w:after="0"/>
        <w:ind w:left="134" w:right="0" w:hanging="134"/>
        <w:jc w:val="left"/>
        <w:rPr>
          <w:sz w:val="18"/>
        </w:rPr>
      </w:pPr>
      <w:r>
        <w:rPr>
          <w:w w:val="115"/>
          <w:sz w:val="18"/>
        </w:rPr>
        <w:t>h-index</w:t>
      </w:r>
      <w:r>
        <w:rPr>
          <w:spacing w:val="-6"/>
          <w:w w:val="115"/>
          <w:sz w:val="18"/>
        </w:rPr>
        <w:t> </w:t>
      </w:r>
      <w:r>
        <w:rPr>
          <w:spacing w:val="-5"/>
          <w:w w:val="115"/>
          <w:sz w:val="18"/>
        </w:rPr>
        <w:t>22</w:t>
      </w:r>
    </w:p>
    <w:p>
      <w:pPr>
        <w:pStyle w:val="ListParagraph"/>
        <w:numPr>
          <w:ilvl w:val="0"/>
          <w:numId w:val="6"/>
        </w:numPr>
        <w:tabs>
          <w:tab w:pos="134" w:val="left" w:leader="none"/>
        </w:tabs>
        <w:spacing w:line="258" w:lineRule="exact" w:before="0" w:after="0"/>
        <w:ind w:left="134" w:right="0" w:hanging="134"/>
        <w:jc w:val="left"/>
        <w:rPr>
          <w:sz w:val="18"/>
        </w:rPr>
      </w:pPr>
      <w:r>
        <w:rPr>
          <w:w w:val="110"/>
          <w:sz w:val="18"/>
        </w:rPr>
        <w:t>i10-index</w:t>
      </w:r>
      <w:r>
        <w:rPr>
          <w:spacing w:val="7"/>
          <w:w w:val="110"/>
          <w:sz w:val="18"/>
        </w:rPr>
        <w:t> </w:t>
      </w:r>
      <w:r>
        <w:rPr>
          <w:spacing w:val="-5"/>
          <w:w w:val="110"/>
          <w:sz w:val="18"/>
        </w:rPr>
        <w:t>28</w:t>
      </w:r>
    </w:p>
    <w:p>
      <w:pPr>
        <w:pStyle w:val="Heading1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315963</wp:posOffset>
                </wp:positionV>
                <wp:extent cx="620014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72pt,24.878984pt" to="560.169pt,24.878984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Dissertation Supervision:</w:t>
      </w:r>
      <w:r>
        <w:rPr>
          <w:spacing w:val="12"/>
        </w:rPr>
        <w:t> </w:t>
      </w:r>
      <w:r>
        <w:rPr/>
        <w:t>Advisor</w:t>
      </w:r>
      <w:r>
        <w:rPr>
          <w:spacing w:val="1"/>
        </w:rPr>
        <w:t> </w:t>
      </w:r>
      <w:r>
        <w:rPr/>
        <w:t>/ Co-</w:t>
      </w:r>
      <w:r>
        <w:rPr>
          <w:spacing w:val="-2"/>
        </w:rPr>
        <w:t>Advisor</w:t>
      </w:r>
    </w:p>
    <w:p>
      <w:pPr>
        <w:spacing w:line="285" w:lineRule="auto" w:before="179"/>
        <w:ind w:left="0" w:right="358" w:firstLine="0"/>
        <w:jc w:val="both"/>
        <w:rPr>
          <w:sz w:val="16"/>
        </w:rPr>
      </w:pPr>
      <w:r>
        <w:rPr>
          <w:w w:val="110"/>
          <w:sz w:val="16"/>
        </w:rPr>
        <w:t>Alexander Richter, 2012 (Dallas Federal Reserve); Joonyoung Hur, 2012 (Bank of Korea); Manuel Gonzalez-Astudillo, 2012 (Fed- </w:t>
      </w:r>
      <w:r>
        <w:rPr>
          <w:w w:val="115"/>
          <w:sz w:val="16"/>
        </w:rPr>
        <w:t>eral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Reserve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Board);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Wenyi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Shen,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2013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(Oklahoma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State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University);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Hyunduk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Suh,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2013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(Inha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University);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Nathaniel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Throck- morton,</w:t>
      </w:r>
      <w:r>
        <w:rPr>
          <w:w w:val="115"/>
          <w:sz w:val="16"/>
        </w:rPr>
        <w:t> 2014 (William and Mary);</w:t>
      </w:r>
      <w:r>
        <w:rPr>
          <w:w w:val="115"/>
          <w:sz w:val="16"/>
        </w:rPr>
        <w:t> Fei Tan,</w:t>
      </w:r>
      <w:r>
        <w:rPr>
          <w:w w:val="115"/>
          <w:sz w:val="16"/>
        </w:rPr>
        <w:t> 2015 (St.</w:t>
      </w:r>
      <w:r>
        <w:rPr>
          <w:spacing w:val="40"/>
          <w:w w:val="115"/>
          <w:sz w:val="16"/>
        </w:rPr>
        <w:t> </w:t>
      </w:r>
      <w:r>
        <w:rPr>
          <w:w w:val="115"/>
          <w:sz w:val="16"/>
        </w:rPr>
        <w:t>Louis University);</w:t>
      </w:r>
      <w:r>
        <w:rPr>
          <w:w w:val="115"/>
          <w:sz w:val="16"/>
        </w:rPr>
        <w:t> Zhao Han,</w:t>
      </w:r>
      <w:r>
        <w:rPr>
          <w:w w:val="115"/>
          <w:sz w:val="16"/>
        </w:rPr>
        <w:t> 2017 (William and Mary);</w:t>
      </w:r>
      <w:r>
        <w:rPr>
          <w:w w:val="115"/>
          <w:sz w:val="16"/>
        </w:rPr>
        <w:t> Takuji Fueki, 2017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(Bank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Japan);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Jieshuang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He,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2017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(Chinese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University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Hong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Kong);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Karsten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Chipeniuk,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2017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(Reserve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Bank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New Zealand);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Chen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Xu,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2018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(Shenzhen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MSU-BIT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University);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Yongquan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Cao,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2019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(International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Monetary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Fund);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Min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Berg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Cui, </w:t>
      </w:r>
      <w:r>
        <w:rPr>
          <w:w w:val="110"/>
          <w:sz w:val="16"/>
        </w:rPr>
        <w:t>2019 (T. Rowe Price); Margaret Jacobson, 2020 (Federal Reserve Board); Ruoyun Mao, 2020 (Grinnell College); Junjie Guo, 2020 (CUFE); Geeta Garg, 2021 (JP Morgan); Seokil Kang, 2022 (Bank of Korea); Rong Fan, 2023 (JP Morgan); Ryan Brun (Post Doc, </w:t>
      </w:r>
      <w:r>
        <w:rPr>
          <w:w w:val="115"/>
          <w:sz w:val="16"/>
        </w:rPr>
        <w:t>Seoul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National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University),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Vladimir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Menshikov,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Ellie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Cothren,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Nayoung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Lee</w:t>
      </w:r>
    </w:p>
    <w:p>
      <w:pPr>
        <w:spacing w:after="0" w:line="285" w:lineRule="auto"/>
        <w:jc w:val="both"/>
        <w:rPr>
          <w:sz w:val="16"/>
        </w:rPr>
        <w:sectPr>
          <w:pgSz w:w="12240" w:h="15840"/>
          <w:pgMar w:header="0" w:footer="805" w:top="1360" w:bottom="1000" w:left="1440" w:right="1080"/>
        </w:sectPr>
      </w:pPr>
    </w:p>
    <w:p>
      <w:pPr>
        <w:pStyle w:val="Heading1"/>
        <w:spacing w:before="70"/>
        <w:ind w:left="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227075</wp:posOffset>
                </wp:positionV>
                <wp:extent cx="620014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2pt,17.879999pt" to="560.169pt,17.879999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Courses</w:t>
      </w:r>
      <w:r>
        <w:rPr>
          <w:spacing w:val="12"/>
        </w:rPr>
        <w:t> </w:t>
      </w:r>
      <w:r>
        <w:rPr>
          <w:spacing w:val="-2"/>
        </w:rPr>
        <w:t>Taught</w:t>
      </w:r>
    </w:p>
    <w:p>
      <w:pPr>
        <w:spacing w:line="285" w:lineRule="auto" w:before="159"/>
        <w:ind w:left="0" w:right="1261" w:firstLine="0"/>
        <w:jc w:val="left"/>
        <w:rPr>
          <w:sz w:val="16"/>
        </w:rPr>
      </w:pPr>
      <w:r>
        <w:rPr>
          <w:i/>
          <w:w w:val="115"/>
          <w:sz w:val="16"/>
        </w:rPr>
        <w:t>Indiana University</w:t>
      </w:r>
      <w:r>
        <w:rPr>
          <w:i/>
          <w:spacing w:val="80"/>
          <w:w w:val="150"/>
          <w:sz w:val="16"/>
        </w:rPr>
        <w:t> </w:t>
      </w:r>
      <w:r>
        <w:rPr>
          <w:w w:val="115"/>
          <w:sz w:val="16"/>
        </w:rPr>
        <w:t>Graduate: Macroeconomic Theory I, Monetary Theory II, Macroeconometrics; Undergraduate: Sports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Economics,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Money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and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Banking,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Everyday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Economics,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Intermediate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Macroeconomics </w:t>
      </w:r>
      <w:r>
        <w:rPr>
          <w:i/>
          <w:w w:val="115"/>
          <w:sz w:val="16"/>
        </w:rPr>
        <w:t>Bonn Graduate School of Economics</w:t>
      </w:r>
      <w:r>
        <w:rPr>
          <w:w w:val="115"/>
          <w:sz w:val="16"/>
        </w:rPr>
        <w:t>, Applied Bayesian Econometrics</w:t>
      </w:r>
    </w:p>
    <w:p>
      <w:pPr>
        <w:spacing w:line="285" w:lineRule="auto" w:before="1"/>
        <w:ind w:left="0" w:right="160" w:firstLine="0"/>
        <w:jc w:val="left"/>
        <w:rPr>
          <w:sz w:val="16"/>
        </w:rPr>
      </w:pPr>
      <w:r>
        <w:rPr>
          <w:i/>
          <w:w w:val="115"/>
          <w:sz w:val="16"/>
        </w:rPr>
        <w:t>Bonn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Graduate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School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of</w:t>
      </w:r>
      <w:r>
        <w:rPr>
          <w:i/>
          <w:spacing w:val="-15"/>
          <w:w w:val="115"/>
          <w:sz w:val="16"/>
        </w:rPr>
        <w:t> </w:t>
      </w:r>
      <w:r>
        <w:rPr>
          <w:i/>
          <w:w w:val="115"/>
          <w:sz w:val="16"/>
        </w:rPr>
        <w:t>Economics</w:t>
      </w:r>
      <w:r>
        <w:rPr>
          <w:w w:val="115"/>
          <w:sz w:val="16"/>
        </w:rPr>
        <w:t>,</w:t>
      </w:r>
      <w:r>
        <w:rPr>
          <w:spacing w:val="-14"/>
          <w:w w:val="115"/>
          <w:sz w:val="16"/>
        </w:rPr>
        <w:t> </w:t>
      </w:r>
      <w:r>
        <w:rPr>
          <w:w w:val="115"/>
          <w:sz w:val="16"/>
        </w:rPr>
        <w:t>Incomplete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Information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in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Macro,</w:t>
      </w:r>
      <w:r>
        <w:rPr>
          <w:spacing w:val="-14"/>
          <w:w w:val="115"/>
          <w:sz w:val="16"/>
        </w:rPr>
        <w:t> </w:t>
      </w:r>
      <w:r>
        <w:rPr>
          <w:w w:val="115"/>
          <w:sz w:val="16"/>
        </w:rPr>
        <w:t>Linear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and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Nonlinear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Solution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Methods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for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DSGE</w:t>
      </w:r>
      <w:r>
        <w:rPr>
          <w:spacing w:val="-15"/>
          <w:w w:val="115"/>
          <w:sz w:val="16"/>
        </w:rPr>
        <w:t> </w:t>
      </w:r>
      <w:r>
        <w:rPr>
          <w:w w:val="115"/>
          <w:sz w:val="16"/>
        </w:rPr>
        <w:t>Mod- </w:t>
      </w:r>
      <w:r>
        <w:rPr>
          <w:w w:val="120"/>
          <w:sz w:val="16"/>
        </w:rPr>
        <w:t>els,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Monetary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and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Fiscal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Policy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Interactions,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Monetary</w:t>
      </w:r>
      <w:r>
        <w:rPr>
          <w:spacing w:val="-12"/>
          <w:w w:val="120"/>
          <w:sz w:val="16"/>
        </w:rPr>
        <w:t> </w:t>
      </w:r>
      <w:r>
        <w:rPr>
          <w:w w:val="120"/>
          <w:sz w:val="16"/>
        </w:rPr>
        <w:t>Theory</w:t>
      </w:r>
    </w:p>
    <w:p>
      <w:pPr>
        <w:spacing w:line="285" w:lineRule="auto" w:before="0"/>
        <w:ind w:left="0" w:right="6091" w:firstLine="0"/>
        <w:jc w:val="left"/>
        <w:rPr>
          <w:sz w:val="16"/>
        </w:rPr>
      </w:pPr>
      <w:r>
        <w:rPr>
          <w:i/>
          <w:w w:val="115"/>
          <w:sz w:val="16"/>
        </w:rPr>
        <w:t>Bank of Jamaica</w:t>
      </w:r>
      <w:r>
        <w:rPr>
          <w:w w:val="115"/>
          <w:sz w:val="16"/>
        </w:rPr>
        <w:t>, Central Bank Econometrics </w:t>
      </w:r>
      <w:r>
        <w:rPr>
          <w:i/>
          <w:spacing w:val="-2"/>
          <w:w w:val="115"/>
          <w:sz w:val="16"/>
        </w:rPr>
        <w:t>CEMLA</w:t>
      </w:r>
      <w:r>
        <w:rPr>
          <w:spacing w:val="-2"/>
          <w:w w:val="115"/>
          <w:sz w:val="16"/>
        </w:rPr>
        <w:t>,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Monetary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and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Fiscal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Policy</w:t>
      </w:r>
      <w:r>
        <w:rPr>
          <w:spacing w:val="-3"/>
          <w:w w:val="115"/>
          <w:sz w:val="16"/>
        </w:rPr>
        <w:t> </w:t>
      </w:r>
      <w:r>
        <w:rPr>
          <w:spacing w:val="-2"/>
          <w:w w:val="115"/>
          <w:sz w:val="16"/>
        </w:rPr>
        <w:t>Interactions </w:t>
      </w:r>
      <w:r>
        <w:rPr>
          <w:i/>
          <w:w w:val="115"/>
          <w:sz w:val="16"/>
        </w:rPr>
        <w:t>CEMLA</w:t>
      </w:r>
      <w:r>
        <w:rPr>
          <w:w w:val="115"/>
          <w:sz w:val="16"/>
        </w:rPr>
        <w:t>, Monetary Theory: Past and Future</w:t>
      </w:r>
    </w:p>
    <w:p>
      <w:pPr>
        <w:spacing w:before="1"/>
        <w:ind w:left="0" w:right="0" w:firstLine="0"/>
        <w:jc w:val="left"/>
        <w:rPr>
          <w:sz w:val="16"/>
        </w:rPr>
      </w:pPr>
      <w:r>
        <w:rPr>
          <w:i/>
          <w:w w:val="115"/>
          <w:sz w:val="16"/>
        </w:rPr>
        <w:t>Central</w:t>
      </w:r>
      <w:r>
        <w:rPr>
          <w:i/>
          <w:spacing w:val="-7"/>
          <w:w w:val="115"/>
          <w:sz w:val="16"/>
        </w:rPr>
        <w:t> </w:t>
      </w:r>
      <w:r>
        <w:rPr>
          <w:i/>
          <w:w w:val="115"/>
          <w:sz w:val="16"/>
        </w:rPr>
        <w:t>Bank</w:t>
      </w:r>
      <w:r>
        <w:rPr>
          <w:i/>
          <w:spacing w:val="-7"/>
          <w:w w:val="115"/>
          <w:sz w:val="16"/>
        </w:rPr>
        <w:t> </w:t>
      </w:r>
      <w:r>
        <w:rPr>
          <w:i/>
          <w:w w:val="115"/>
          <w:sz w:val="16"/>
        </w:rPr>
        <w:t>of</w:t>
      </w:r>
      <w:r>
        <w:rPr>
          <w:i/>
          <w:spacing w:val="-6"/>
          <w:w w:val="115"/>
          <w:sz w:val="16"/>
        </w:rPr>
        <w:t> </w:t>
      </w:r>
      <w:r>
        <w:rPr>
          <w:i/>
          <w:w w:val="115"/>
          <w:sz w:val="16"/>
        </w:rPr>
        <w:t>The</w:t>
      </w:r>
      <w:r>
        <w:rPr>
          <w:i/>
          <w:spacing w:val="-7"/>
          <w:w w:val="115"/>
          <w:sz w:val="16"/>
        </w:rPr>
        <w:t> </w:t>
      </w:r>
      <w:r>
        <w:rPr>
          <w:i/>
          <w:w w:val="115"/>
          <w:sz w:val="16"/>
        </w:rPr>
        <w:t>Bahamas</w:t>
      </w:r>
      <w:r>
        <w:rPr>
          <w:w w:val="115"/>
          <w:sz w:val="16"/>
        </w:rPr>
        <w:t>,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An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Introduction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to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Python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for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Central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Bankers</w:t>
      </w:r>
    </w:p>
    <w:p>
      <w:pPr>
        <w:pStyle w:val="BodyText"/>
        <w:spacing w:before="0"/>
        <w:ind w:left="0"/>
        <w:rPr>
          <w:sz w:val="16"/>
        </w:rPr>
      </w:pPr>
    </w:p>
    <w:p>
      <w:pPr>
        <w:pStyle w:val="BodyText"/>
        <w:spacing w:before="85"/>
        <w:ind w:left="0"/>
        <w:rPr>
          <w:sz w:val="16"/>
        </w:rPr>
      </w:pPr>
    </w:p>
    <w:p>
      <w:pPr>
        <w:pStyle w:val="Heading1"/>
        <w:ind w:left="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183080</wp:posOffset>
                </wp:positionV>
                <wp:extent cx="620014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74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72pt,14.415785pt" to="560.169pt,14.415785pt" stroked="true" strokeweight=".567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spacing w:line="285" w:lineRule="auto" w:before="159"/>
        <w:ind w:left="0" w:right="6735" w:firstLine="0"/>
        <w:jc w:val="left"/>
        <w:rPr>
          <w:sz w:val="16"/>
        </w:rPr>
      </w:pPr>
      <w:r>
        <w:rPr>
          <w:w w:val="115"/>
          <w:sz w:val="16"/>
        </w:rPr>
        <w:t>Graduate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Studies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Committee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2006–2012 Director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Graduate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Studies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2013–2017</w:t>
      </w:r>
    </w:p>
    <w:p>
      <w:pPr>
        <w:spacing w:line="285" w:lineRule="auto" w:before="0"/>
        <w:ind w:left="0" w:right="4300" w:firstLine="0"/>
        <w:jc w:val="left"/>
        <w:rPr>
          <w:sz w:val="16"/>
        </w:rPr>
      </w:pPr>
      <w:r>
        <w:rPr>
          <w:w w:val="110"/>
          <w:sz w:val="16"/>
        </w:rPr>
        <w:t>Macroeconomics Recruiting Committee 2007–2008, 2011, 2018, </w:t>
      </w:r>
      <w:r>
        <w:rPr>
          <w:w w:val="110"/>
          <w:sz w:val="16"/>
        </w:rPr>
        <w:t>2023 </w:t>
      </w:r>
      <w:r>
        <w:rPr>
          <w:spacing w:val="-2"/>
          <w:w w:val="115"/>
          <w:sz w:val="16"/>
        </w:rPr>
        <w:t>Public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Lectures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on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Economic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Crisis,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Fall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2008,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Spring</w:t>
      </w:r>
      <w:r>
        <w:rPr>
          <w:spacing w:val="-6"/>
          <w:w w:val="115"/>
          <w:sz w:val="16"/>
        </w:rPr>
        <w:t> </w:t>
      </w:r>
      <w:r>
        <w:rPr>
          <w:spacing w:val="-2"/>
          <w:w w:val="115"/>
          <w:sz w:val="16"/>
        </w:rPr>
        <w:t>2009,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Fall</w:t>
      </w:r>
      <w:r>
        <w:rPr>
          <w:spacing w:val="-5"/>
          <w:w w:val="115"/>
          <w:sz w:val="16"/>
        </w:rPr>
        <w:t> </w:t>
      </w:r>
      <w:r>
        <w:rPr>
          <w:spacing w:val="-2"/>
          <w:w w:val="115"/>
          <w:sz w:val="16"/>
        </w:rPr>
        <w:t>2010 </w:t>
      </w:r>
      <w:r>
        <w:rPr>
          <w:w w:val="115"/>
          <w:sz w:val="16"/>
        </w:rPr>
        <w:t>Chair Macroeconomics Recruiting Committee 2018-19, 2023, 2024 Executive Dean Search Committee 2018-19</w:t>
      </w:r>
    </w:p>
    <w:p>
      <w:pPr>
        <w:spacing w:line="285" w:lineRule="auto" w:before="1"/>
        <w:ind w:left="0" w:right="6735" w:firstLine="0"/>
        <w:jc w:val="left"/>
        <w:rPr>
          <w:sz w:val="16"/>
        </w:rPr>
      </w:pPr>
      <w:r>
        <w:rPr>
          <w:w w:val="115"/>
          <w:sz w:val="16"/>
        </w:rPr>
        <w:t>Faculty Review Committee 2019-2021 </w:t>
      </w:r>
      <w:r>
        <w:rPr>
          <w:w w:val="110"/>
          <w:sz w:val="16"/>
        </w:rPr>
        <w:t>Executive Committee 2017–2019, </w:t>
      </w:r>
      <w:r>
        <w:rPr>
          <w:w w:val="110"/>
          <w:sz w:val="16"/>
        </w:rPr>
        <w:t>2021-</w:t>
      </w:r>
    </w:p>
    <w:p>
      <w:pPr>
        <w:spacing w:before="1"/>
        <w:ind w:left="0" w:right="0" w:firstLine="0"/>
        <w:jc w:val="left"/>
        <w:rPr>
          <w:sz w:val="16"/>
        </w:rPr>
      </w:pPr>
      <w:r>
        <w:rPr>
          <w:w w:val="110"/>
          <w:sz w:val="16"/>
        </w:rPr>
        <w:t>Associate</w:t>
      </w:r>
      <w:r>
        <w:rPr>
          <w:spacing w:val="7"/>
          <w:w w:val="110"/>
          <w:sz w:val="16"/>
        </w:rPr>
        <w:t> </w:t>
      </w:r>
      <w:r>
        <w:rPr>
          <w:w w:val="110"/>
          <w:sz w:val="16"/>
        </w:rPr>
        <w:t>Chair</w:t>
      </w:r>
      <w:r>
        <w:rPr>
          <w:spacing w:val="8"/>
          <w:w w:val="110"/>
          <w:sz w:val="16"/>
        </w:rPr>
        <w:t> </w:t>
      </w:r>
      <w:r>
        <w:rPr>
          <w:spacing w:val="-2"/>
          <w:w w:val="110"/>
          <w:sz w:val="16"/>
        </w:rPr>
        <w:t>2024-</w:t>
      </w:r>
    </w:p>
    <w:sectPr>
      <w:pgSz w:w="12240" w:h="15840"/>
      <w:pgMar w:header="0" w:footer="805" w:top="136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2954807</wp:posOffset>
              </wp:positionH>
              <wp:positionV relativeFrom="page">
                <wp:posOffset>9407278</wp:posOffset>
              </wp:positionV>
              <wp:extent cx="1863089" cy="1581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63089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mallCaps/>
                              <w:color w:val="A5A5A5"/>
                              <w:w w:val="105"/>
                            </w:rPr>
                            <w:t>Todd</w:t>
                          </w:r>
                          <w:r>
                            <w:rPr>
                              <w:smallCaps/>
                              <w:color w:val="A5A5A5"/>
                              <w:spacing w:val="48"/>
                              <w:w w:val="105"/>
                            </w:rPr>
                            <w:t> </w:t>
                          </w:r>
                          <w:r>
                            <w:rPr>
                              <w:smallCaps/>
                              <w:color w:val="A5A5A5"/>
                              <w:w w:val="105"/>
                            </w:rPr>
                            <w:t>B.Walker:</w:t>
                          </w:r>
                          <w:r>
                            <w:rPr>
                              <w:smallCaps/>
                              <w:color w:val="A5A5A5"/>
                              <w:spacing w:val="49"/>
                              <w:w w:val="105"/>
                            </w:rPr>
                            <w:t> </w:t>
                          </w:r>
                          <w:r>
                            <w:rPr>
                              <w:smallCaps/>
                              <w:color w:val="A5A5A5"/>
                              <w:w w:val="105"/>
                            </w:rPr>
                            <w:t>November</w:t>
                          </w:r>
                          <w:r>
                            <w:rPr>
                              <w:smallCaps/>
                              <w:color w:val="A5A5A5"/>
                              <w:spacing w:val="48"/>
                              <w:w w:val="105"/>
                            </w:rPr>
                            <w:t> </w:t>
                          </w:r>
                          <w:r>
                            <w:rPr>
                              <w:smallCaps/>
                              <w:color w:val="A5A5A5"/>
                              <w:spacing w:val="-4"/>
                              <w:w w:val="105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2.662003pt;margin-top:740.730591pt;width:146.7pt;height:12.45pt;mso-position-horizontal-relative:page;mso-position-vertical-relative:page;z-index:-15823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mallCaps/>
                        <w:color w:val="A5A5A5"/>
                        <w:w w:val="105"/>
                      </w:rPr>
                      <w:t>Todd</w:t>
                    </w:r>
                    <w:r>
                      <w:rPr>
                        <w:smallCaps/>
                        <w:color w:val="A5A5A5"/>
                        <w:spacing w:val="48"/>
                        <w:w w:val="105"/>
                      </w:rPr>
                      <w:t> </w:t>
                    </w:r>
                    <w:r>
                      <w:rPr>
                        <w:smallCaps/>
                        <w:color w:val="A5A5A5"/>
                        <w:w w:val="105"/>
                      </w:rPr>
                      <w:t>B.Walker:</w:t>
                    </w:r>
                    <w:r>
                      <w:rPr>
                        <w:smallCaps/>
                        <w:color w:val="A5A5A5"/>
                        <w:spacing w:val="49"/>
                        <w:w w:val="105"/>
                      </w:rPr>
                      <w:t> </w:t>
                    </w:r>
                    <w:r>
                      <w:rPr>
                        <w:smallCaps/>
                        <w:color w:val="A5A5A5"/>
                        <w:w w:val="105"/>
                      </w:rPr>
                      <w:t>November</w:t>
                    </w:r>
                    <w:r>
                      <w:rPr>
                        <w:smallCaps/>
                        <w:color w:val="A5A5A5"/>
                        <w:spacing w:val="48"/>
                        <w:w w:val="105"/>
                      </w:rPr>
                      <w:t> </w:t>
                    </w:r>
                    <w:r>
                      <w:rPr>
                        <w:smallCaps/>
                        <w:color w:val="A5A5A5"/>
                        <w:spacing w:val="-4"/>
                        <w:w w:val="105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4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134" w:hanging="1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8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8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6"/>
      </w:pPr>
      <w:rPr>
        <w:rFonts w:hint="default"/>
        <w:lang w:val="en-US" w:eastAsia="en-US" w:bidi="ar-SA"/>
      </w:rPr>
    </w:lvl>
  </w:abstractNum>
  <w:num w:numId="1">
    <w:abstractNumId w:val="0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496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1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41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496" w:hanging="3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2025-12-06T16:44:10Z</dcterms:created>
  <dcterms:modified xsi:type="dcterms:W3CDTF">2025-12-06T16:44:10Z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