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Benjamin</w:t>
      </w:r>
      <w:r>
        <w:rPr>
          <w:spacing w:val="17"/>
        </w:rPr>
        <w:t> </w:t>
      </w:r>
      <w:r>
        <w:rPr>
          <w:spacing w:val="-2"/>
        </w:rPr>
        <w:t>Bushong</w:t>
      </w:r>
    </w:p>
    <w:p>
      <w:pPr>
        <w:pStyle w:val="BodyText"/>
        <w:spacing w:before="80"/>
      </w:pPr>
    </w:p>
    <w:p>
      <w:pPr>
        <w:pStyle w:val="BodyText"/>
        <w:spacing w:after="0"/>
        <w:sectPr>
          <w:type w:val="continuous"/>
          <w:pgSz w:w="12240" w:h="15840"/>
          <w:pgMar w:top="1620" w:bottom="280" w:left="1440" w:right="1080"/>
        </w:sectPr>
      </w:pPr>
    </w:p>
    <w:p>
      <w:pPr>
        <w:pStyle w:val="BodyText"/>
        <w:spacing w:line="213" w:lineRule="auto" w:before="101"/>
        <w:ind w:right="771"/>
      </w:pPr>
      <w:hyperlink r:id="rId5">
        <w:r>
          <w:rPr/>
          <w:t>Michigan</w:t>
        </w:r>
        <w:r>
          <w:rPr>
            <w:spacing w:val="-13"/>
          </w:rPr>
          <w:t> </w:t>
        </w:r>
        <w:r>
          <w:rPr/>
          <w:t>State</w:t>
        </w:r>
        <w:r>
          <w:rPr>
            <w:spacing w:val="-12"/>
          </w:rPr>
          <w:t> </w:t>
        </w:r>
        <w:r>
          <w:rPr/>
          <w:t>University</w:t>
        </w:r>
      </w:hyperlink>
      <w:r>
        <w:rPr/>
        <w:t> Department of</w:t>
      </w:r>
      <w:r>
        <w:rPr>
          <w:spacing w:val="1"/>
        </w:rPr>
        <w:t> </w:t>
      </w:r>
      <w:r>
        <w:rPr>
          <w:spacing w:val="-2"/>
        </w:rPr>
        <w:t>Economics</w:t>
      </w:r>
    </w:p>
    <w:p>
      <w:pPr>
        <w:pStyle w:val="BodyText"/>
        <w:spacing w:line="213" w:lineRule="auto"/>
        <w:rPr>
          <w:rFonts w:ascii="Times New Roman"/>
        </w:rPr>
      </w:pPr>
      <w:r>
        <w:rPr>
          <w:rFonts w:ascii="Times New Roman"/>
        </w:rPr>
        <w:t>486</w:t>
      </w:r>
      <w:r>
        <w:rPr>
          <w:rFonts w:ascii="Times New Roman"/>
          <w:spacing w:val="-6"/>
        </w:rPr>
        <w:t> </w:t>
      </w:r>
      <w:r>
        <w:rPr/>
        <w:t>W.</w:t>
      </w:r>
      <w:r>
        <w:rPr>
          <w:spacing w:val="-6"/>
        </w:rPr>
        <w:t> </w:t>
      </w:r>
      <w:r>
        <w:rPr/>
        <w:t>Circle</w:t>
      </w:r>
      <w:r>
        <w:rPr>
          <w:spacing w:val="-6"/>
        </w:rPr>
        <w:t> </w:t>
      </w:r>
      <w:r>
        <w:rPr/>
        <w:t>Drive,</w:t>
      </w:r>
      <w:r>
        <w:rPr>
          <w:spacing w:val="-6"/>
        </w:rPr>
        <w:t> </w:t>
      </w:r>
      <w:r>
        <w:rPr>
          <w:rFonts w:ascii="Times New Roman"/>
        </w:rPr>
        <w:t>110</w:t>
      </w:r>
      <w:r>
        <w:rPr>
          <w:rFonts w:ascii="Times New Roman"/>
          <w:spacing w:val="-6"/>
        </w:rPr>
        <w:t> </w:t>
      </w:r>
      <w:r>
        <w:rPr/>
        <w:t>Marshall-Adams</w:t>
      </w:r>
      <w:r>
        <w:rPr>
          <w:spacing w:val="-6"/>
        </w:rPr>
        <w:t> </w:t>
      </w:r>
      <w:r>
        <w:rPr/>
        <w:t>Hall</w:t>
      </w:r>
      <w:r>
        <w:rPr/>
        <w:t> East Lansing, MI </w:t>
      </w:r>
      <w:r>
        <w:rPr>
          <w:rFonts w:ascii="Times New Roman"/>
        </w:rPr>
        <w:t>48824</w:t>
      </w:r>
    </w:p>
    <w:p>
      <w:pPr>
        <w:spacing w:line="240" w:lineRule="auto" w:before="183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tabs>
          <w:tab w:pos="1260" w:val="left" w:leader="none"/>
        </w:tabs>
        <w:spacing w:line="254" w:lineRule="exact"/>
        <w:rPr>
          <w:rFonts w:ascii="Trebuchet MS"/>
        </w:rPr>
      </w:pPr>
      <w:r>
        <w:rPr>
          <w:spacing w:val="-2"/>
        </w:rPr>
        <w:t>Email:</w:t>
      </w:r>
      <w:r>
        <w:rPr/>
        <w:tab/>
      </w:r>
      <w:hyperlink r:id="rId6">
        <w:r>
          <w:rPr>
            <w:rFonts w:ascii="Trebuchet MS"/>
            <w:spacing w:val="-2"/>
          </w:rPr>
          <w:t>bbushong@msu.edu</w:t>
        </w:r>
      </w:hyperlink>
    </w:p>
    <w:p>
      <w:pPr>
        <w:pStyle w:val="BodyText"/>
        <w:tabs>
          <w:tab w:pos="1260" w:val="left" w:leader="none"/>
        </w:tabs>
        <w:spacing w:line="254" w:lineRule="exact"/>
        <w:rPr>
          <w:rFonts w:ascii="Trebuchet MS"/>
        </w:rPr>
      </w:pPr>
      <w:r>
        <w:rPr>
          <w:spacing w:val="-2"/>
        </w:rPr>
        <w:t>Homepage:</w:t>
      </w:r>
      <w:r>
        <w:rPr/>
        <w:tab/>
      </w:r>
      <w:hyperlink r:id="rId7">
        <w:r>
          <w:rPr>
            <w:rFonts w:ascii="Trebuchet MS"/>
            <w:spacing w:val="-2"/>
          </w:rPr>
          <w:t>http://benbushong.com</w:t>
        </w:r>
      </w:hyperlink>
    </w:p>
    <w:p>
      <w:pPr>
        <w:pStyle w:val="BodyText"/>
        <w:spacing w:after="0" w:line="254" w:lineRule="exact"/>
        <w:rPr>
          <w:rFonts w:ascii="Trebuchet MS"/>
        </w:rPr>
        <w:sectPr>
          <w:type w:val="continuous"/>
          <w:pgSz w:w="12240" w:h="15840"/>
          <w:pgMar w:top="1620" w:bottom="280" w:left="1440" w:right="1080"/>
          <w:cols w:num="2" w:equalWidth="0">
            <w:col w:w="4103" w:space="755"/>
            <w:col w:w="4862"/>
          </w:cols>
        </w:sectPr>
      </w:pPr>
    </w:p>
    <w:p>
      <w:pPr>
        <w:pStyle w:val="BodyText"/>
        <w:spacing w:before="118"/>
        <w:rPr>
          <w:rFonts w:ascii="Trebuchet MS"/>
          <w:sz w:val="28"/>
        </w:rPr>
      </w:pPr>
    </w:p>
    <w:p>
      <w:pPr>
        <w:pStyle w:val="Heading1"/>
        <w:spacing w:before="1"/>
      </w:pPr>
      <w:r>
        <w:rPr/>
        <w:t>Academic</w:t>
      </w:r>
      <w:r>
        <w:rPr>
          <w:spacing w:val="37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7298" w:val="left" w:leader="none"/>
        </w:tabs>
        <w:spacing w:line="254" w:lineRule="exact" w:before="114"/>
        <w:ind w:left="119"/>
      </w:pPr>
      <w:r>
        <w:rPr/>
        <w:t>Associate</w:t>
      </w:r>
      <w:r>
        <w:rPr>
          <w:spacing w:val="-2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University</w:t>
      </w:r>
      <w:r>
        <w:rPr>
          <w:rFonts w:ascii="Times New Roman" w:hAnsi="Times New Roman"/>
        </w:rPr>
        <w:tab/>
        <w:t>2024</w:t>
      </w:r>
      <w:r>
        <w:rPr>
          <w:rFonts w:ascii="Times New Roman" w:hAnsi="Times New Roman"/>
          <w:spacing w:val="2"/>
        </w:rPr>
        <w:t> </w:t>
      </w:r>
      <w:r>
        <w:rPr>
          <w:spacing w:val="-10"/>
        </w:rPr>
        <w:t>–</w:t>
      </w:r>
    </w:p>
    <w:p>
      <w:pPr>
        <w:pStyle w:val="BodyText"/>
        <w:tabs>
          <w:tab w:pos="8311" w:val="right" w:leader="none"/>
        </w:tabs>
        <w:spacing w:line="239" w:lineRule="exact"/>
        <w:ind w:left="119"/>
        <w:rPr>
          <w:rFonts w:ascii="Times New Roman" w:hAnsi="Times New Roman"/>
        </w:rPr>
      </w:pPr>
      <w:r>
        <w:rPr/>
        <w:t>Assistant</w:t>
      </w:r>
      <w:r>
        <w:rPr>
          <w:spacing w:val="-2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University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</w:rPr>
        <w:t>2017 </w:t>
      </w:r>
      <w:r>
        <w:rPr/>
        <w:t>– </w:t>
      </w:r>
      <w:r>
        <w:rPr>
          <w:rFonts w:ascii="Times New Roman" w:hAnsi="Times New Roman"/>
        </w:rPr>
        <w:t>2024</w:t>
      </w:r>
    </w:p>
    <w:p>
      <w:pPr>
        <w:pStyle w:val="BodyText"/>
        <w:tabs>
          <w:tab w:pos="8311" w:val="right" w:leader="none"/>
        </w:tabs>
        <w:spacing w:line="239" w:lineRule="exact"/>
        <w:ind w:left="119"/>
        <w:rPr>
          <w:rFonts w:ascii="Times New Roman" w:hAnsi="Times New Roman"/>
        </w:rPr>
      </w:pPr>
      <w:r>
        <w:rPr/>
        <w:t>Postdoctoral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Harvard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</w:rPr>
        <w:t>2014 </w:t>
      </w:r>
      <w:r>
        <w:rPr/>
        <w:t>– </w:t>
      </w:r>
      <w:r>
        <w:rPr>
          <w:rFonts w:ascii="Times New Roman" w:hAnsi="Times New Roman"/>
        </w:rPr>
        <w:t>2017</w:t>
      </w:r>
    </w:p>
    <w:p>
      <w:pPr>
        <w:pStyle w:val="BodyText"/>
        <w:tabs>
          <w:tab w:pos="8311" w:val="right" w:leader="none"/>
        </w:tabs>
        <w:spacing w:line="254" w:lineRule="exact"/>
        <w:ind w:left="119"/>
        <w:rPr>
          <w:rFonts w:ascii="Times New Roman" w:hAnsi="Times New Roman"/>
        </w:rPr>
      </w:pPr>
      <w:r>
        <w:rPr/>
        <w:t>Visiting</w:t>
      </w:r>
      <w:r>
        <w:rPr>
          <w:spacing w:val="-3"/>
        </w:rPr>
        <w:t> </w:t>
      </w:r>
      <w:r>
        <w:rPr/>
        <w:t>Scholar,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Unit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Harvard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>
          <w:spacing w:val="-2"/>
        </w:rPr>
        <w:t>School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</w:rPr>
        <w:t>2014 </w:t>
      </w:r>
      <w:r>
        <w:rPr/>
        <w:t>– </w:t>
      </w:r>
      <w:r>
        <w:rPr>
          <w:rFonts w:ascii="Times New Roman" w:hAnsi="Times New Roman"/>
        </w:rPr>
        <w:t>2017</w:t>
      </w:r>
    </w:p>
    <w:p>
      <w:pPr>
        <w:pStyle w:val="BodyText"/>
        <w:spacing w:before="43"/>
        <w:rPr>
          <w:rFonts w:ascii="Times New Roman"/>
        </w:rPr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Heading2"/>
      </w:pPr>
      <w:r>
        <w:rPr>
          <w:spacing w:val="-2"/>
        </w:rPr>
        <w:t>Publications</w:t>
      </w:r>
    </w:p>
    <w:p>
      <w:pPr>
        <w:pStyle w:val="BodyText"/>
        <w:spacing w:line="213" w:lineRule="auto" w:before="112"/>
        <w:ind w:left="1018" w:right="357" w:hanging="322"/>
      </w:pPr>
      <w:r>
        <w:rPr/>
        <w:t>Bushong,</w:t>
      </w:r>
      <w:r>
        <w:rPr>
          <w:spacing w:val="20"/>
        </w:rPr>
        <w:t> </w:t>
      </w:r>
      <w:r>
        <w:rPr/>
        <w:t>B.,</w:t>
      </w:r>
      <w:r>
        <w:rPr>
          <w:spacing w:val="20"/>
        </w:rPr>
        <w:t> </w:t>
      </w:r>
      <w:r>
        <w:rPr/>
        <w:t>and T. Gagnon-Bartsch.</w:t>
      </w:r>
      <w:r>
        <w:rPr>
          <w:spacing w:val="40"/>
        </w:rPr>
        <w:t> </w:t>
      </w:r>
      <w:hyperlink r:id="rId8">
        <w:r>
          <w:rPr/>
          <w:t>“Failures in Forecasting:</w:t>
        </w:r>
        <w:r>
          <w:rPr>
            <w:spacing w:val="40"/>
          </w:rPr>
          <w:t> </w:t>
        </w:r>
        <w:r>
          <w:rPr/>
          <w:t>An Experiment on Interpersonal</w:t>
        </w:r>
      </w:hyperlink>
      <w:r>
        <w:rPr/>
        <w:t> </w:t>
      </w:r>
      <w:hyperlink r:id="rId8">
        <w:r>
          <w:rPr/>
          <w:t>Projection Bias.”</w:t>
        </w:r>
      </w:hyperlink>
      <w:r>
        <w:rPr/>
        <w:t> </w:t>
      </w:r>
      <w:r>
        <w:rPr>
          <w:i/>
        </w:rPr>
        <w:t>Management Science</w:t>
      </w:r>
      <w:r>
        <w:rPr/>
        <w:t>, forthcoming.</w:t>
      </w:r>
    </w:p>
    <w:p>
      <w:pPr>
        <w:spacing w:line="213" w:lineRule="auto" w:before="118"/>
        <w:ind w:left="1018" w:right="357" w:hanging="322"/>
        <w:jc w:val="left"/>
        <w:rPr>
          <w:sz w:val="20"/>
        </w:rPr>
      </w:pPr>
      <w:r>
        <w:rPr>
          <w:sz w:val="20"/>
        </w:rPr>
        <w:t>Bushong, B., and T. Gagnon-Bartsch </w:t>
      </w:r>
      <w:hyperlink r:id="rId9">
        <w:r>
          <w:rPr>
            <w:sz w:val="20"/>
          </w:rPr>
          <w:t>“Reference Dependence and Attribution Bias: Evidence from</w:t>
        </w:r>
      </w:hyperlink>
      <w:r>
        <w:rPr>
          <w:sz w:val="20"/>
        </w:rPr>
        <w:t> </w:t>
      </w:r>
      <w:hyperlink r:id="rId9">
        <w:r>
          <w:rPr>
            <w:sz w:val="20"/>
          </w:rPr>
          <w:t>Real-Effort Experiments.”</w:t>
        </w:r>
      </w:hyperlink>
      <w:r>
        <w:rPr>
          <w:sz w:val="20"/>
        </w:rPr>
        <w:t> </w:t>
      </w:r>
      <w:r>
        <w:rPr>
          <w:i/>
          <w:sz w:val="20"/>
        </w:rPr>
        <w:t>American Economic Journal: Microeconomics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2023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15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</w:t>
      </w:r>
      <w:r>
        <w:rPr>
          <w:sz w:val="20"/>
        </w:rPr>
        <w:t>):</w:t>
      </w:r>
      <w:r>
        <w:rPr>
          <w:rFonts w:ascii="Times New Roman" w:hAnsi="Times New Roman"/>
          <w:sz w:val="20"/>
        </w:rPr>
        <w:t>271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308</w:t>
      </w:r>
      <w:r>
        <w:rPr>
          <w:sz w:val="20"/>
        </w:rPr>
        <w:t>.</w:t>
      </w:r>
    </w:p>
    <w:p>
      <w:pPr>
        <w:pStyle w:val="BodyText"/>
        <w:spacing w:line="254" w:lineRule="exact" w:before="94"/>
        <w:ind w:left="697"/>
      </w:pPr>
      <w:r>
        <w:rPr/>
        <w:t>Gagnon-Bartsch,</w:t>
      </w:r>
      <w:r>
        <w:rPr>
          <w:spacing w:val="8"/>
        </w:rPr>
        <w:t> </w:t>
      </w:r>
      <w:r>
        <w:rPr/>
        <w:t>T.</w:t>
      </w:r>
      <w:r>
        <w:rPr>
          <w:spacing w:val="7"/>
        </w:rPr>
        <w:t> </w:t>
      </w:r>
      <w:r>
        <w:rPr/>
        <w:t>,</w:t>
      </w:r>
      <w:r>
        <w:rPr>
          <w:spacing w:val="9"/>
        </w:rPr>
        <w:t> </w:t>
      </w:r>
      <w:r>
        <w:rPr/>
        <w:t>and</w:t>
      </w:r>
      <w:r>
        <w:rPr>
          <w:spacing w:val="7"/>
        </w:rPr>
        <w:t> </w:t>
      </w:r>
      <w:r>
        <w:rPr/>
        <w:t>B.</w:t>
      </w:r>
      <w:r>
        <w:rPr>
          <w:spacing w:val="7"/>
        </w:rPr>
        <w:t> </w:t>
      </w:r>
      <w:r>
        <w:rPr/>
        <w:t>Bushong.</w:t>
      </w:r>
      <w:r>
        <w:rPr>
          <w:spacing w:val="33"/>
        </w:rPr>
        <w:t> </w:t>
      </w:r>
      <w:hyperlink r:id="rId10">
        <w:r>
          <w:rPr/>
          <w:t>“Learning</w:t>
        </w:r>
        <w:r>
          <w:rPr>
            <w:spacing w:val="7"/>
          </w:rPr>
          <w:t> </w:t>
        </w:r>
        <w:r>
          <w:rPr/>
          <w:t>With</w:t>
        </w:r>
        <w:r>
          <w:rPr>
            <w:spacing w:val="7"/>
          </w:rPr>
          <w:t> </w:t>
        </w:r>
        <w:r>
          <w:rPr/>
          <w:t>Misattribution</w:t>
        </w:r>
        <w:r>
          <w:rPr>
            <w:spacing w:val="7"/>
          </w:rPr>
          <w:t> </w:t>
        </w:r>
        <w:r>
          <w:rPr/>
          <w:t>of</w:t>
        </w:r>
        <w:r>
          <w:rPr>
            <w:spacing w:val="7"/>
          </w:rPr>
          <w:t> </w:t>
        </w:r>
        <w:r>
          <w:rPr/>
          <w:t>Reference</w:t>
        </w:r>
        <w:r>
          <w:rPr>
            <w:spacing w:val="7"/>
          </w:rPr>
          <w:t> </w:t>
        </w:r>
        <w:r>
          <w:rPr>
            <w:spacing w:val="-2"/>
          </w:rPr>
          <w:t>Dependence.”</w:t>
        </w:r>
      </w:hyperlink>
    </w:p>
    <w:p>
      <w:pPr>
        <w:spacing w:line="254" w:lineRule="exact" w:before="0"/>
        <w:ind w:left="1018" w:right="0" w:firstLine="0"/>
        <w:jc w:val="left"/>
        <w:rPr>
          <w:sz w:val="20"/>
        </w:rPr>
      </w:pPr>
      <w:r>
        <w:rPr>
          <w:i/>
          <w:sz w:val="20"/>
        </w:rPr>
        <w:t>Journal of Economic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rFonts w:ascii="Times New Roman"/>
          <w:sz w:val="20"/>
        </w:rPr>
        <w:t>2022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rFonts w:ascii="Times New Roman"/>
          <w:sz w:val="20"/>
        </w:rPr>
        <w:t>203</w:t>
      </w:r>
      <w:r>
        <w:rPr>
          <w:sz w:val="20"/>
        </w:rPr>
        <w:t>:</w:t>
      </w:r>
      <w:r>
        <w:rPr>
          <w:spacing w:val="15"/>
          <w:sz w:val="20"/>
        </w:rPr>
        <w:t> </w:t>
      </w:r>
      <w:r>
        <w:rPr>
          <w:rFonts w:ascii="Times New Roman"/>
          <w:spacing w:val="-2"/>
          <w:sz w:val="20"/>
        </w:rPr>
        <w:t>105473</w:t>
      </w:r>
      <w:r>
        <w:rPr>
          <w:spacing w:val="-2"/>
          <w:sz w:val="20"/>
        </w:rPr>
        <w:t>.</w:t>
      </w:r>
    </w:p>
    <w:p>
      <w:pPr>
        <w:pStyle w:val="BodyText"/>
        <w:spacing w:line="213" w:lineRule="auto" w:before="112"/>
        <w:ind w:left="1018" w:right="357" w:hanging="322"/>
        <w:jc w:val="both"/>
      </w:pPr>
      <w:r>
        <w:rPr/>
        <w:t>Nadav, K. B. Bushong and J. Leveau. </w:t>
      </w:r>
      <w:hyperlink r:id="rId11">
        <w:r>
          <w:rPr/>
          <w:t>“It’s the Economy, Stupid: Applying (Micro)economic Prin-</w:t>
        </w:r>
      </w:hyperlink>
      <w:r>
        <w:rPr/>
        <w:t> </w:t>
      </w:r>
      <w:hyperlink r:id="rId11">
        <w:r>
          <w:rPr/>
          <w:t>ciples to Microbiome Science."</w:t>
        </w:r>
      </w:hyperlink>
      <w:r>
        <w:rPr/>
        <w:t> </w:t>
      </w:r>
      <w:r>
        <w:rPr>
          <w:i/>
        </w:rPr>
        <w:t>mSystems</w:t>
      </w:r>
      <w:r>
        <w:rPr/>
        <w:t>, </w:t>
      </w:r>
      <w:r>
        <w:rPr>
          <w:rFonts w:ascii="Times New Roman" w:hAnsi="Times New Roman"/>
        </w:rPr>
        <w:t>2022</w:t>
      </w:r>
      <w:r>
        <w:rPr/>
        <w:t>, </w:t>
      </w:r>
      <w:r>
        <w:rPr>
          <w:rFonts w:ascii="Times New Roman" w:hAnsi="Times New Roman"/>
        </w:rPr>
        <w:t>7</w:t>
      </w:r>
      <w:r>
        <w:rPr/>
        <w:t>(</w:t>
      </w:r>
      <w:r>
        <w:rPr>
          <w:rFonts w:ascii="Times New Roman" w:hAnsi="Times New Roman"/>
        </w:rPr>
        <w:t>1</w:t>
      </w:r>
      <w:r>
        <w:rPr/>
        <w:t>):e.</w:t>
      </w:r>
    </w:p>
    <w:p>
      <w:pPr>
        <w:spacing w:line="213" w:lineRule="auto" w:before="117"/>
        <w:ind w:left="1018" w:right="359" w:hanging="322"/>
        <w:jc w:val="both"/>
        <w:rPr>
          <w:sz w:val="20"/>
        </w:rPr>
      </w:pPr>
      <w:r>
        <w:rPr>
          <w:sz w:val="20"/>
        </w:rPr>
        <w:t>Bushong, B., M. Rabin, and J. Schwartzstein. </w:t>
      </w:r>
      <w:hyperlink r:id="rId12">
        <w:r>
          <w:rPr>
            <w:sz w:val="20"/>
          </w:rPr>
          <w:t>“A Model of Relative Thinking.”</w:t>
        </w:r>
      </w:hyperlink>
      <w:r>
        <w:rPr>
          <w:sz w:val="20"/>
        </w:rPr>
        <w:t> </w:t>
      </w:r>
      <w:r>
        <w:rPr>
          <w:i/>
          <w:sz w:val="20"/>
        </w:rPr>
        <w:t>Review of Economic Studies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2021</w:t>
      </w:r>
      <w:r>
        <w:rPr>
          <w:sz w:val="20"/>
        </w:rPr>
        <w:t>, </w:t>
      </w:r>
      <w:r>
        <w:rPr>
          <w:rFonts w:ascii="Times New Roman" w:hAnsi="Times New Roman"/>
          <w:sz w:val="20"/>
        </w:rPr>
        <w:t>88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1</w:t>
      </w:r>
      <w:r>
        <w:rPr>
          <w:sz w:val="20"/>
        </w:rPr>
        <w:t>):</w:t>
      </w:r>
      <w:r>
        <w:rPr>
          <w:rFonts w:ascii="Times New Roman" w:hAnsi="Times New Roman"/>
          <w:sz w:val="20"/>
        </w:rPr>
        <w:t>162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191</w:t>
      </w:r>
      <w:r>
        <w:rPr>
          <w:sz w:val="20"/>
        </w:rPr>
        <w:t>.</w:t>
      </w:r>
    </w:p>
    <w:p>
      <w:pPr>
        <w:pStyle w:val="BodyText"/>
        <w:spacing w:line="213" w:lineRule="auto" w:before="118"/>
        <w:ind w:left="1018" w:right="357" w:hanging="322"/>
        <w:jc w:val="both"/>
      </w:pPr>
      <w:r>
        <w:rPr/>
        <w:t>Hutcherson, C., B. Bushong, and A. Rangel.</w:t>
      </w:r>
      <w:r>
        <w:rPr>
          <w:spacing w:val="40"/>
        </w:rPr>
        <w:t> </w:t>
      </w:r>
      <w:hyperlink r:id="rId13">
        <w:r>
          <w:rPr/>
          <w:t>“A Neurocomputational Model of Altruistic Choice</w:t>
        </w:r>
      </w:hyperlink>
      <w:r>
        <w:rPr/>
        <w:t> </w:t>
      </w:r>
      <w:hyperlink r:id="rId13">
        <w:r>
          <w:rPr/>
          <w:t>and Its Implications.”</w:t>
        </w:r>
      </w:hyperlink>
      <w:r>
        <w:rPr/>
        <w:t> </w:t>
      </w:r>
      <w:r>
        <w:rPr>
          <w:i/>
        </w:rPr>
        <w:t>Neuron</w:t>
      </w:r>
      <w:r>
        <w:rPr/>
        <w:t>, </w:t>
      </w:r>
      <w:r>
        <w:rPr>
          <w:rFonts w:ascii="Times New Roman" w:hAnsi="Times New Roman"/>
        </w:rPr>
        <w:t>2015</w:t>
      </w:r>
      <w:r>
        <w:rPr/>
        <w:t>, </w:t>
      </w:r>
      <w:r>
        <w:rPr>
          <w:rFonts w:ascii="Times New Roman" w:hAnsi="Times New Roman"/>
        </w:rPr>
        <w:t>87</w:t>
      </w:r>
      <w:r>
        <w:rPr/>
        <w:t>:</w:t>
      </w:r>
      <w:r>
        <w:rPr>
          <w:rFonts w:ascii="Times New Roman" w:hAnsi="Times New Roman"/>
        </w:rPr>
        <w:t>451</w:t>
      </w:r>
      <w:r>
        <w:rPr/>
        <w:t>-</w:t>
      </w:r>
      <w:r>
        <w:rPr>
          <w:rFonts w:ascii="Times New Roman" w:hAnsi="Times New Roman"/>
        </w:rPr>
        <w:t>462</w:t>
      </w:r>
      <w:r>
        <w:rPr/>
        <w:t>.</w:t>
      </w:r>
    </w:p>
    <w:p>
      <w:pPr>
        <w:pStyle w:val="BodyText"/>
        <w:spacing w:line="213" w:lineRule="auto" w:before="117"/>
        <w:ind w:left="1018" w:right="357" w:hanging="322"/>
        <w:jc w:val="both"/>
      </w:pPr>
      <w:r>
        <w:rPr/>
        <w:t>Bushong, B., L.M. King, C. Camerer, and A. Rangel.</w:t>
      </w:r>
      <w:r>
        <w:rPr>
          <w:spacing w:val="40"/>
        </w:rPr>
        <w:t> </w:t>
      </w:r>
      <w:hyperlink r:id="rId14">
        <w:r>
          <w:rPr/>
          <w:t>“Pavlovian Processes in Consumer Choice:</w:t>
        </w:r>
      </w:hyperlink>
      <w:r>
        <w:rPr/>
        <w:t> </w:t>
      </w:r>
      <w:hyperlink r:id="rId14">
        <w:r>
          <w:rPr/>
          <w:t>The Physical Presence of a Good Increases Willingness-to-Pay.”</w:t>
        </w:r>
      </w:hyperlink>
      <w:r>
        <w:rPr>
          <w:spacing w:val="40"/>
        </w:rPr>
        <w:t> </w:t>
      </w:r>
      <w:r>
        <w:rPr>
          <w:i/>
        </w:rPr>
        <w:t>American Economic Review</w:t>
      </w:r>
      <w:r>
        <w:rPr/>
        <w:t>, </w:t>
      </w:r>
      <w:r>
        <w:rPr>
          <w:rFonts w:ascii="Times New Roman" w:hAnsi="Times New Roman"/>
        </w:rPr>
        <w:t>2010</w:t>
      </w:r>
      <w:r>
        <w:rPr/>
        <w:t>, </w:t>
      </w:r>
      <w:r>
        <w:rPr>
          <w:rFonts w:ascii="Times New Roman" w:hAnsi="Times New Roman"/>
        </w:rPr>
        <w:t>100</w:t>
      </w:r>
      <w:r>
        <w:rPr/>
        <w:t>:</w:t>
      </w:r>
      <w:r>
        <w:rPr>
          <w:rFonts w:ascii="Times New Roman" w:hAnsi="Times New Roman"/>
        </w:rPr>
        <w:t>1</w:t>
      </w:r>
      <w:r>
        <w:rPr/>
        <w:t>-</w:t>
      </w:r>
      <w:r>
        <w:rPr>
          <w:rFonts w:ascii="Times New Roman" w:hAnsi="Times New Roman"/>
        </w:rPr>
        <w:t>18</w:t>
      </w:r>
      <w:r>
        <w:rPr/>
        <w:t>.</w:t>
      </w:r>
    </w:p>
    <w:p>
      <w:pPr>
        <w:pStyle w:val="Heading2"/>
        <w:spacing w:before="94"/>
        <w:jc w:val="both"/>
      </w:pPr>
      <w:r>
        <w:rPr>
          <w:spacing w:val="-2"/>
        </w:rPr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spacing w:line="319" w:lineRule="auto" w:before="88"/>
        <w:ind w:left="697" w:right="801"/>
        <w:jc w:val="both"/>
      </w:pPr>
      <w:hyperlink r:id="rId15">
        <w:r>
          <w:rPr/>
          <w:t>“Heterogeneous</w:t>
        </w:r>
        <w:r>
          <w:rPr>
            <w:spacing w:val="-5"/>
          </w:rPr>
          <w:t> </w:t>
        </w:r>
        <w:r>
          <w:rPr/>
          <w:t>Tastes</w:t>
        </w:r>
        <w:r>
          <w:rPr>
            <w:spacing w:val="-5"/>
          </w:rPr>
          <w:t> </w:t>
        </w:r>
        <w:r>
          <w:rPr/>
          <w:t>and</w:t>
        </w:r>
        <w:r>
          <w:rPr>
            <w:spacing w:val="-5"/>
          </w:rPr>
          <w:t> </w:t>
        </w:r>
        <w:r>
          <w:rPr/>
          <w:t>Social</w:t>
        </w:r>
        <w:r>
          <w:rPr>
            <w:spacing w:val="-5"/>
          </w:rPr>
          <w:t> </w:t>
        </w:r>
        <w:r>
          <w:rPr/>
          <w:t>(Mis)Learning”</w:t>
        </w:r>
      </w:hyperlink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Tristan</w:t>
      </w:r>
      <w:r>
        <w:rPr>
          <w:spacing w:val="-5"/>
        </w:rPr>
        <w:t> </w:t>
      </w:r>
      <w:r>
        <w:rPr/>
        <w:t>Gagnon-Bartsch),</w:t>
      </w:r>
      <w:r>
        <w:rPr>
          <w:spacing w:val="-5"/>
        </w:rPr>
        <w:t> </w:t>
      </w:r>
      <w:r>
        <w:rPr/>
        <w:t>submitted. “Risk and Loss Attitudes Vary Across Domains", submitted.</w:t>
      </w:r>
    </w:p>
    <w:p>
      <w:pPr>
        <w:pStyle w:val="Heading2"/>
        <w:spacing w:line="269" w:lineRule="exact" w:before="0"/>
        <w:jc w:val="both"/>
      </w:pPr>
      <w:r>
        <w:rPr/>
        <w:t>Works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spacing w:line="213" w:lineRule="auto" w:before="112"/>
        <w:ind w:left="1018" w:right="357" w:hanging="322"/>
        <w:jc w:val="both"/>
      </w:pPr>
      <w:r>
        <w:rPr/>
        <w:t>“Autonomy and Adherence to Expert Advice:</w:t>
      </w:r>
      <w:r>
        <w:rPr>
          <w:spacing w:val="40"/>
        </w:rPr>
        <w:t> </w:t>
      </w:r>
      <w:r>
        <w:rPr/>
        <w:t>Evidence from the Field and Lab” (with </w:t>
      </w:r>
      <w:r>
        <w:rPr/>
        <w:t>Xavier Giné, Aprajit Mahajan, and Enrique Seira)</w:t>
      </w:r>
    </w:p>
    <w:p>
      <w:pPr>
        <w:pStyle w:val="BodyText"/>
        <w:spacing w:before="95"/>
        <w:ind w:left="697"/>
        <w:jc w:val="both"/>
      </w:pPr>
      <w:r>
        <w:rPr/>
        <w:t>“Learning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Others’</w:t>
      </w:r>
      <w:r>
        <w:rPr>
          <w:spacing w:val="-3"/>
        </w:rPr>
        <w:t> </w:t>
      </w:r>
      <w:r>
        <w:rPr/>
        <w:t>Learning”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Tristan</w:t>
      </w:r>
      <w:r>
        <w:rPr>
          <w:spacing w:val="-3"/>
        </w:rPr>
        <w:t> </w:t>
      </w:r>
      <w:r>
        <w:rPr/>
        <w:t>Gagnon-</w:t>
      </w:r>
      <w:r>
        <w:rPr>
          <w:spacing w:val="-2"/>
        </w:rPr>
        <w:t>Bartsch)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620" w:bottom="280" w:left="1440" w:right="1080"/>
        </w:sectPr>
      </w:pPr>
    </w:p>
    <w:p>
      <w:pPr>
        <w:pStyle w:val="Heading1"/>
        <w:spacing w:before="93"/>
      </w:pPr>
      <w:r>
        <w:rPr>
          <w:spacing w:val="-2"/>
        </w:rPr>
        <w:t>Education</w:t>
      </w:r>
    </w:p>
    <w:p>
      <w:pPr>
        <w:spacing w:line="319" w:lineRule="auto" w:before="161"/>
        <w:ind w:left="697" w:right="4533" w:hanging="399"/>
        <w:jc w:val="left"/>
        <w:rPr>
          <w:sz w:val="20"/>
        </w:rPr>
      </w:pPr>
      <w:r>
        <w:rPr>
          <w:b/>
          <w:sz w:val="20"/>
        </w:rPr>
        <w:t>California Institute of Technology</w:t>
      </w:r>
      <w:r>
        <w:rPr>
          <w:sz w:val="20"/>
        </w:rPr>
        <w:t>, Pasadena, CA Ph.D., </w:t>
      </w:r>
      <w:hyperlink r:id="rId17">
        <w:r>
          <w:rPr>
            <w:sz w:val="20"/>
          </w:rPr>
          <w:t>Social Science (Economics)</w:t>
        </w:r>
      </w:hyperlink>
      <w:r>
        <w:rPr>
          <w:sz w:val="20"/>
        </w:rPr>
        <w:t>, June </w:t>
      </w:r>
      <w:r>
        <w:rPr>
          <w:rFonts w:ascii="Times New Roman"/>
          <w:sz w:val="20"/>
        </w:rPr>
        <w:t>2013 </w:t>
      </w:r>
      <w:r>
        <w:rPr>
          <w:sz w:val="20"/>
        </w:rPr>
        <w:t>Thesis: </w:t>
      </w:r>
      <w:r>
        <w:rPr>
          <w:i/>
          <w:sz w:val="20"/>
        </w:rPr>
        <w:t>Essays in Behavioral and Neuroeconomics </w:t>
      </w:r>
      <w:r>
        <w:rPr>
          <w:sz w:val="20"/>
        </w:rPr>
        <w:t>(Co)advisors: Matthew</w:t>
      </w:r>
      <w:r>
        <w:rPr>
          <w:spacing w:val="-3"/>
          <w:sz w:val="20"/>
        </w:rPr>
        <w:t> </w:t>
      </w:r>
      <w:r>
        <w:rPr>
          <w:sz w:val="20"/>
        </w:rPr>
        <w:t>Rabin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Antonio</w:t>
      </w:r>
      <w:r>
        <w:rPr>
          <w:spacing w:val="-3"/>
          <w:sz w:val="20"/>
        </w:rPr>
        <w:t> </w:t>
      </w:r>
      <w:r>
        <w:rPr>
          <w:sz w:val="20"/>
        </w:rPr>
        <w:t>Rangel</w:t>
      </w:r>
    </w:p>
    <w:p>
      <w:pPr>
        <w:pStyle w:val="Heading1"/>
        <w:spacing w:before="242"/>
      </w:pPr>
      <w:r>
        <w:rPr>
          <w:spacing w:val="-2"/>
        </w:rPr>
        <w:t>Teaching</w:t>
      </w:r>
    </w:p>
    <w:p>
      <w:pPr>
        <w:pStyle w:val="Heading2"/>
      </w:pPr>
      <w:r>
        <w:rPr/>
        <w:t>Michigan State </w:t>
      </w:r>
      <w:r>
        <w:rPr>
          <w:spacing w:val="-2"/>
        </w:rPr>
        <w:t>University</w:t>
      </w:r>
    </w:p>
    <w:p>
      <w:pPr>
        <w:pStyle w:val="BodyText"/>
        <w:tabs>
          <w:tab w:pos="8803" w:val="left" w:leader="none"/>
        </w:tabs>
        <w:spacing w:before="89"/>
        <w:ind w:left="697"/>
      </w:pPr>
      <w:r>
        <w:rPr/>
        <w:t>Psychology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Economics:</w:t>
      </w:r>
      <w:r>
        <w:rPr>
          <w:spacing w:val="11"/>
        </w:rPr>
        <w:t> </w:t>
      </w:r>
      <w:r>
        <w:rPr/>
        <w:t>Theory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(graduate</w:t>
      </w:r>
      <w:r>
        <w:rPr>
          <w:spacing w:val="-1"/>
        </w:rPr>
        <w:t> </w:t>
      </w:r>
      <w:r>
        <w:rPr>
          <w:spacing w:val="-2"/>
        </w:rPr>
        <w:t>course)</w:t>
      </w:r>
      <w:r>
        <w:rPr>
          <w:rFonts w:ascii="Times New Roman" w:hAnsi="Times New Roman"/>
        </w:rPr>
        <w:tab/>
        <w:t>2022</w:t>
      </w:r>
      <w:r>
        <w:rPr>
          <w:rFonts w:ascii="Times New Roman" w:hAnsi="Times New Roman"/>
          <w:spacing w:val="2"/>
        </w:rPr>
        <w:t> </w:t>
      </w:r>
      <w:r>
        <w:rPr>
          <w:spacing w:val="-10"/>
        </w:rPr>
        <w:t>–</w:t>
      </w:r>
    </w:p>
    <w:p>
      <w:pPr>
        <w:pStyle w:val="BodyText"/>
        <w:tabs>
          <w:tab w:pos="8803" w:val="left" w:leader="none"/>
        </w:tabs>
        <w:spacing w:before="89"/>
        <w:ind w:left="697"/>
      </w:pPr>
      <w:r>
        <w:rPr/>
        <w:t>Behavioral</w:t>
      </w:r>
      <w:r>
        <w:rPr>
          <w:spacing w:val="-10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(undergraduate</w:t>
      </w:r>
      <w:r>
        <w:rPr>
          <w:spacing w:val="-7"/>
        </w:rPr>
        <w:t> </w:t>
      </w:r>
      <w:r>
        <w:rPr>
          <w:spacing w:val="-2"/>
        </w:rPr>
        <w:t>course)</w:t>
      </w:r>
      <w:r>
        <w:rPr>
          <w:rFonts w:ascii="Times New Roman" w:hAnsi="Times New Roman"/>
        </w:rPr>
        <w:tab/>
        <w:t>2017</w:t>
      </w:r>
      <w:r>
        <w:rPr>
          <w:rFonts w:ascii="Times New Roman" w:hAnsi="Times New Roman"/>
          <w:spacing w:val="2"/>
        </w:rPr>
        <w:t> </w:t>
      </w:r>
      <w:r>
        <w:rPr>
          <w:spacing w:val="-10"/>
        </w:rPr>
        <w:t>–</w:t>
      </w:r>
    </w:p>
    <w:p>
      <w:pPr>
        <w:pStyle w:val="BodyText"/>
        <w:tabs>
          <w:tab w:pos="8803" w:val="left" w:leader="none"/>
        </w:tabs>
        <w:spacing w:before="89"/>
        <w:ind w:left="697"/>
      </w:pPr>
      <w:r>
        <w:rPr/>
        <w:t>Data Analytics</w:t>
      </w:r>
      <w:r>
        <w:rPr>
          <w:spacing w:val="1"/>
        </w:rPr>
        <w:t> </w:t>
      </w:r>
      <w:r>
        <w:rPr/>
        <w:t>for Social</w:t>
      </w:r>
      <w:r>
        <w:rPr>
          <w:spacing w:val="1"/>
        </w:rPr>
        <w:t> </w:t>
      </w:r>
      <w:r>
        <w:rPr/>
        <w:t>Scientists (undergraduate</w:t>
      </w:r>
      <w:r>
        <w:rPr>
          <w:spacing w:val="1"/>
        </w:rPr>
        <w:t> </w:t>
      </w:r>
      <w:r>
        <w:rPr>
          <w:spacing w:val="-2"/>
        </w:rPr>
        <w:t>course)</w:t>
      </w:r>
      <w:r>
        <w:rPr>
          <w:rFonts w:ascii="Times New Roman" w:hAnsi="Times New Roman"/>
        </w:rPr>
        <w:tab/>
        <w:t>2019</w:t>
      </w:r>
      <w:r>
        <w:rPr>
          <w:rFonts w:ascii="Times New Roman" w:hAnsi="Times New Roman"/>
          <w:spacing w:val="2"/>
        </w:rPr>
        <w:t> </w:t>
      </w:r>
      <w:r>
        <w:rPr>
          <w:spacing w:val="-10"/>
        </w:rPr>
        <w:t>–</w:t>
      </w:r>
    </w:p>
    <w:p>
      <w:pPr>
        <w:pStyle w:val="BodyText"/>
        <w:spacing w:before="62"/>
      </w:pPr>
    </w:p>
    <w:p>
      <w:pPr>
        <w:pStyle w:val="Heading1"/>
      </w:pPr>
      <w:r>
        <w:rPr/>
        <w:t>Grants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>
          <w:spacing w:val="-2"/>
        </w:rPr>
        <w:t>Awards</w:t>
      </w:r>
    </w:p>
    <w:p>
      <w:pPr>
        <w:pStyle w:val="Heading2"/>
      </w:pPr>
      <w:r>
        <w:rPr>
          <w:spacing w:val="-2"/>
        </w:rPr>
        <w:t>Grants</w:t>
      </w:r>
    </w:p>
    <w:p>
      <w:pPr>
        <w:pStyle w:val="BodyText"/>
        <w:spacing w:line="213" w:lineRule="auto" w:before="112"/>
        <w:ind w:left="1018" w:right="357" w:hanging="322"/>
        <w:jc w:val="both"/>
        <w:rPr>
          <w:rFonts w:ascii="Times New Roman" w:hAnsi="Times New Roman"/>
        </w:rPr>
      </w:pPr>
      <w:r>
        <w:rPr/>
        <w:t>Co-Principal Investigator (with Francisca Alba), “Information and Beliefs about Expected EITC Refunds",</w:t>
      </w:r>
      <w:r>
        <w:rPr>
          <w:spacing w:val="-7"/>
        </w:rPr>
        <w:t> </w:t>
      </w:r>
      <w:r>
        <w:rPr/>
        <w:t>Michigan</w:t>
      </w:r>
      <w:r>
        <w:rPr>
          <w:spacing w:val="-8"/>
        </w:rPr>
        <w:t> </w:t>
      </w:r>
      <w:r>
        <w:rPr/>
        <w:t>Applied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Administered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Michigan</w:t>
      </w:r>
      <w:r>
        <w:rPr>
          <w:spacing w:val="-8"/>
        </w:rPr>
        <w:t> </w:t>
      </w:r>
      <w:r>
        <w:rPr/>
        <w:t>State University, $</w:t>
      </w:r>
      <w:r>
        <w:rPr>
          <w:rFonts w:ascii="Times New Roman" w:hAnsi="Times New Roman"/>
        </w:rPr>
        <w:t>30</w:t>
      </w:r>
      <w:r>
        <w:rPr/>
        <w:t>,</w:t>
      </w:r>
      <w:r>
        <w:rPr>
          <w:rFonts w:ascii="Times New Roman" w:hAnsi="Times New Roman"/>
        </w:rPr>
        <w:t>000</w:t>
      </w:r>
      <w:r>
        <w:rPr/>
        <w:t>, </w:t>
      </w:r>
      <w:r>
        <w:rPr>
          <w:rFonts w:ascii="Times New Roman" w:hAnsi="Times New Roman"/>
        </w:rPr>
        <w:t>2023</w:t>
      </w:r>
      <w:r>
        <w:rPr/>
        <w:t>–</w:t>
      </w:r>
      <w:r>
        <w:rPr>
          <w:rFonts w:ascii="Times New Roman" w:hAnsi="Times New Roman"/>
        </w:rPr>
        <w:t>2024</w:t>
      </w:r>
    </w:p>
    <w:p>
      <w:pPr>
        <w:pStyle w:val="BodyText"/>
        <w:spacing w:line="213" w:lineRule="auto" w:before="116"/>
        <w:ind w:left="1018" w:right="357" w:hanging="322"/>
        <w:jc w:val="both"/>
        <w:rPr>
          <w:rFonts w:ascii="Times New Roman" w:hAnsi="Times New Roman"/>
        </w:rPr>
      </w:pPr>
      <w:r>
        <w:rPr/>
        <w:t>Co-Principal Investigator (with Xavier Gine, Aprajit Mahajan, and Enrique Seira), “Does Auton- omy Improve Adherence to Expert Advice?", World Bank, Administered by Michigan State University, $</w:t>
      </w:r>
      <w:r>
        <w:rPr>
          <w:rFonts w:ascii="Times New Roman" w:hAnsi="Times New Roman"/>
        </w:rPr>
        <w:t>30</w:t>
      </w:r>
      <w:r>
        <w:rPr/>
        <w:t>,</w:t>
      </w:r>
      <w:r>
        <w:rPr>
          <w:rFonts w:ascii="Times New Roman" w:hAnsi="Times New Roman"/>
        </w:rPr>
        <w:t>000</w:t>
      </w:r>
      <w:r>
        <w:rPr/>
        <w:t>, </w:t>
      </w:r>
      <w:r>
        <w:rPr>
          <w:rFonts w:ascii="Times New Roman" w:hAnsi="Times New Roman"/>
        </w:rPr>
        <w:t>2023</w:t>
      </w:r>
      <w:r>
        <w:rPr/>
        <w:t>–</w:t>
      </w:r>
      <w:r>
        <w:rPr>
          <w:rFonts w:ascii="Times New Roman" w:hAnsi="Times New Roman"/>
        </w:rPr>
        <w:t>2024</w:t>
      </w:r>
    </w:p>
    <w:p>
      <w:pPr>
        <w:pStyle w:val="BodyText"/>
        <w:spacing w:line="213" w:lineRule="auto" w:before="117"/>
        <w:ind w:left="1018" w:right="357" w:hanging="322"/>
        <w:jc w:val="both"/>
        <w:rPr>
          <w:rFonts w:ascii="Times New Roman" w:hAnsi="Times New Roman"/>
        </w:rPr>
      </w:pPr>
      <w:r>
        <w:rPr/>
        <w:t>Co-Principal Investigator (with Tristan Gagnon-Bartsch), “Learning with Misattribution of </w:t>
      </w:r>
      <w:r>
        <w:rPr/>
        <w:t>Ref- erence Dependence", Foundations for Human Behavior Initiative, Administered by Harvard University, $</w:t>
      </w:r>
      <w:r>
        <w:rPr>
          <w:rFonts w:ascii="Times New Roman" w:hAnsi="Times New Roman"/>
        </w:rPr>
        <w:t>5000</w:t>
      </w:r>
      <w:r>
        <w:rPr/>
        <w:t>, </w:t>
      </w:r>
      <w:r>
        <w:rPr>
          <w:rFonts w:ascii="Times New Roman" w:hAnsi="Times New Roman"/>
        </w:rPr>
        <w:t>2016</w:t>
      </w:r>
      <w:r>
        <w:rPr/>
        <w:t>–</w:t>
      </w:r>
      <w:r>
        <w:rPr>
          <w:rFonts w:ascii="Times New Roman" w:hAnsi="Times New Roman"/>
        </w:rPr>
        <w:t>2017</w:t>
      </w:r>
    </w:p>
    <w:p>
      <w:pPr>
        <w:pStyle w:val="BodyText"/>
        <w:spacing w:line="213" w:lineRule="auto" w:before="116"/>
        <w:ind w:left="1018" w:right="357" w:hanging="322"/>
        <w:jc w:val="both"/>
        <w:rPr>
          <w:rFonts w:ascii="Times New Roman" w:hAnsi="Times New Roman"/>
        </w:rPr>
      </w:pPr>
      <w:r>
        <w:rPr/>
        <w:t>Principal Investigator, “Using Machine Learning to Understand Sexual Assault within the </w:t>
      </w:r>
      <w:r>
        <w:rPr/>
        <w:t>U.S. Army”, Department of Defense, Administered by the Army Analytics Group Research Facili- tation Laboratory, $</w:t>
      </w:r>
      <w:r>
        <w:rPr>
          <w:rFonts w:ascii="Times New Roman" w:hAnsi="Times New Roman"/>
        </w:rPr>
        <w:t>325</w:t>
      </w:r>
      <w:r>
        <w:rPr/>
        <w:t>,</w:t>
      </w:r>
      <w:r>
        <w:rPr>
          <w:rFonts w:ascii="Times New Roman" w:hAnsi="Times New Roman"/>
        </w:rPr>
        <w:t>055</w:t>
      </w:r>
      <w:r>
        <w:rPr/>
        <w:t>.</w:t>
      </w:r>
      <w:r>
        <w:rPr>
          <w:rFonts w:ascii="Times New Roman" w:hAnsi="Times New Roman"/>
        </w:rPr>
        <w:t>38</w:t>
      </w:r>
      <w:r>
        <w:rPr/>
        <w:t>, </w:t>
      </w:r>
      <w:r>
        <w:rPr>
          <w:rFonts w:ascii="Times New Roman" w:hAnsi="Times New Roman"/>
        </w:rPr>
        <w:t>2014</w:t>
      </w:r>
      <w:r>
        <w:rPr/>
        <w:t>–</w:t>
      </w:r>
      <w:r>
        <w:rPr>
          <w:rFonts w:ascii="Times New Roman" w:hAnsi="Times New Roman"/>
        </w:rPr>
        <w:t>2016</w:t>
      </w:r>
    </w:p>
    <w:p>
      <w:pPr>
        <w:spacing w:before="94"/>
        <w:ind w:left="29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Awards</w:t>
      </w: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1"/>
        <w:gridCol w:w="1902"/>
      </w:tblGrid>
      <w:tr>
        <w:trPr>
          <w:trHeight w:val="301" w:hRule="atLeast"/>
        </w:trPr>
        <w:tc>
          <w:tcPr>
            <w:tcW w:w="6861" w:type="dxa"/>
          </w:tcPr>
          <w:p>
            <w:pPr>
              <w:pStyle w:val="TableParagraph"/>
              <w:spacing w:line="248" w:lineRule="exact" w:before="0"/>
              <w:ind w:left="50"/>
              <w:rPr>
                <w:sz w:val="20"/>
              </w:rPr>
            </w:pPr>
            <w:hyperlink r:id="rId18">
              <w:r>
                <w:rPr>
                  <w:sz w:val="20"/>
                </w:rPr>
                <w:t>Marylin</w:t>
              </w:r>
              <w:r>
                <w:rPr>
                  <w:spacing w:val="-2"/>
                  <w:sz w:val="20"/>
                </w:rPr>
                <w:t> </w:t>
              </w:r>
              <w:r>
                <w:rPr>
                  <w:sz w:val="20"/>
                </w:rPr>
                <w:t>Addy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Teacher</w:t>
              </w:r>
              <w:r>
                <w:rPr>
                  <w:spacing w:val="-1"/>
                  <w:sz w:val="20"/>
                </w:rPr>
                <w:t> </w:t>
              </w:r>
              <w:r>
                <w:rPr>
                  <w:sz w:val="20"/>
                </w:rPr>
                <w:t>Scholar</w:t>
              </w:r>
            </w:hyperlink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MSU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1902" w:type="dxa"/>
          </w:tcPr>
          <w:p>
            <w:pPr>
              <w:pStyle w:val="TableParagraph"/>
              <w:spacing w:line="248" w:lineRule="exact" w:before="0"/>
              <w:ind w:right="4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2022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2024</w:t>
            </w:r>
          </w:p>
        </w:tc>
      </w:tr>
      <w:tr>
        <w:trPr>
          <w:trHeight w:val="358" w:hRule="atLeast"/>
        </w:trPr>
        <w:tc>
          <w:tcPr>
            <w:tcW w:w="68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Teaching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Innovation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Award,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MSU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Social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1902" w:type="dxa"/>
          </w:tcPr>
          <w:p>
            <w:pPr>
              <w:pStyle w:val="TableParagraph"/>
              <w:spacing w:before="58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2022</w:t>
            </w:r>
          </w:p>
        </w:tc>
      </w:tr>
      <w:tr>
        <w:trPr>
          <w:trHeight w:val="358" w:hRule="atLeast"/>
        </w:trPr>
        <w:tc>
          <w:tcPr>
            <w:tcW w:w="68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Fulbright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Specialist</w:t>
            </w:r>
          </w:p>
        </w:tc>
        <w:tc>
          <w:tcPr>
            <w:tcW w:w="1902" w:type="dxa"/>
          </w:tcPr>
          <w:p>
            <w:pPr>
              <w:pStyle w:val="TableParagraph"/>
              <w:ind w:right="4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2019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2022</w:t>
            </w:r>
          </w:p>
        </w:tc>
      </w:tr>
      <w:tr>
        <w:trPr>
          <w:trHeight w:val="358" w:hRule="atLeast"/>
        </w:trPr>
        <w:tc>
          <w:tcPr>
            <w:tcW w:w="68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Foundation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IGERT</w:t>
            </w:r>
            <w:r>
              <w:rPr>
                <w:spacing w:val="-2"/>
                <w:sz w:val="20"/>
              </w:rPr>
              <w:t> Fellowship</w:t>
            </w:r>
          </w:p>
        </w:tc>
        <w:tc>
          <w:tcPr>
            <w:tcW w:w="1902" w:type="dxa"/>
          </w:tcPr>
          <w:p>
            <w:pPr>
              <w:pStyle w:val="TableParagraph"/>
              <w:ind w:right="4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2009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2013</w:t>
            </w:r>
          </w:p>
        </w:tc>
      </w:tr>
      <w:tr>
        <w:trPr>
          <w:trHeight w:val="358" w:hRule="atLeast"/>
        </w:trPr>
        <w:tc>
          <w:tcPr>
            <w:tcW w:w="68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Invited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Visiting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Scholar,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Behavioral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NUS</w:t>
            </w:r>
          </w:p>
        </w:tc>
        <w:tc>
          <w:tcPr>
            <w:tcW w:w="1902" w:type="dxa"/>
          </w:tcPr>
          <w:p>
            <w:pPr>
              <w:pStyle w:val="TableParagraph"/>
              <w:spacing w:before="58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2013</w:t>
            </w:r>
          </w:p>
        </w:tc>
      </w:tr>
      <w:tr>
        <w:trPr>
          <w:trHeight w:val="358" w:hRule="atLeast"/>
        </w:trPr>
        <w:tc>
          <w:tcPr>
            <w:tcW w:w="68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Invited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Visiting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Scholar,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California,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Berkeley</w:t>
            </w:r>
          </w:p>
        </w:tc>
        <w:tc>
          <w:tcPr>
            <w:tcW w:w="1902" w:type="dxa"/>
          </w:tcPr>
          <w:p>
            <w:pPr>
              <w:pStyle w:val="TableParagraph"/>
              <w:ind w:right="4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2010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2011</w:t>
            </w:r>
          </w:p>
        </w:tc>
      </w:tr>
      <w:tr>
        <w:trPr>
          <w:trHeight w:val="358" w:hRule="atLeast"/>
        </w:trPr>
        <w:tc>
          <w:tcPr>
            <w:tcW w:w="68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Russell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Behavioral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-2"/>
                <w:sz w:val="20"/>
              </w:rPr>
              <w:t> Institute</w:t>
            </w:r>
          </w:p>
        </w:tc>
        <w:tc>
          <w:tcPr>
            <w:tcW w:w="1902" w:type="dxa"/>
          </w:tcPr>
          <w:p>
            <w:pPr>
              <w:pStyle w:val="TableParagraph"/>
              <w:spacing w:before="58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</w:tr>
      <w:tr>
        <w:trPr>
          <w:trHeight w:val="358" w:hRule="atLeast"/>
        </w:trPr>
        <w:tc>
          <w:tcPr>
            <w:tcW w:w="6861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Shaaf Fellowship for Research in </w:t>
            </w:r>
            <w:r>
              <w:rPr>
                <w:spacing w:val="-2"/>
                <w:sz w:val="20"/>
              </w:rPr>
              <w:t>Neuroscience</w:t>
            </w:r>
          </w:p>
        </w:tc>
        <w:tc>
          <w:tcPr>
            <w:tcW w:w="1902" w:type="dxa"/>
          </w:tcPr>
          <w:p>
            <w:pPr>
              <w:pStyle w:val="TableParagraph"/>
              <w:ind w:right="4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2008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> </w:t>
            </w:r>
            <w:r>
              <w:rPr>
                <w:rFonts w:ascii="Times New Roman" w:hAnsi="Times New Roman"/>
                <w:spacing w:val="-4"/>
                <w:sz w:val="20"/>
              </w:rPr>
              <w:t>2009</w:t>
            </w:r>
          </w:p>
        </w:tc>
      </w:tr>
      <w:tr>
        <w:trPr>
          <w:trHeight w:val="301" w:hRule="atLeast"/>
        </w:trPr>
        <w:tc>
          <w:tcPr>
            <w:tcW w:w="6861" w:type="dxa"/>
          </w:tcPr>
          <w:p>
            <w:pPr>
              <w:pStyle w:val="TableParagraph"/>
              <w:spacing w:line="246" w:lineRule="exact"/>
              <w:ind w:left="5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Fellowship,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Stanford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1902" w:type="dxa"/>
          </w:tcPr>
          <w:p>
            <w:pPr>
              <w:pStyle w:val="TableParagraph"/>
              <w:spacing w:line="223" w:lineRule="exact" w:before="58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</w:tbl>
    <w:p>
      <w:pPr>
        <w:pStyle w:val="TableParagraph"/>
        <w:spacing w:after="0" w:line="223" w:lineRule="exact"/>
        <w:jc w:val="right"/>
        <w:rPr>
          <w:rFonts w:ascii="Times New Roman"/>
          <w:sz w:val="20"/>
        </w:rPr>
        <w:sectPr>
          <w:headerReference w:type="default" r:id="rId16"/>
          <w:pgSz w:w="12240" w:h="15840"/>
          <w:pgMar w:header="1114" w:footer="0" w:top="1620" w:bottom="280" w:left="1440" w:right="1080"/>
          <w:pgNumType w:start="2"/>
        </w:sectPr>
      </w:pPr>
    </w:p>
    <w:p>
      <w:pPr>
        <w:pStyle w:val="Heading1"/>
        <w:spacing w:before="93"/>
      </w:pPr>
      <w:r>
        <w:rPr/>
        <w:t>Invited</w:t>
      </w:r>
      <w:r>
        <w:rPr>
          <w:spacing w:val="30"/>
        </w:rPr>
        <w:t> </w:t>
      </w:r>
      <w:r>
        <w:rPr>
          <w:spacing w:val="-2"/>
        </w:rPr>
        <w:t>Talks</w:t>
      </w:r>
    </w:p>
    <w:p>
      <w:pPr>
        <w:pStyle w:val="BodyText"/>
        <w:spacing w:line="213" w:lineRule="auto" w:before="184"/>
        <w:ind w:left="298" w:right="357"/>
        <w:jc w:val="both"/>
      </w:pPr>
      <w:r>
        <w:rPr>
          <w:b/>
        </w:rPr>
        <w:t>Since </w:t>
      </w:r>
      <w:r>
        <w:rPr>
          <w:rFonts w:ascii="Times New Roman"/>
          <w:b/>
        </w:rPr>
        <w:t>2017</w:t>
      </w:r>
      <w:r>
        <w:rPr>
          <w:b/>
        </w:rPr>
        <w:t>, alphabetical: </w:t>
      </w:r>
      <w:r>
        <w:rPr/>
        <w:t>Auro University, Boston College, Boston University School of Management, Caltech,</w:t>
      </w:r>
      <w:r>
        <w:rPr>
          <w:spacing w:val="-7"/>
        </w:rPr>
        <w:t> </w:t>
      </w:r>
      <w:r>
        <w:rPr/>
        <w:t>Chapman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Cornell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Society,</w:t>
      </w:r>
      <w:r>
        <w:rPr>
          <w:spacing w:val="-7"/>
        </w:rPr>
        <w:t> </w:t>
      </w:r>
      <w:r>
        <w:rPr/>
        <w:t>Harvard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School,</w:t>
      </w:r>
      <w:r>
        <w:rPr>
          <w:spacing w:val="-7"/>
        </w:rPr>
        <w:t> </w:t>
      </w:r>
      <w:r>
        <w:rPr/>
        <w:t>Har- vard</w:t>
      </w:r>
      <w:r>
        <w:rPr>
          <w:spacing w:val="-12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Indiana</w:t>
      </w:r>
      <w:r>
        <w:rPr>
          <w:spacing w:val="-12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London</w:t>
      </w:r>
      <w:r>
        <w:rPr>
          <w:spacing w:val="-12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Maharaja</w:t>
      </w:r>
      <w:r>
        <w:rPr>
          <w:spacing w:val="-12"/>
        </w:rPr>
        <w:t> </w:t>
      </w:r>
      <w:r>
        <w:rPr/>
        <w:t>Sayajirao</w:t>
      </w:r>
      <w:r>
        <w:rPr>
          <w:spacing w:val="-12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Mid- dlebury College, Michigan State University, Norwegian School of Economics (NHH), New York Uni- versity,</w:t>
      </w:r>
      <w:r>
        <w:rPr>
          <w:spacing w:val="-13"/>
        </w:rPr>
        <w:t> </w:t>
      </w:r>
      <w:r>
        <w:rPr/>
        <w:t>Purdue</w:t>
      </w:r>
      <w:r>
        <w:rPr>
          <w:spacing w:val="-12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Stanford</w:t>
      </w:r>
      <w:r>
        <w:rPr>
          <w:spacing w:val="-12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SITE</w:t>
      </w:r>
      <w:r>
        <w:rPr>
          <w:spacing w:val="-12"/>
        </w:rPr>
        <w:t> </w:t>
      </w:r>
      <w:r>
        <w:rPr/>
        <w:t>Experimental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Texas</w:t>
      </w:r>
      <w:r>
        <w:rPr>
          <w:spacing w:val="-13"/>
        </w:rPr>
        <w:t> </w:t>
      </w:r>
      <w:r>
        <w:rPr/>
        <w:t>A&amp;M</w:t>
      </w:r>
      <w:r>
        <w:rPr>
          <w:spacing w:val="-12"/>
        </w:rPr>
        <w:t> </w:t>
      </w:r>
      <w:r>
        <w:rPr/>
        <w:t>University, UCSD</w:t>
      </w:r>
      <w:r>
        <w:rPr>
          <w:spacing w:val="-2"/>
        </w:rPr>
        <w:t> </w:t>
      </w:r>
      <w:r>
        <w:rPr/>
        <w:t>Rady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Management,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Calgary,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Michigan,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Not- tingham, University of Oregon, University of Tennessee, Veer Narmad South Gujarat University</w:t>
      </w:r>
    </w:p>
    <w:p>
      <w:pPr>
        <w:pStyle w:val="BodyText"/>
        <w:spacing w:before="62"/>
      </w:pPr>
    </w:p>
    <w:p>
      <w:pPr>
        <w:pStyle w:val="Heading1"/>
      </w:pPr>
      <w:r>
        <w:rPr/>
        <w:t>Professional</w:t>
      </w:r>
      <w:r>
        <w:rPr>
          <w:spacing w:val="40"/>
        </w:rPr>
        <w:t> </w:t>
      </w:r>
      <w:r>
        <w:rPr>
          <w:spacing w:val="-2"/>
        </w:rPr>
        <w:t>Service</w:t>
      </w:r>
    </w:p>
    <w:p>
      <w:pPr>
        <w:tabs>
          <w:tab w:pos="8803" w:val="left" w:leader="none"/>
        </w:tabs>
        <w:spacing w:before="160"/>
        <w:ind w:left="298" w:right="0" w:firstLine="0"/>
        <w:jc w:val="both"/>
        <w:rPr>
          <w:sz w:val="20"/>
        </w:rPr>
      </w:pPr>
      <w:r>
        <w:rPr>
          <w:b/>
          <w:sz w:val="20"/>
        </w:rPr>
        <w:t>Editorial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Service:</w:t>
      </w:r>
      <w:r>
        <w:rPr>
          <w:b/>
          <w:spacing w:val="11"/>
          <w:sz w:val="20"/>
        </w:rPr>
        <w:t> </w:t>
      </w:r>
      <w:r>
        <w:rPr>
          <w:sz w:val="20"/>
        </w:rPr>
        <w:t>Associate</w:t>
      </w:r>
      <w:r>
        <w:rPr>
          <w:spacing w:val="-1"/>
          <w:sz w:val="20"/>
        </w:rPr>
        <w:t> </w:t>
      </w:r>
      <w:r>
        <w:rPr>
          <w:sz w:val="20"/>
        </w:rPr>
        <w:t>Editor,</w:t>
      </w:r>
      <w:r>
        <w:rPr>
          <w:spacing w:val="-2"/>
          <w:sz w:val="20"/>
        </w:rPr>
        <w:t> </w:t>
      </w:r>
      <w:r>
        <w:rPr>
          <w:sz w:val="20"/>
        </w:rPr>
        <w:t>Economic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Inquiry</w:t>
      </w:r>
      <w:r>
        <w:rPr>
          <w:rFonts w:ascii="Times New Roman" w:hAnsi="Times New Roman"/>
          <w:sz w:val="20"/>
        </w:rPr>
        <w:tab/>
        <w:t>2023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10"/>
          <w:sz w:val="20"/>
        </w:rPr>
        <w:t>–</w:t>
      </w:r>
    </w:p>
    <w:p>
      <w:pPr>
        <w:pStyle w:val="BodyText"/>
        <w:spacing w:line="213" w:lineRule="auto" w:before="112"/>
        <w:ind w:left="298" w:right="357"/>
        <w:jc w:val="both"/>
      </w:pPr>
      <w:r>
        <w:rPr>
          <w:b/>
        </w:rPr>
        <w:t>Referee Service: </w:t>
      </w:r>
      <w:r>
        <w:rPr/>
        <w:t>Science,</w:t>
      </w:r>
      <w:r>
        <w:rPr>
          <w:spacing w:val="80"/>
        </w:rPr>
        <w:t> </w:t>
      </w:r>
      <w:r>
        <w:rPr/>
        <w:t>Nature,</w:t>
      </w:r>
      <w:r>
        <w:rPr>
          <w:spacing w:val="80"/>
        </w:rPr>
        <w:t> </w:t>
      </w:r>
      <w:r>
        <w:rPr/>
        <w:t>American Economic Review,</w:t>
      </w:r>
      <w:r>
        <w:rPr>
          <w:spacing w:val="80"/>
        </w:rPr>
        <w:t> </w:t>
      </w:r>
      <w:r>
        <w:rPr/>
        <w:t>AER: Insights,</w:t>
      </w:r>
      <w:r>
        <w:rPr>
          <w:spacing w:val="80"/>
        </w:rPr>
        <w:t> </w:t>
      </w:r>
      <w:r>
        <w:rPr/>
        <w:t>Econometrica, Review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Quarterly</w:t>
      </w:r>
      <w:r>
        <w:rPr>
          <w:spacing w:val="-1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AEJ:</w:t>
      </w:r>
      <w:r>
        <w:rPr>
          <w:spacing w:val="-1"/>
        </w:rPr>
        <w:t> </w:t>
      </w:r>
      <w:r>
        <w:rPr/>
        <w:t>Applied,</w:t>
      </w:r>
      <w:r>
        <w:rPr>
          <w:spacing w:val="40"/>
        </w:rPr>
        <w:t> </w:t>
      </w:r>
      <w:r>
        <w:rPr/>
        <w:t>AEJ:</w:t>
      </w:r>
      <w:r>
        <w:rPr>
          <w:spacing w:val="-1"/>
        </w:rPr>
        <w:t> </w:t>
      </w:r>
      <w:r>
        <w:rPr/>
        <w:t>Microeconomics, JPE: Microeconomics,</w:t>
      </w:r>
      <w:r>
        <w:rPr>
          <w:spacing w:val="40"/>
        </w:rPr>
        <w:t> </w:t>
      </w:r>
      <w:r>
        <w:rPr/>
        <w:t>Economic Journal,</w:t>
      </w:r>
      <w:r>
        <w:rPr>
          <w:spacing w:val="40"/>
        </w:rPr>
        <w:t> </w:t>
      </w:r>
      <w:r>
        <w:rPr/>
        <w:t>European Economic Review,</w:t>
      </w:r>
      <w:r>
        <w:rPr>
          <w:spacing w:val="40"/>
        </w:rPr>
        <w:t> </w:t>
      </w:r>
      <w:r>
        <w:rPr/>
        <w:t>Games and Economic Behavior,</w:t>
      </w:r>
      <w:r>
        <w:rPr>
          <w:spacing w:val="40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Review,</w:t>
      </w:r>
      <w:r>
        <w:rPr>
          <w:spacing w:val="40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 Public</w:t>
      </w:r>
      <w:r>
        <w:rPr>
          <w:spacing w:val="-8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Behavior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Organization,</w:t>
      </w:r>
      <w:r>
        <w:rPr>
          <w:spacing w:val="40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Psychology, Management</w:t>
      </w:r>
      <w:r>
        <w:rPr>
          <w:spacing w:val="-3"/>
        </w:rPr>
        <w:t> </w:t>
      </w:r>
      <w:r>
        <w:rPr/>
        <w:t>Science,</w:t>
      </w:r>
      <w:r>
        <w:rPr>
          <w:spacing w:val="40"/>
        </w:rPr>
        <w:t> </w:t>
      </w:r>
      <w:r>
        <w:rPr/>
        <w:t>RAND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Statistics,</w:t>
      </w:r>
      <w:r>
        <w:rPr>
          <w:spacing w:val="40"/>
        </w:rPr>
        <w:t> </w:t>
      </w:r>
      <w:r>
        <w:rPr/>
        <w:t>Sage</w:t>
      </w:r>
      <w:r>
        <w:rPr>
          <w:spacing w:val="-3"/>
        </w:rPr>
        <w:t> </w:t>
      </w:r>
      <w:r>
        <w:rPr/>
        <w:t>ONE, Scandinavian Journal of Economics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spacing w:before="0"/>
        <w:ind w:left="0" w:right="359" w:firstLine="0"/>
        <w:jc w:val="center"/>
        <w:rPr>
          <w:rFonts w:ascii="Times New Roman"/>
          <w:sz w:val="16"/>
        </w:rPr>
      </w:pPr>
      <w:r>
        <w:rPr>
          <w:sz w:val="16"/>
        </w:rPr>
        <w:t>Last updated:</w:t>
      </w:r>
      <w:r>
        <w:rPr>
          <w:spacing w:val="11"/>
          <w:sz w:val="16"/>
        </w:rPr>
        <w:t> </w:t>
      </w:r>
      <w:r>
        <w:rPr>
          <w:sz w:val="16"/>
        </w:rPr>
        <w:t>August </w:t>
      </w:r>
      <w:r>
        <w:rPr>
          <w:rFonts w:ascii="Times New Roman"/>
          <w:sz w:val="16"/>
        </w:rPr>
        <w:t>16</w:t>
      </w:r>
      <w:r>
        <w:rPr>
          <w:sz w:val="16"/>
        </w:rPr>
        <w:t>,</w:t>
      </w:r>
      <w:r>
        <w:rPr>
          <w:spacing w:val="1"/>
          <w:sz w:val="16"/>
        </w:rPr>
        <w:t> </w:t>
      </w:r>
      <w:r>
        <w:rPr>
          <w:rFonts w:ascii="Times New Roman"/>
          <w:spacing w:val="-4"/>
          <w:sz w:val="16"/>
        </w:rPr>
        <w:t>2024</w:t>
      </w:r>
    </w:p>
    <w:sectPr>
      <w:pgSz w:w="12240" w:h="15840"/>
      <w:pgMar w:header="1114" w:footer="0" w:top="16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901700</wp:posOffset>
              </wp:positionH>
              <wp:positionV relativeFrom="page">
                <wp:posOffset>694921</wp:posOffset>
              </wp:positionV>
              <wp:extent cx="1003300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0330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Benjamin</w:t>
                          </w:r>
                          <w:r>
                            <w:rPr>
                              <w:i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Bushong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4.718193pt;width:79pt;height:14.45pt;mso-position-horizontal-relative:page;mso-position-vertical-relative:page;z-index:-15830016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Benjamin</w:t>
                    </w:r>
                    <w:r>
                      <w:rPr>
                        <w:i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sz w:val="20"/>
                      </w:rPr>
                      <w:t>Bushong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6756641</wp:posOffset>
              </wp:positionH>
              <wp:positionV relativeFrom="page">
                <wp:posOffset>694668</wp:posOffset>
              </wp:positionV>
              <wp:extent cx="152400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4.698269pt;width:12pt;height:14.15pt;mso-position-horizontal-relative:page;mso-position-vertical-relative:page;z-index:-158295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ind w:left="298"/>
      <w:outlineLvl w:val="2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</w:pPr>
    <w:rPr>
      <w:rFonts w:ascii="Palatino Linotype" w:hAnsi="Palatino Linotype" w:eastAsia="Palatino Linotype" w:cs="Palatino Linotype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econ.msu.edu/" TargetMode="External"/><Relationship Id="rId6" Type="http://schemas.openxmlformats.org/officeDocument/2006/relationships/hyperlink" Target="mailto:bbushong@msu.edu" TargetMode="External"/><Relationship Id="rId7" Type="http://schemas.openxmlformats.org/officeDocument/2006/relationships/hyperlink" Target="http://www.benbushong.com/" TargetMode="External"/><Relationship Id="rId8" Type="http://schemas.openxmlformats.org/officeDocument/2006/relationships/hyperlink" Target="https://www.benbushong.com/_files/ugd/81b16c_530e2d351c0349868fba095cd3a0954b.pdf" TargetMode="External"/><Relationship Id="rId9" Type="http://schemas.openxmlformats.org/officeDocument/2006/relationships/hyperlink" Target="https://www.aeaweb.org/articles?id=10.1257/mic.20210031" TargetMode="External"/><Relationship Id="rId10" Type="http://schemas.openxmlformats.org/officeDocument/2006/relationships/hyperlink" Target="https://doi.org/10.1016/j.jet.2022.105473" TargetMode="External"/><Relationship Id="rId11" Type="http://schemas.openxmlformats.org/officeDocument/2006/relationships/hyperlink" Target="https://journals.asm.org/doi/10.1128/msystems.01033-21" TargetMode="External"/><Relationship Id="rId12" Type="http://schemas.openxmlformats.org/officeDocument/2006/relationships/hyperlink" Target="https://www.restud.com/paper/a-model-of-relative-thinking/" TargetMode="External"/><Relationship Id="rId13" Type="http://schemas.openxmlformats.org/officeDocument/2006/relationships/hyperlink" Target="http://www.rnl.caltech.edu/publications/pdf/hutcherson2015a.pdf" TargetMode="External"/><Relationship Id="rId14" Type="http://schemas.openxmlformats.org/officeDocument/2006/relationships/hyperlink" Target="http://www.rnl.caltech.edu/publications/pdf/bushong2010.pdf" TargetMode="External"/><Relationship Id="rId15" Type="http://schemas.openxmlformats.org/officeDocument/2006/relationships/hyperlink" Target="https://www.benbushong.com/_files/ugd/81b16c_769fb5dc352841ac96a6840e728096d2.pdf" TargetMode="External"/><Relationship Id="rId16" Type="http://schemas.openxmlformats.org/officeDocument/2006/relationships/header" Target="header1.xml"/><Relationship Id="rId17" Type="http://schemas.openxmlformats.org/officeDocument/2006/relationships/hyperlink" Target="http://www.hss.caltech.edu/" TargetMode="External"/><Relationship Id="rId18" Type="http://schemas.openxmlformats.org/officeDocument/2006/relationships/hyperlink" Target="https://socialscience.msu.edu/news-events/news/2022-07-11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Bushong</dc:creator>
  <cp:keywords>economics, behavioral, microeconomics</cp:keywords>
  <dc:subject>Curriculum Vitae</dc:subject>
  <dc:title>Benjamin Bushong: Curriculum Vitae</dc:title>
  <dcterms:created xsi:type="dcterms:W3CDTF">2025-12-06T16:48:43Z</dcterms:created>
  <dcterms:modified xsi:type="dcterms:W3CDTF">2025-12-06T16:48:43Z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