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2815" w:val="left" w:leader="none"/>
          <w:tab w:pos="9580" w:val="left" w:leader="none"/>
        </w:tabs>
        <w:rPr>
          <w:u w:val="none"/>
        </w:rPr>
      </w:pPr>
      <w:r>
        <w:rPr>
          <w:u w:val="single"/>
        </w:rPr>
        <w:tab/>
        <w:t>ALEXIS </w:t>
      </w:r>
      <w:r>
        <w:rPr>
          <w:spacing w:val="-2"/>
          <w:u w:val="single"/>
        </w:rPr>
        <w:t>ANAGNOSTOPOULOS</w:t>
      </w:r>
      <w:r>
        <w:rPr>
          <w:u w:val="single"/>
        </w:rPr>
        <w:tab/>
      </w:r>
    </w:p>
    <w:p>
      <w:pPr>
        <w:pStyle w:val="BodyText"/>
        <w:spacing w:before="102"/>
        <w:ind w:left="0"/>
        <w:jc w:val="center"/>
      </w:pPr>
      <w:bookmarkStart w:name="Department of Economics • Stony Brook Un" w:id="1"/>
      <w:bookmarkEnd w:id="1"/>
      <w:r>
        <w:rPr/>
      </w:r>
      <w:bookmarkStart w:name="Stony Brook • New York 11794 4384 • Unit" w:id="2"/>
      <w:bookmarkEnd w:id="2"/>
      <w:r>
        <w:rPr/>
      </w:r>
      <w:r>
        <w:rPr/>
        <w:t>Department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Economics</w:t>
      </w:r>
      <w:r>
        <w:rPr>
          <w:spacing w:val="23"/>
        </w:rPr>
        <w:t> </w:t>
      </w:r>
      <w:r>
        <w:rPr/>
        <w:t>•</w:t>
      </w:r>
      <w:r>
        <w:rPr>
          <w:spacing w:val="26"/>
        </w:rPr>
        <w:t> </w:t>
      </w:r>
      <w:r>
        <w:rPr/>
        <w:t>Stony</w:t>
      </w:r>
      <w:r>
        <w:rPr>
          <w:spacing w:val="24"/>
        </w:rPr>
        <w:t> </w:t>
      </w:r>
      <w:r>
        <w:rPr/>
        <w:t>Brook</w:t>
      </w:r>
      <w:r>
        <w:rPr>
          <w:spacing w:val="27"/>
        </w:rPr>
        <w:t> </w:t>
      </w:r>
      <w:r>
        <w:rPr>
          <w:spacing w:val="-2"/>
        </w:rPr>
        <w:t>University</w:t>
      </w:r>
    </w:p>
    <w:p>
      <w:pPr>
        <w:spacing w:line="254" w:lineRule="auto" w:before="15"/>
        <w:ind w:left="2613" w:right="2566" w:firstLine="0"/>
        <w:jc w:val="center"/>
        <w:rPr>
          <w:sz w:val="18"/>
        </w:rPr>
      </w:pPr>
      <w:r>
        <w:rPr>
          <w:sz w:val="18"/>
        </w:rPr>
        <w:t>Stony Brook • New York 11794 4384 • United States</w:t>
      </w:r>
      <w:r>
        <w:rPr>
          <w:spacing w:val="40"/>
          <w:sz w:val="18"/>
        </w:rPr>
        <w:t> </w:t>
      </w:r>
      <w:r>
        <w:rPr>
          <w:sz w:val="18"/>
        </w:rPr>
        <w:t>Email: </w:t>
      </w:r>
      <w:hyperlink r:id="rId6">
        <w:r>
          <w:rPr>
            <w:sz w:val="18"/>
          </w:rPr>
          <w:t>alexis.anagnostopoulos@stonybrook.edu</w:t>
        </w:r>
      </w:hyperlink>
    </w:p>
    <w:p>
      <w:pPr>
        <w:spacing w:line="210" w:lineRule="exact" w:before="0"/>
        <w:ind w:left="0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737616</wp:posOffset>
                </wp:positionH>
                <wp:positionV relativeFrom="paragraph">
                  <wp:posOffset>152424</wp:posOffset>
                </wp:positionV>
                <wp:extent cx="6083935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839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935" h="6350">
                              <a:moveTo>
                                <a:pt x="6083808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6083808" y="6108"/>
                              </a:lnTo>
                              <a:lnTo>
                                <a:pt x="6083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080002pt;margin-top:12.00192pt;width:479.04pt;height:.481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w w:val="105"/>
          <w:sz w:val="18"/>
        </w:rPr>
        <w:t>Web: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https://sites.google.com/a/stonybrook.edu/aanagnostopoulos/</w:t>
      </w:r>
    </w:p>
    <w:p>
      <w:pPr>
        <w:pStyle w:val="Heading1"/>
        <w:spacing w:before="238"/>
      </w:pPr>
      <w:r>
        <w:rPr/>
        <w:t>ACADEMIC</w:t>
      </w:r>
      <w:r>
        <w:rPr>
          <w:spacing w:val="-8"/>
        </w:rPr>
        <w:t> </w:t>
      </w:r>
      <w:r>
        <w:rPr>
          <w:spacing w:val="-2"/>
        </w:rPr>
        <w:t>EMPLOYMENT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4" w:after="0"/>
        <w:ind w:left="415" w:right="0" w:hanging="358"/>
        <w:jc w:val="left"/>
        <w:rPr>
          <w:rFonts w:ascii="Symbol" w:hAnsi="Symbol"/>
          <w:sz w:val="21"/>
        </w:rPr>
      </w:pPr>
      <w:r>
        <w:rPr>
          <w:sz w:val="21"/>
        </w:rPr>
        <w:t>Associate</w:t>
      </w:r>
      <w:r>
        <w:rPr>
          <w:spacing w:val="12"/>
          <w:sz w:val="21"/>
        </w:rPr>
        <w:t> </w:t>
      </w:r>
      <w:r>
        <w:rPr>
          <w:sz w:val="21"/>
        </w:rPr>
        <w:t>Professor,</w:t>
      </w:r>
      <w:r>
        <w:rPr>
          <w:spacing w:val="17"/>
          <w:sz w:val="21"/>
        </w:rPr>
        <w:t> </w:t>
      </w:r>
      <w:r>
        <w:rPr>
          <w:sz w:val="21"/>
        </w:rPr>
        <w:t>Stony</w:t>
      </w:r>
      <w:r>
        <w:rPr>
          <w:spacing w:val="14"/>
          <w:sz w:val="21"/>
        </w:rPr>
        <w:t> </w:t>
      </w:r>
      <w:r>
        <w:rPr>
          <w:sz w:val="21"/>
        </w:rPr>
        <w:t>Brook</w:t>
      </w:r>
      <w:r>
        <w:rPr>
          <w:spacing w:val="17"/>
          <w:sz w:val="21"/>
        </w:rPr>
        <w:t> </w:t>
      </w:r>
      <w:r>
        <w:rPr>
          <w:sz w:val="21"/>
        </w:rPr>
        <w:t>University,</w:t>
      </w:r>
      <w:r>
        <w:rPr>
          <w:spacing w:val="16"/>
          <w:sz w:val="21"/>
        </w:rPr>
        <w:t> </w:t>
      </w:r>
      <w:r>
        <w:rPr>
          <w:sz w:val="21"/>
        </w:rPr>
        <w:t>2015</w:t>
      </w:r>
      <w:r>
        <w:rPr>
          <w:spacing w:val="17"/>
          <w:sz w:val="21"/>
        </w:rPr>
        <w:t> </w:t>
      </w:r>
      <w:r>
        <w:rPr>
          <w:spacing w:val="-10"/>
          <w:sz w:val="21"/>
        </w:rPr>
        <w:t>–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72" w:after="0"/>
        <w:ind w:left="415" w:right="0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Visiting Scholar,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Faculty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of Economics, University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Cambridge,</w:t>
      </w:r>
      <w:r>
        <w:rPr>
          <w:spacing w:val="1"/>
          <w:w w:val="105"/>
          <w:sz w:val="21"/>
        </w:rPr>
        <w:t> </w:t>
      </w:r>
      <w:r>
        <w:rPr>
          <w:spacing w:val="-4"/>
          <w:w w:val="105"/>
          <w:sz w:val="21"/>
        </w:rPr>
        <w:t>2016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73" w:after="0"/>
        <w:ind w:left="415" w:right="0" w:hanging="358"/>
        <w:jc w:val="left"/>
        <w:rPr>
          <w:rFonts w:ascii="Symbol" w:hAnsi="Symbol"/>
          <w:sz w:val="21"/>
        </w:rPr>
      </w:pPr>
      <w:r>
        <w:rPr>
          <w:sz w:val="21"/>
        </w:rPr>
        <w:t>Assistant</w:t>
      </w:r>
      <w:r>
        <w:rPr>
          <w:spacing w:val="12"/>
          <w:sz w:val="21"/>
        </w:rPr>
        <w:t> </w:t>
      </w:r>
      <w:r>
        <w:rPr>
          <w:sz w:val="21"/>
        </w:rPr>
        <w:t>Professor,</w:t>
      </w:r>
      <w:r>
        <w:rPr>
          <w:spacing w:val="15"/>
          <w:sz w:val="21"/>
        </w:rPr>
        <w:t> </w:t>
      </w:r>
      <w:r>
        <w:rPr>
          <w:sz w:val="21"/>
        </w:rPr>
        <w:t>Stony</w:t>
      </w:r>
      <w:r>
        <w:rPr>
          <w:spacing w:val="13"/>
          <w:sz w:val="21"/>
        </w:rPr>
        <w:t> </w:t>
      </w:r>
      <w:r>
        <w:rPr>
          <w:sz w:val="21"/>
        </w:rPr>
        <w:t>Brook</w:t>
      </w:r>
      <w:r>
        <w:rPr>
          <w:spacing w:val="15"/>
          <w:sz w:val="21"/>
        </w:rPr>
        <w:t> </w:t>
      </w:r>
      <w:r>
        <w:rPr>
          <w:sz w:val="21"/>
        </w:rPr>
        <w:t>University,</w:t>
      </w:r>
      <w:r>
        <w:rPr>
          <w:spacing w:val="15"/>
          <w:sz w:val="21"/>
        </w:rPr>
        <w:t> </w:t>
      </w:r>
      <w:r>
        <w:rPr>
          <w:sz w:val="21"/>
        </w:rPr>
        <w:t>2011</w:t>
      </w:r>
      <w:r>
        <w:rPr>
          <w:spacing w:val="15"/>
          <w:sz w:val="21"/>
        </w:rPr>
        <w:t> </w:t>
      </w:r>
      <w:r>
        <w:rPr>
          <w:sz w:val="21"/>
        </w:rPr>
        <w:t>–</w:t>
      </w:r>
      <w:r>
        <w:rPr>
          <w:spacing w:val="9"/>
          <w:sz w:val="21"/>
        </w:rPr>
        <w:t> </w:t>
      </w:r>
      <w:r>
        <w:rPr>
          <w:spacing w:val="-4"/>
          <w:sz w:val="21"/>
        </w:rPr>
        <w:t>2015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73" w:after="0"/>
        <w:ind w:left="415" w:right="0" w:hanging="357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Visiting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Scholar,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Faculty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Economics,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University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Cambridge,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2010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-8"/>
          <w:w w:val="105"/>
          <w:sz w:val="21"/>
        </w:rPr>
        <w:t> </w:t>
      </w:r>
      <w:r>
        <w:rPr>
          <w:spacing w:val="-4"/>
          <w:w w:val="105"/>
          <w:sz w:val="21"/>
        </w:rPr>
        <w:t>2011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71" w:after="0"/>
        <w:ind w:left="415" w:right="0" w:hanging="357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Visiting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Scholar,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UCLA,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2010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(April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4"/>
          <w:w w:val="105"/>
          <w:sz w:val="21"/>
        </w:rPr>
        <w:t> </w:t>
      </w:r>
      <w:r>
        <w:rPr>
          <w:spacing w:val="-4"/>
          <w:w w:val="105"/>
          <w:sz w:val="21"/>
        </w:rPr>
        <w:t>June)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74" w:after="0"/>
        <w:ind w:left="416" w:right="0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Visiting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Scholar,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USC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Marshall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School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Business,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2010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(Jan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-8"/>
          <w:w w:val="105"/>
          <w:sz w:val="21"/>
        </w:rPr>
        <w:t> </w:t>
      </w:r>
      <w:r>
        <w:rPr>
          <w:spacing w:val="-2"/>
          <w:w w:val="105"/>
          <w:sz w:val="21"/>
        </w:rPr>
        <w:t>March)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73" w:after="0"/>
        <w:ind w:left="416" w:right="0" w:hanging="358"/>
        <w:jc w:val="left"/>
        <w:rPr>
          <w:rFonts w:ascii="Symbol" w:hAnsi="Symbol"/>
          <w:sz w:val="21"/>
        </w:rPr>
      </w:pPr>
      <w:r>
        <w:rPr>
          <w:sz w:val="21"/>
        </w:rPr>
        <w:t>Assistant</w:t>
      </w:r>
      <w:r>
        <w:rPr>
          <w:spacing w:val="12"/>
          <w:sz w:val="21"/>
        </w:rPr>
        <w:t> </w:t>
      </w:r>
      <w:r>
        <w:rPr>
          <w:sz w:val="21"/>
        </w:rPr>
        <w:t>Professor,</w:t>
      </w:r>
      <w:r>
        <w:rPr>
          <w:spacing w:val="15"/>
          <w:sz w:val="21"/>
        </w:rPr>
        <w:t> </w:t>
      </w:r>
      <w:r>
        <w:rPr>
          <w:sz w:val="21"/>
        </w:rPr>
        <w:t>Stony</w:t>
      </w:r>
      <w:r>
        <w:rPr>
          <w:spacing w:val="13"/>
          <w:sz w:val="21"/>
        </w:rPr>
        <w:t> </w:t>
      </w:r>
      <w:r>
        <w:rPr>
          <w:sz w:val="21"/>
        </w:rPr>
        <w:t>Brook</w:t>
      </w:r>
      <w:r>
        <w:rPr>
          <w:spacing w:val="15"/>
          <w:sz w:val="21"/>
        </w:rPr>
        <w:t> </w:t>
      </w:r>
      <w:r>
        <w:rPr>
          <w:sz w:val="21"/>
        </w:rPr>
        <w:t>University,</w:t>
      </w:r>
      <w:r>
        <w:rPr>
          <w:spacing w:val="15"/>
          <w:sz w:val="21"/>
        </w:rPr>
        <w:t> </w:t>
      </w:r>
      <w:r>
        <w:rPr>
          <w:sz w:val="21"/>
        </w:rPr>
        <w:t>2006</w:t>
      </w:r>
      <w:r>
        <w:rPr>
          <w:spacing w:val="14"/>
          <w:sz w:val="21"/>
        </w:rPr>
        <w:t> </w:t>
      </w:r>
      <w:r>
        <w:rPr>
          <w:sz w:val="21"/>
        </w:rPr>
        <w:t>–</w:t>
      </w:r>
      <w:r>
        <w:rPr>
          <w:spacing w:val="10"/>
          <w:sz w:val="21"/>
        </w:rPr>
        <w:t> </w:t>
      </w:r>
      <w:r>
        <w:rPr>
          <w:spacing w:val="-4"/>
          <w:sz w:val="21"/>
        </w:rPr>
        <w:t>2010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71" w:after="0"/>
        <w:ind w:left="416" w:right="0" w:hanging="358"/>
        <w:jc w:val="left"/>
        <w:rPr>
          <w:rFonts w:ascii="Symbol" w:hAnsi="Symbol"/>
          <w:sz w:val="21"/>
        </w:rPr>
      </w:pPr>
      <w:r>
        <w:rPr>
          <w:sz w:val="21"/>
        </w:rPr>
        <w:t>Lecturer,</w:t>
      </w:r>
      <w:r>
        <w:rPr>
          <w:spacing w:val="12"/>
          <w:sz w:val="21"/>
        </w:rPr>
        <w:t> </w:t>
      </w:r>
      <w:r>
        <w:rPr>
          <w:sz w:val="21"/>
        </w:rPr>
        <w:t>Stony</w:t>
      </w:r>
      <w:r>
        <w:rPr>
          <w:spacing w:val="10"/>
          <w:sz w:val="21"/>
        </w:rPr>
        <w:t> </w:t>
      </w:r>
      <w:r>
        <w:rPr>
          <w:sz w:val="21"/>
        </w:rPr>
        <w:t>Brook</w:t>
      </w:r>
      <w:r>
        <w:rPr>
          <w:spacing w:val="13"/>
          <w:sz w:val="21"/>
        </w:rPr>
        <w:t> </w:t>
      </w:r>
      <w:r>
        <w:rPr>
          <w:sz w:val="21"/>
        </w:rPr>
        <w:t>University,</w:t>
      </w:r>
      <w:r>
        <w:rPr>
          <w:spacing w:val="10"/>
          <w:sz w:val="21"/>
        </w:rPr>
        <w:t> </w:t>
      </w:r>
      <w:r>
        <w:rPr>
          <w:sz w:val="21"/>
        </w:rPr>
        <w:t>2005</w:t>
      </w:r>
      <w:r>
        <w:rPr>
          <w:spacing w:val="12"/>
          <w:sz w:val="21"/>
        </w:rPr>
        <w:t> </w:t>
      </w:r>
      <w:r>
        <w:rPr>
          <w:sz w:val="21"/>
        </w:rPr>
        <w:t>–</w:t>
      </w:r>
      <w:r>
        <w:rPr>
          <w:spacing w:val="13"/>
          <w:sz w:val="21"/>
        </w:rPr>
        <w:t> </w:t>
      </w:r>
      <w:r>
        <w:rPr>
          <w:spacing w:val="-4"/>
          <w:sz w:val="21"/>
        </w:rPr>
        <w:t>2006</w:t>
      </w:r>
    </w:p>
    <w:p>
      <w:pPr>
        <w:pStyle w:val="BodyText"/>
        <w:spacing w:before="65"/>
        <w:ind w:left="0"/>
      </w:pPr>
    </w:p>
    <w:p>
      <w:pPr>
        <w:pStyle w:val="Heading1"/>
        <w:ind w:left="58"/>
      </w:pPr>
      <w:bookmarkStart w:name="Education" w:id="3"/>
      <w:bookmarkEnd w:id="3"/>
      <w:r>
        <w:rPr>
          <w:b w:val="0"/>
        </w:rPr>
      </w: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54" w:lineRule="auto" w:before="113" w:after="0"/>
        <w:ind w:left="416" w:right="52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PhD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Economics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(June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2006),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London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Business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School,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UK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(advisor: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M.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Ravn);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thesis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title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‘Essays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on Dynamic Macroeconomics with Imperfect Capital Markets’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35" w:lineRule="auto" w:before="60" w:after="0"/>
        <w:ind w:left="416" w:right="53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MSc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Econometrics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Mathematical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Economics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(July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1999),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London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School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Economics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and Political Science, UK - </w:t>
      </w:r>
      <w:r>
        <w:rPr>
          <w:rFonts w:ascii="Palatino Linotype" w:hAnsi="Palatino Linotype"/>
          <w:i/>
          <w:w w:val="105"/>
          <w:sz w:val="21"/>
        </w:rPr>
        <w:t>Distinction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35" w:lineRule="auto" w:before="63" w:after="0"/>
        <w:ind w:left="417" w:right="54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BSc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Business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Mathematics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Statistics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(July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1997),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London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School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Economics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Political Science, London, UK – </w:t>
      </w:r>
      <w:r>
        <w:rPr>
          <w:rFonts w:ascii="Palatino Linotype" w:hAnsi="Palatino Linotype"/>
          <w:i/>
          <w:w w:val="105"/>
          <w:sz w:val="21"/>
        </w:rPr>
        <w:t>First Class</w:t>
      </w:r>
    </w:p>
    <w:p>
      <w:pPr>
        <w:pStyle w:val="BodyText"/>
        <w:spacing w:before="10"/>
        <w:ind w:left="0"/>
        <w:rPr>
          <w:rFonts w:ascii="Palatino Linotype"/>
          <w:i/>
        </w:rPr>
      </w:pPr>
    </w:p>
    <w:p>
      <w:pPr>
        <w:pStyle w:val="Heading1"/>
        <w:ind w:left="59"/>
      </w:pP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419" w:val="left" w:leader="none"/>
        </w:tabs>
        <w:spacing w:line="218" w:lineRule="auto" w:before="126" w:after="0"/>
        <w:ind w:left="419" w:right="53" w:hanging="361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“An Evolutionary Theory of Inflation Inertia”, joint with I. Bove, O. Licandro and K. Schlag, </w:t>
      </w:r>
      <w:r>
        <w:rPr>
          <w:rFonts w:ascii="Palatino Linotype" w:hAnsi="Palatino Linotype"/>
          <w:i/>
          <w:w w:val="105"/>
          <w:sz w:val="21"/>
        </w:rPr>
        <w:t>Journal of</w:t>
      </w:r>
      <w:r>
        <w:rPr>
          <w:rFonts w:ascii="Palatino Linotype" w:hAnsi="Palatino Linotype"/>
          <w:i/>
          <w:spacing w:val="-13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European</w:t>
      </w:r>
      <w:r>
        <w:rPr>
          <w:rFonts w:ascii="Palatino Linotype" w:hAnsi="Palatino Linotype"/>
          <w:i/>
          <w:spacing w:val="-12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Economic</w:t>
      </w:r>
      <w:r>
        <w:rPr>
          <w:rFonts w:ascii="Palatino Linotype" w:hAnsi="Palatino Linotype"/>
          <w:i/>
          <w:spacing w:val="-13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Association</w:t>
      </w:r>
      <w:r>
        <w:rPr>
          <w:rFonts w:ascii="Palatino Linotype" w:hAnsi="Palatino Linotype"/>
          <w:i/>
          <w:spacing w:val="-12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P&amp;P</w:t>
      </w:r>
      <w:r>
        <w:rPr>
          <w:w w:val="105"/>
          <w:sz w:val="21"/>
        </w:rPr>
        <w:t>,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April-May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2007,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Vol.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5,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No.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2-3,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pp.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433-443.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35" w:lineRule="auto" w:before="68" w:after="0"/>
        <w:ind w:left="420" w:right="52" w:hanging="361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“Dividend and Capital Gains Taxation under Incomplete Markets”, with E. Carceles-Poveda and D. Lin.</w:t>
      </w:r>
      <w:r>
        <w:rPr>
          <w:spacing w:val="-13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Journal</w:t>
      </w:r>
      <w:r>
        <w:rPr>
          <w:rFonts w:ascii="Palatino Linotype" w:hAnsi="Palatino Linotype"/>
          <w:i/>
          <w:spacing w:val="-13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of</w:t>
      </w:r>
      <w:r>
        <w:rPr>
          <w:rFonts w:ascii="Palatino Linotype" w:hAnsi="Palatino Linotype"/>
          <w:i/>
          <w:spacing w:val="-14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Monetary</w:t>
      </w:r>
      <w:r>
        <w:rPr>
          <w:rFonts w:ascii="Palatino Linotype" w:hAnsi="Palatino Linotype"/>
          <w:i/>
          <w:spacing w:val="-14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Economics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vol.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59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(7),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November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2012,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pp.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599-611.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55" w:lineRule="exact" w:before="56" w:after="0"/>
        <w:ind w:left="472" w:right="0" w:hanging="412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“Indeterminacy</w:t>
      </w:r>
      <w:r>
        <w:rPr>
          <w:spacing w:val="63"/>
          <w:w w:val="150"/>
          <w:sz w:val="21"/>
        </w:rPr>
        <w:t> </w:t>
      </w:r>
      <w:r>
        <w:rPr>
          <w:w w:val="105"/>
          <w:sz w:val="21"/>
        </w:rPr>
        <w:t>and</w:t>
      </w:r>
      <w:r>
        <w:rPr>
          <w:spacing w:val="64"/>
          <w:w w:val="150"/>
          <w:sz w:val="21"/>
        </w:rPr>
        <w:t> </w:t>
      </w:r>
      <w:r>
        <w:rPr>
          <w:w w:val="105"/>
          <w:sz w:val="21"/>
        </w:rPr>
        <w:t>Period</w:t>
      </w:r>
      <w:r>
        <w:rPr>
          <w:spacing w:val="62"/>
          <w:w w:val="150"/>
          <w:sz w:val="21"/>
        </w:rPr>
        <w:t> </w:t>
      </w:r>
      <w:r>
        <w:rPr>
          <w:w w:val="105"/>
          <w:sz w:val="21"/>
        </w:rPr>
        <w:t>Length</w:t>
      </w:r>
      <w:r>
        <w:rPr>
          <w:spacing w:val="63"/>
          <w:w w:val="150"/>
          <w:sz w:val="21"/>
        </w:rPr>
        <w:t> </w:t>
      </w:r>
      <w:r>
        <w:rPr>
          <w:w w:val="105"/>
          <w:sz w:val="21"/>
        </w:rPr>
        <w:t>under</w:t>
      </w:r>
      <w:r>
        <w:rPr>
          <w:spacing w:val="64"/>
          <w:w w:val="150"/>
          <w:sz w:val="21"/>
        </w:rPr>
        <w:t> </w:t>
      </w:r>
      <w:r>
        <w:rPr>
          <w:w w:val="105"/>
          <w:sz w:val="21"/>
        </w:rPr>
        <w:t>Balanced</w:t>
      </w:r>
      <w:r>
        <w:rPr>
          <w:spacing w:val="64"/>
          <w:w w:val="150"/>
          <w:sz w:val="21"/>
        </w:rPr>
        <w:t> </w:t>
      </w:r>
      <w:r>
        <w:rPr>
          <w:w w:val="105"/>
          <w:sz w:val="21"/>
        </w:rPr>
        <w:t>Budget</w:t>
      </w:r>
      <w:r>
        <w:rPr>
          <w:spacing w:val="64"/>
          <w:w w:val="150"/>
          <w:sz w:val="21"/>
        </w:rPr>
        <w:t> </w:t>
      </w:r>
      <w:r>
        <w:rPr>
          <w:w w:val="105"/>
          <w:sz w:val="21"/>
        </w:rPr>
        <w:t>Rules”,</w:t>
      </w:r>
      <w:r>
        <w:rPr>
          <w:spacing w:val="64"/>
          <w:w w:val="150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63"/>
          <w:w w:val="150"/>
          <w:sz w:val="21"/>
        </w:rPr>
        <w:t> </w:t>
      </w:r>
      <w:r>
        <w:rPr>
          <w:w w:val="105"/>
          <w:sz w:val="21"/>
        </w:rPr>
        <w:t>C.</w:t>
      </w:r>
      <w:r>
        <w:rPr>
          <w:spacing w:val="64"/>
          <w:w w:val="150"/>
          <w:sz w:val="21"/>
        </w:rPr>
        <w:t> </w:t>
      </w:r>
      <w:r>
        <w:rPr>
          <w:spacing w:val="-2"/>
          <w:w w:val="105"/>
          <w:sz w:val="21"/>
        </w:rPr>
        <w:t>Giannitsarou.</w:t>
      </w:r>
    </w:p>
    <w:p>
      <w:pPr>
        <w:spacing w:line="281" w:lineRule="exact" w:before="0"/>
        <w:ind w:left="420" w:right="0" w:firstLine="0"/>
        <w:jc w:val="left"/>
        <w:rPr>
          <w:sz w:val="21"/>
        </w:rPr>
      </w:pPr>
      <w:r>
        <w:rPr>
          <w:rFonts w:ascii="Palatino Linotype"/>
          <w:i/>
          <w:sz w:val="21"/>
        </w:rPr>
        <w:t>Macroeconomic</w:t>
      </w:r>
      <w:r>
        <w:rPr>
          <w:rFonts w:ascii="Palatino Linotype"/>
          <w:i/>
          <w:spacing w:val="-13"/>
          <w:sz w:val="21"/>
        </w:rPr>
        <w:t> </w:t>
      </w:r>
      <w:r>
        <w:rPr>
          <w:rFonts w:ascii="Palatino Linotype"/>
          <w:i/>
          <w:sz w:val="21"/>
        </w:rPr>
        <w:t>Dynamics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sz w:val="21"/>
        </w:rPr>
        <w:t>2013,</w:t>
      </w:r>
      <w:r>
        <w:rPr>
          <w:spacing w:val="-8"/>
          <w:sz w:val="21"/>
        </w:rPr>
        <w:t> </w:t>
      </w:r>
      <w:r>
        <w:rPr>
          <w:sz w:val="21"/>
        </w:rPr>
        <w:t>vol.</w:t>
      </w:r>
      <w:r>
        <w:rPr>
          <w:spacing w:val="-7"/>
          <w:sz w:val="21"/>
        </w:rPr>
        <w:t> </w:t>
      </w:r>
      <w:r>
        <w:rPr>
          <w:sz w:val="21"/>
        </w:rPr>
        <w:t>17</w:t>
      </w:r>
      <w:r>
        <w:rPr>
          <w:spacing w:val="-7"/>
          <w:sz w:val="21"/>
        </w:rPr>
        <w:t> </w:t>
      </w:r>
      <w:r>
        <w:rPr>
          <w:sz w:val="21"/>
        </w:rPr>
        <w:t>(4),</w:t>
      </w:r>
      <w:r>
        <w:rPr>
          <w:spacing w:val="-7"/>
          <w:sz w:val="21"/>
        </w:rPr>
        <w:t> </w:t>
      </w:r>
      <w:r>
        <w:rPr>
          <w:sz w:val="21"/>
        </w:rPr>
        <w:t>pp.</w:t>
      </w:r>
      <w:r>
        <w:rPr>
          <w:spacing w:val="-7"/>
          <w:sz w:val="21"/>
        </w:rPr>
        <w:t> </w:t>
      </w:r>
      <w:r>
        <w:rPr>
          <w:sz w:val="21"/>
        </w:rPr>
        <w:t>898-</w:t>
      </w:r>
      <w:r>
        <w:rPr>
          <w:spacing w:val="-4"/>
          <w:sz w:val="21"/>
        </w:rPr>
        <w:t>919.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32" w:lineRule="auto" w:before="64" w:after="0"/>
        <w:ind w:left="420" w:right="51" w:hanging="361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“Skill-Biased Technological Change and Homeownership”, with O. E. Atesagaoglu and E. Carceles- </w:t>
      </w:r>
      <w:r>
        <w:rPr>
          <w:spacing w:val="-2"/>
          <w:w w:val="105"/>
          <w:sz w:val="21"/>
        </w:rPr>
        <w:t>Poveda.</w:t>
      </w:r>
      <w:r>
        <w:rPr>
          <w:spacing w:val="-3"/>
          <w:w w:val="105"/>
          <w:sz w:val="21"/>
        </w:rPr>
        <w:t> </w:t>
      </w:r>
      <w:r>
        <w:rPr>
          <w:rFonts w:ascii="Palatino Linotype" w:hAnsi="Palatino Linotype"/>
          <w:i/>
          <w:spacing w:val="-2"/>
          <w:w w:val="105"/>
          <w:sz w:val="21"/>
        </w:rPr>
        <w:t>Journal</w:t>
      </w:r>
      <w:r>
        <w:rPr>
          <w:rFonts w:ascii="Palatino Linotype" w:hAnsi="Palatino Linotype"/>
          <w:i/>
          <w:spacing w:val="-10"/>
          <w:w w:val="105"/>
          <w:sz w:val="21"/>
        </w:rPr>
        <w:t> </w:t>
      </w:r>
      <w:r>
        <w:rPr>
          <w:rFonts w:ascii="Palatino Linotype" w:hAnsi="Palatino Linotype"/>
          <w:i/>
          <w:spacing w:val="-2"/>
          <w:w w:val="105"/>
          <w:sz w:val="21"/>
        </w:rPr>
        <w:t>of</w:t>
      </w:r>
      <w:r>
        <w:rPr>
          <w:rFonts w:ascii="Palatino Linotype" w:hAnsi="Palatino Linotype"/>
          <w:i/>
          <w:spacing w:val="-10"/>
          <w:w w:val="105"/>
          <w:sz w:val="21"/>
        </w:rPr>
        <w:t> </w:t>
      </w:r>
      <w:r>
        <w:rPr>
          <w:rFonts w:ascii="Palatino Linotype" w:hAnsi="Palatino Linotype"/>
          <w:i/>
          <w:spacing w:val="-2"/>
          <w:w w:val="105"/>
          <w:sz w:val="21"/>
        </w:rPr>
        <w:t>Economic</w:t>
      </w:r>
      <w:r>
        <w:rPr>
          <w:rFonts w:ascii="Palatino Linotype" w:hAnsi="Palatino Linotype"/>
          <w:i/>
          <w:spacing w:val="-10"/>
          <w:w w:val="105"/>
          <w:sz w:val="21"/>
        </w:rPr>
        <w:t> </w:t>
      </w:r>
      <w:r>
        <w:rPr>
          <w:rFonts w:ascii="Palatino Linotype" w:hAnsi="Palatino Linotype"/>
          <w:i/>
          <w:spacing w:val="-2"/>
          <w:w w:val="105"/>
          <w:sz w:val="21"/>
        </w:rPr>
        <w:t>Dynamics</w:t>
      </w:r>
      <w:r>
        <w:rPr>
          <w:rFonts w:ascii="Palatino Linotype" w:hAnsi="Palatino Linotype"/>
          <w:i/>
          <w:spacing w:val="-10"/>
          <w:w w:val="105"/>
          <w:sz w:val="21"/>
        </w:rPr>
        <w:t> </w:t>
      </w:r>
      <w:r>
        <w:rPr>
          <w:rFonts w:ascii="Palatino Linotype" w:hAnsi="Palatino Linotype"/>
          <w:i/>
          <w:spacing w:val="-2"/>
          <w:w w:val="105"/>
          <w:sz w:val="21"/>
        </w:rPr>
        <w:t>and</w:t>
      </w:r>
      <w:r>
        <w:rPr>
          <w:rFonts w:ascii="Palatino Linotype" w:hAnsi="Palatino Linotype"/>
          <w:i/>
          <w:spacing w:val="-12"/>
          <w:w w:val="105"/>
          <w:sz w:val="21"/>
        </w:rPr>
        <w:t> </w:t>
      </w:r>
      <w:r>
        <w:rPr>
          <w:rFonts w:ascii="Palatino Linotype" w:hAnsi="Palatino Linotype"/>
          <w:i/>
          <w:spacing w:val="-2"/>
          <w:w w:val="105"/>
          <w:sz w:val="21"/>
        </w:rPr>
        <w:t>Control</w:t>
      </w:r>
      <w:r>
        <w:rPr>
          <w:spacing w:val="-2"/>
          <w:w w:val="105"/>
          <w:sz w:val="21"/>
        </w:rPr>
        <w:t>,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2013,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vol.</w:t>
      </w:r>
      <w:r>
        <w:rPr>
          <w:spacing w:val="-5"/>
          <w:w w:val="105"/>
          <w:sz w:val="21"/>
        </w:rPr>
        <w:t> </w:t>
      </w:r>
      <w:r>
        <w:rPr>
          <w:spacing w:val="-2"/>
          <w:w w:val="105"/>
          <w:sz w:val="21"/>
        </w:rPr>
        <w:t>37,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pp.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3012-3033.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9" w:after="0"/>
        <w:ind w:left="420" w:right="52" w:hanging="361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“Consumption Taxes and Precautionary Savings”, with Q. Li. </w:t>
      </w:r>
      <w:r>
        <w:rPr>
          <w:rFonts w:ascii="Palatino Linotype" w:hAnsi="Palatino Linotype"/>
          <w:i/>
          <w:w w:val="105"/>
          <w:sz w:val="21"/>
        </w:rPr>
        <w:t>Economics</w:t>
      </w:r>
      <w:r>
        <w:rPr>
          <w:rFonts w:ascii="Palatino Linotype" w:hAnsi="Palatino Linotype"/>
          <w:i/>
          <w:spacing w:val="-3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Letters</w:t>
      </w:r>
      <w:r>
        <w:rPr>
          <w:w w:val="105"/>
          <w:sz w:val="21"/>
        </w:rPr>
        <w:t>, 2013, vol. 119, pp. </w:t>
      </w:r>
      <w:r>
        <w:rPr>
          <w:spacing w:val="-2"/>
          <w:w w:val="105"/>
          <w:sz w:val="21"/>
        </w:rPr>
        <w:t>238-242.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  <w:tab w:pos="473" w:val="left" w:leader="none"/>
        </w:tabs>
        <w:spacing w:line="232" w:lineRule="auto" w:before="79" w:after="0"/>
        <w:ind w:left="420" w:right="52" w:hanging="361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“Evaluating</w:t>
      </w:r>
      <w:r>
        <w:rPr>
          <w:spacing w:val="40"/>
          <w:w w:val="105"/>
          <w:sz w:val="21"/>
        </w:rPr>
        <w:t>  </w:t>
      </w:r>
      <w:r>
        <w:rPr>
          <w:w w:val="105"/>
          <w:sz w:val="21"/>
        </w:rPr>
        <w:t>Linear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Approximations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Two-Country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Occasionally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Binding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Borrowing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Constraints”,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X.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Tang,</w:t>
      </w:r>
      <w:r>
        <w:rPr>
          <w:spacing w:val="-4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The</w:t>
      </w:r>
      <w:r>
        <w:rPr>
          <w:rFonts w:ascii="Palatino Linotype" w:hAnsi="Palatino Linotype"/>
          <w:i/>
          <w:spacing w:val="-12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BE</w:t>
      </w:r>
      <w:r>
        <w:rPr>
          <w:rFonts w:ascii="Palatino Linotype" w:hAnsi="Palatino Linotype"/>
          <w:i/>
          <w:spacing w:val="-9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Journal</w:t>
      </w:r>
      <w:r>
        <w:rPr>
          <w:rFonts w:ascii="Palatino Linotype" w:hAnsi="Palatino Linotype"/>
          <w:i/>
          <w:spacing w:val="-10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of</w:t>
      </w:r>
      <w:r>
        <w:rPr>
          <w:rFonts w:ascii="Palatino Linotype" w:hAnsi="Palatino Linotype"/>
          <w:i/>
          <w:spacing w:val="-10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Macroeconomics</w:t>
      </w:r>
      <w:r>
        <w:rPr>
          <w:w w:val="105"/>
          <w:sz w:val="21"/>
        </w:rPr>
        <w:t>,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vol.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15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(1),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January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2015.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20" w:lineRule="auto" w:before="68" w:after="0"/>
        <w:ind w:left="421" w:right="49" w:hanging="361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“External Debt Evolution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when Global Financial Markets are Incomplete” with G. Siourounis. In</w:t>
      </w:r>
      <w:r>
        <w:rPr>
          <w:spacing w:val="-3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A </w:t>
      </w:r>
      <w:r>
        <w:rPr>
          <w:rFonts w:ascii="Palatino Linotype" w:hAnsi="Palatino Linotype"/>
          <w:i/>
          <w:sz w:val="21"/>
        </w:rPr>
        <w:t>Financial Crisis Manual: Reflections and the Road Ahead</w:t>
      </w:r>
      <w:r>
        <w:rPr>
          <w:sz w:val="21"/>
        </w:rPr>
        <w:t>, edited by D. Thomakos, P. Monokroussos and</w:t>
      </w:r>
    </w:p>
    <w:p>
      <w:pPr>
        <w:pStyle w:val="BodyText"/>
        <w:spacing w:before="3"/>
        <w:ind w:left="421"/>
      </w:pPr>
      <w:r>
        <w:rPr>
          <w:w w:val="105"/>
        </w:rPr>
        <w:t>K.</w:t>
      </w:r>
      <w:r>
        <w:rPr>
          <w:spacing w:val="14"/>
          <w:w w:val="105"/>
        </w:rPr>
        <w:t> </w:t>
      </w:r>
      <w:r>
        <w:rPr>
          <w:w w:val="105"/>
        </w:rPr>
        <w:t>Nikolopoulos,</w:t>
      </w:r>
      <w:r>
        <w:rPr>
          <w:spacing w:val="14"/>
          <w:w w:val="105"/>
        </w:rPr>
        <w:t> </w:t>
      </w:r>
      <w:r>
        <w:rPr>
          <w:w w:val="105"/>
        </w:rPr>
        <w:t>Palgrave</w:t>
      </w:r>
      <w:r>
        <w:rPr>
          <w:spacing w:val="10"/>
          <w:w w:val="105"/>
        </w:rPr>
        <w:t> </w:t>
      </w:r>
      <w:r>
        <w:rPr>
          <w:w w:val="105"/>
        </w:rPr>
        <w:t>Mc</w:t>
      </w:r>
      <w:r>
        <w:rPr>
          <w:spacing w:val="14"/>
          <w:w w:val="105"/>
        </w:rPr>
        <w:t> </w:t>
      </w:r>
      <w:r>
        <w:rPr>
          <w:w w:val="105"/>
        </w:rPr>
        <w:t>Millan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2015.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55" w:lineRule="exact" w:before="73" w:after="0"/>
        <w:ind w:left="421" w:right="0" w:hanging="360"/>
        <w:jc w:val="left"/>
        <w:rPr>
          <w:rFonts w:ascii="Symbol" w:hAnsi="Symbol"/>
          <w:sz w:val="21"/>
        </w:rPr>
      </w:pPr>
      <w:r>
        <w:rPr>
          <w:spacing w:val="-2"/>
          <w:w w:val="105"/>
          <w:sz w:val="21"/>
        </w:rPr>
        <w:t>“Value-Preserving Welfare</w:t>
      </w:r>
      <w:r>
        <w:rPr>
          <w:w w:val="105"/>
          <w:sz w:val="21"/>
        </w:rPr>
        <w:t> </w:t>
      </w:r>
      <w:r>
        <w:rPr>
          <w:spacing w:val="-2"/>
          <w:w w:val="105"/>
          <w:sz w:val="21"/>
        </w:rPr>
        <w:t>Weights</w:t>
      </w:r>
      <w:r>
        <w:rPr>
          <w:w w:val="105"/>
          <w:sz w:val="21"/>
        </w:rPr>
        <w:t> </w:t>
      </w:r>
      <w:r>
        <w:rPr>
          <w:spacing w:val="-2"/>
          <w:w w:val="105"/>
          <w:sz w:val="21"/>
        </w:rPr>
        <w:t>for Social</w:t>
      </w:r>
      <w:r>
        <w:rPr>
          <w:spacing w:val="1"/>
          <w:w w:val="105"/>
          <w:sz w:val="21"/>
        </w:rPr>
        <w:t> </w:t>
      </w:r>
      <w:r>
        <w:rPr>
          <w:spacing w:val="-2"/>
          <w:w w:val="105"/>
          <w:sz w:val="21"/>
        </w:rPr>
        <w:t>Optimization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Problems”</w:t>
      </w:r>
      <w:r>
        <w:rPr>
          <w:spacing w:val="1"/>
          <w:w w:val="105"/>
          <w:sz w:val="21"/>
        </w:rPr>
        <w:t> </w:t>
      </w:r>
      <w:r>
        <w:rPr>
          <w:spacing w:val="-2"/>
          <w:w w:val="105"/>
          <w:sz w:val="21"/>
        </w:rPr>
        <w:t>with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E.</w:t>
      </w:r>
      <w:r>
        <w:rPr>
          <w:spacing w:val="-5"/>
          <w:w w:val="105"/>
          <w:sz w:val="21"/>
        </w:rPr>
        <w:t> </w:t>
      </w:r>
      <w:r>
        <w:rPr>
          <w:spacing w:val="-2"/>
          <w:w w:val="105"/>
          <w:sz w:val="21"/>
        </w:rPr>
        <w:t>Carceles-Poveda</w:t>
      </w:r>
      <w:r>
        <w:rPr>
          <w:spacing w:val="-1"/>
          <w:w w:val="105"/>
          <w:sz w:val="21"/>
        </w:rPr>
        <w:t> </w:t>
      </w:r>
      <w:r>
        <w:rPr>
          <w:spacing w:val="-5"/>
          <w:w w:val="105"/>
          <w:sz w:val="21"/>
        </w:rPr>
        <w:t>and</w:t>
      </w:r>
    </w:p>
    <w:p>
      <w:pPr>
        <w:spacing w:line="281" w:lineRule="exact" w:before="0"/>
        <w:ind w:left="421" w:right="0" w:firstLine="0"/>
        <w:jc w:val="left"/>
        <w:rPr>
          <w:sz w:val="21"/>
        </w:rPr>
      </w:pPr>
      <w:r>
        <w:rPr>
          <w:sz w:val="21"/>
        </w:rPr>
        <w:t>Y.</w:t>
      </w:r>
      <w:r>
        <w:rPr>
          <w:spacing w:val="2"/>
          <w:sz w:val="21"/>
        </w:rPr>
        <w:t> </w:t>
      </w:r>
      <w:r>
        <w:rPr>
          <w:sz w:val="21"/>
        </w:rPr>
        <w:t>Tauman,</w:t>
      </w:r>
      <w:r>
        <w:rPr>
          <w:spacing w:val="2"/>
          <w:sz w:val="21"/>
        </w:rPr>
        <w:t> </w:t>
      </w:r>
      <w:r>
        <w:rPr>
          <w:rFonts w:ascii="Palatino Linotype"/>
          <w:i/>
          <w:sz w:val="21"/>
        </w:rPr>
        <w:t>International</w:t>
      </w:r>
      <w:r>
        <w:rPr>
          <w:rFonts w:ascii="Palatino Linotype"/>
          <w:i/>
          <w:spacing w:val="-5"/>
          <w:sz w:val="21"/>
        </w:rPr>
        <w:t> </w:t>
      </w:r>
      <w:r>
        <w:rPr>
          <w:rFonts w:ascii="Palatino Linotype"/>
          <w:i/>
          <w:sz w:val="21"/>
        </w:rPr>
        <w:t>Economic</w:t>
      </w:r>
      <w:r>
        <w:rPr>
          <w:rFonts w:ascii="Palatino Linotype"/>
          <w:i/>
          <w:spacing w:val="-5"/>
          <w:sz w:val="21"/>
        </w:rPr>
        <w:t> </w:t>
      </w:r>
      <w:r>
        <w:rPr>
          <w:rFonts w:ascii="Palatino Linotype"/>
          <w:i/>
          <w:sz w:val="21"/>
        </w:rPr>
        <w:t>Review</w:t>
      </w:r>
      <w:r>
        <w:rPr>
          <w:rFonts w:ascii="Palatino Linotype"/>
          <w:i/>
          <w:color w:val="202020"/>
          <w:sz w:val="21"/>
        </w:rPr>
        <w:t>,</w:t>
      </w:r>
      <w:r>
        <w:rPr>
          <w:rFonts w:ascii="Palatino Linotype"/>
          <w:i/>
          <w:color w:val="202020"/>
          <w:spacing w:val="-4"/>
          <w:sz w:val="21"/>
        </w:rPr>
        <w:t> </w:t>
      </w:r>
      <w:r>
        <w:rPr>
          <w:color w:val="202020"/>
          <w:sz w:val="21"/>
        </w:rPr>
        <w:t>2021,</w:t>
      </w:r>
      <w:r>
        <w:rPr>
          <w:color w:val="202020"/>
          <w:spacing w:val="2"/>
          <w:sz w:val="21"/>
        </w:rPr>
        <w:t> </w:t>
      </w:r>
      <w:r>
        <w:rPr>
          <w:color w:val="202020"/>
          <w:sz w:val="21"/>
        </w:rPr>
        <w:t>vol. 62</w:t>
      </w:r>
      <w:r>
        <w:rPr>
          <w:color w:val="202020"/>
          <w:spacing w:val="3"/>
          <w:sz w:val="21"/>
        </w:rPr>
        <w:t> </w:t>
      </w:r>
      <w:r>
        <w:rPr>
          <w:color w:val="202020"/>
          <w:sz w:val="21"/>
        </w:rPr>
        <w:t>(4),</w:t>
      </w:r>
      <w:r>
        <w:rPr>
          <w:color w:val="202020"/>
          <w:spacing w:val="2"/>
          <w:sz w:val="21"/>
        </w:rPr>
        <w:t> </w:t>
      </w:r>
      <w:r>
        <w:rPr>
          <w:color w:val="202020"/>
          <w:sz w:val="21"/>
        </w:rPr>
        <w:t>pp.</w:t>
      </w:r>
      <w:r>
        <w:rPr>
          <w:color w:val="202020"/>
          <w:spacing w:val="2"/>
          <w:sz w:val="21"/>
        </w:rPr>
        <w:t> </w:t>
      </w:r>
      <w:r>
        <w:rPr>
          <w:color w:val="202020"/>
          <w:sz w:val="21"/>
        </w:rPr>
        <w:t>1627</w:t>
      </w:r>
      <w:r>
        <w:rPr>
          <w:color w:val="202020"/>
          <w:spacing w:val="2"/>
          <w:sz w:val="21"/>
        </w:rPr>
        <w:t> </w:t>
      </w:r>
      <w:r>
        <w:rPr>
          <w:color w:val="202020"/>
          <w:sz w:val="21"/>
        </w:rPr>
        <w:t>-</w:t>
      </w:r>
      <w:r>
        <w:rPr>
          <w:color w:val="202020"/>
          <w:spacing w:val="2"/>
          <w:sz w:val="21"/>
        </w:rPr>
        <w:t> </w:t>
      </w:r>
      <w:r>
        <w:rPr>
          <w:color w:val="202020"/>
          <w:spacing w:val="-2"/>
          <w:sz w:val="21"/>
        </w:rPr>
        <w:t>1653.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35" w:lineRule="auto" w:before="59" w:after="0"/>
        <w:ind w:left="421" w:right="50" w:hanging="361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“Financing Corporate Tax Cuts with Shareholder Taxes” with O. E. Atesagaoglu and E. Carceles-</w:t>
      </w:r>
      <w:r>
        <w:rPr>
          <w:spacing w:val="40"/>
          <w:w w:val="105"/>
          <w:sz w:val="21"/>
        </w:rPr>
        <w:t> </w:t>
      </w:r>
      <w:r>
        <w:rPr>
          <w:spacing w:val="-2"/>
          <w:w w:val="105"/>
          <w:sz w:val="21"/>
        </w:rPr>
        <w:t>Poveda,</w:t>
      </w:r>
      <w:r>
        <w:rPr>
          <w:spacing w:val="-3"/>
          <w:w w:val="105"/>
          <w:sz w:val="21"/>
        </w:rPr>
        <w:t> </w:t>
      </w:r>
      <w:r>
        <w:rPr>
          <w:rFonts w:ascii="Palatino Linotype" w:hAnsi="Palatino Linotype"/>
          <w:i/>
          <w:spacing w:val="-2"/>
          <w:w w:val="105"/>
          <w:sz w:val="21"/>
        </w:rPr>
        <w:t>Quantitative</w:t>
      </w:r>
      <w:r>
        <w:rPr>
          <w:rFonts w:ascii="Palatino Linotype" w:hAnsi="Palatino Linotype"/>
          <w:i/>
          <w:spacing w:val="-11"/>
          <w:w w:val="105"/>
          <w:sz w:val="21"/>
        </w:rPr>
        <w:t> </w:t>
      </w:r>
      <w:r>
        <w:rPr>
          <w:rFonts w:ascii="Palatino Linotype" w:hAnsi="Palatino Linotype"/>
          <w:i/>
          <w:spacing w:val="-2"/>
          <w:w w:val="105"/>
          <w:sz w:val="21"/>
        </w:rPr>
        <w:t>Economics,</w:t>
      </w:r>
      <w:r>
        <w:rPr>
          <w:rFonts w:ascii="Palatino Linotype" w:hAnsi="Palatino Linotype"/>
          <w:i/>
          <w:spacing w:val="-10"/>
          <w:w w:val="105"/>
          <w:sz w:val="21"/>
        </w:rPr>
        <w:t> </w:t>
      </w:r>
      <w:r>
        <w:rPr>
          <w:color w:val="202020"/>
          <w:spacing w:val="-2"/>
          <w:w w:val="105"/>
          <w:sz w:val="21"/>
        </w:rPr>
        <w:t>2022,</w:t>
      </w:r>
      <w:r>
        <w:rPr>
          <w:color w:val="202020"/>
          <w:spacing w:val="-5"/>
          <w:w w:val="105"/>
          <w:sz w:val="21"/>
        </w:rPr>
        <w:t> </w:t>
      </w:r>
      <w:r>
        <w:rPr>
          <w:color w:val="202020"/>
          <w:spacing w:val="-2"/>
          <w:w w:val="105"/>
          <w:sz w:val="21"/>
        </w:rPr>
        <w:t>vol.</w:t>
      </w:r>
      <w:r>
        <w:rPr>
          <w:color w:val="202020"/>
          <w:spacing w:val="-3"/>
          <w:w w:val="105"/>
          <w:sz w:val="21"/>
        </w:rPr>
        <w:t> </w:t>
      </w:r>
      <w:r>
        <w:rPr>
          <w:color w:val="202020"/>
          <w:spacing w:val="-2"/>
          <w:w w:val="105"/>
          <w:sz w:val="21"/>
        </w:rPr>
        <w:t>13</w:t>
      </w:r>
      <w:r>
        <w:rPr>
          <w:color w:val="202020"/>
          <w:spacing w:val="-3"/>
          <w:w w:val="105"/>
          <w:sz w:val="21"/>
        </w:rPr>
        <w:t> </w:t>
      </w:r>
      <w:r>
        <w:rPr>
          <w:color w:val="202020"/>
          <w:spacing w:val="-2"/>
          <w:w w:val="105"/>
          <w:sz w:val="21"/>
        </w:rPr>
        <w:t>(1),</w:t>
      </w:r>
      <w:r>
        <w:rPr>
          <w:color w:val="202020"/>
          <w:spacing w:val="-3"/>
          <w:w w:val="105"/>
          <w:sz w:val="21"/>
        </w:rPr>
        <w:t> </w:t>
      </w:r>
      <w:r>
        <w:rPr>
          <w:color w:val="202020"/>
          <w:spacing w:val="-2"/>
          <w:w w:val="105"/>
          <w:sz w:val="21"/>
        </w:rPr>
        <w:t>pp.</w:t>
      </w:r>
      <w:r>
        <w:rPr>
          <w:color w:val="202020"/>
          <w:spacing w:val="-5"/>
          <w:w w:val="105"/>
          <w:sz w:val="21"/>
        </w:rPr>
        <w:t> </w:t>
      </w:r>
      <w:r>
        <w:rPr>
          <w:color w:val="202020"/>
          <w:spacing w:val="-2"/>
          <w:w w:val="105"/>
          <w:sz w:val="21"/>
        </w:rPr>
        <w:t>315-354</w:t>
      </w:r>
      <w:r>
        <w:rPr>
          <w:rFonts w:ascii="Palatino Linotype" w:hAnsi="Palatino Linotype"/>
          <w:i/>
          <w:color w:val="202020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35" w:lineRule="auto" w:before="63" w:after="0"/>
        <w:ind w:left="421" w:right="50" w:hanging="361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“Cross-Country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Stock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Market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Comovement: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Macro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Perspective”,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O.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E.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Atesagaoglu,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C. Giannitsarou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E.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Faraglia,</w:t>
      </w:r>
      <w:r>
        <w:rPr>
          <w:spacing w:val="-3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Journal</w:t>
      </w:r>
      <w:r>
        <w:rPr>
          <w:rFonts w:ascii="Palatino Linotype" w:hAnsi="Palatino Linotype"/>
          <w:i/>
          <w:spacing w:val="-8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of</w:t>
      </w:r>
      <w:r>
        <w:rPr>
          <w:rFonts w:ascii="Palatino Linotype" w:hAnsi="Palatino Linotype"/>
          <w:i/>
          <w:spacing w:val="-11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Monetary</w:t>
      </w:r>
      <w:r>
        <w:rPr>
          <w:rFonts w:ascii="Palatino Linotype" w:hAnsi="Palatino Linotype"/>
          <w:i/>
          <w:spacing w:val="-10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Economics,</w:t>
      </w:r>
      <w:r>
        <w:rPr>
          <w:rFonts w:ascii="Palatino Linotype" w:hAnsi="Palatino Linotype"/>
          <w:i/>
          <w:spacing w:val="-7"/>
          <w:w w:val="105"/>
          <w:sz w:val="21"/>
        </w:rPr>
        <w:t> </w:t>
      </w:r>
      <w:r>
        <w:rPr>
          <w:w w:val="105"/>
          <w:sz w:val="21"/>
        </w:rPr>
        <w:t>2022.</w:t>
      </w:r>
    </w:p>
    <w:p>
      <w:pPr>
        <w:pStyle w:val="ListParagraph"/>
        <w:spacing w:after="0" w:line="235" w:lineRule="auto"/>
        <w:jc w:val="left"/>
        <w:rPr>
          <w:rFonts w:ascii="Symbol" w:hAnsi="Symbol"/>
          <w:sz w:val="21"/>
        </w:rPr>
        <w:sectPr>
          <w:footerReference w:type="default" r:id="rId5"/>
          <w:type w:val="continuous"/>
          <w:pgSz w:w="11910" w:h="16840"/>
          <w:pgMar w:header="0" w:footer="739" w:top="900" w:bottom="920" w:left="1133" w:right="1133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20" w:lineRule="auto" w:before="133" w:after="0"/>
        <w:ind w:left="417" w:right="54" w:hanging="361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</w:t>
      </w:r>
      <w:hyperlink r:id="rId9">
        <w:r>
          <w:rPr>
            <w:w w:val="105"/>
            <w:sz w:val="21"/>
          </w:rPr>
          <w:t>Shareholder Tax Cuts with Household and Firm Heterogeneity</w:t>
        </w:r>
      </w:hyperlink>
      <w:r>
        <w:rPr>
          <w:w w:val="105"/>
          <w:sz w:val="21"/>
        </w:rPr>
        <w:t>”, with O. E. Atesagaoglu, </w:t>
      </w:r>
      <w:r>
        <w:rPr>
          <w:rFonts w:ascii="Palatino Linotype" w:hAnsi="Palatino Linotype"/>
          <w:i/>
          <w:w w:val="105"/>
          <w:sz w:val="21"/>
        </w:rPr>
        <w:t>Finance Research</w:t>
      </w:r>
      <w:r>
        <w:rPr>
          <w:rFonts w:ascii="Palatino Linotype" w:hAnsi="Palatino Linotype"/>
          <w:i/>
          <w:spacing w:val="-3"/>
          <w:w w:val="105"/>
          <w:sz w:val="21"/>
        </w:rPr>
        <w:t> </w:t>
      </w:r>
      <w:r>
        <w:rPr>
          <w:rFonts w:ascii="Palatino Linotype" w:hAnsi="Palatino Linotype"/>
          <w:i/>
          <w:w w:val="105"/>
          <w:sz w:val="21"/>
        </w:rPr>
        <w:t>Letters, </w:t>
      </w:r>
      <w:r>
        <w:rPr>
          <w:w w:val="105"/>
          <w:sz w:val="21"/>
        </w:rPr>
        <w:t>2023, vol. 57.</w:t>
      </w:r>
    </w:p>
    <w:p>
      <w:pPr>
        <w:pStyle w:val="BodyText"/>
        <w:spacing w:before="48"/>
        <w:ind w:left="0"/>
      </w:pPr>
    </w:p>
    <w:p>
      <w:pPr>
        <w:pStyle w:val="Heading1"/>
      </w:pPr>
      <w:bookmarkStart w:name="Working Papers" w:id="4"/>
      <w:bookmarkEnd w:id="4"/>
      <w:r>
        <w:rPr>
          <w:b w:val="0"/>
        </w:rPr>
      </w: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2" w:after="0"/>
        <w:ind w:left="415" w:right="0" w:hanging="358"/>
        <w:jc w:val="left"/>
        <w:rPr>
          <w:rFonts w:ascii="Symbol" w:hAnsi="Symbol"/>
          <w:sz w:val="21"/>
        </w:rPr>
      </w:pPr>
      <w:r>
        <w:rPr>
          <w:sz w:val="21"/>
        </w:rPr>
        <w:t>“Executive</w:t>
      </w:r>
      <w:r>
        <w:rPr>
          <w:spacing w:val="41"/>
          <w:sz w:val="21"/>
        </w:rPr>
        <w:t> </w:t>
      </w:r>
      <w:r>
        <w:rPr>
          <w:sz w:val="21"/>
        </w:rPr>
        <w:t>Compensation</w:t>
      </w:r>
      <w:r>
        <w:rPr>
          <w:spacing w:val="37"/>
          <w:sz w:val="21"/>
        </w:rPr>
        <w:t> </w:t>
      </w:r>
      <w:r>
        <w:rPr>
          <w:sz w:val="21"/>
        </w:rPr>
        <w:t>and</w:t>
      </w:r>
      <w:r>
        <w:rPr>
          <w:spacing w:val="43"/>
          <w:sz w:val="21"/>
        </w:rPr>
        <w:t> </w:t>
      </w:r>
      <w:r>
        <w:rPr>
          <w:sz w:val="21"/>
        </w:rPr>
        <w:t>Firm</w:t>
      </w:r>
      <w:r>
        <w:rPr>
          <w:spacing w:val="43"/>
          <w:sz w:val="21"/>
        </w:rPr>
        <w:t> </w:t>
      </w:r>
      <w:r>
        <w:rPr>
          <w:sz w:val="21"/>
        </w:rPr>
        <w:t>Investment</w:t>
      </w:r>
      <w:r>
        <w:rPr>
          <w:spacing w:val="43"/>
          <w:sz w:val="21"/>
        </w:rPr>
        <w:t> </w:t>
      </w:r>
      <w:r>
        <w:rPr>
          <w:sz w:val="21"/>
        </w:rPr>
        <w:t>“,</w:t>
      </w:r>
      <w:r>
        <w:rPr>
          <w:spacing w:val="38"/>
          <w:sz w:val="21"/>
        </w:rPr>
        <w:t> </w:t>
      </w:r>
      <w:r>
        <w:rPr>
          <w:sz w:val="21"/>
        </w:rPr>
        <w:t>with</w:t>
      </w:r>
      <w:r>
        <w:rPr>
          <w:spacing w:val="42"/>
          <w:sz w:val="21"/>
        </w:rPr>
        <w:t> </w:t>
      </w:r>
      <w:r>
        <w:rPr>
          <w:sz w:val="21"/>
        </w:rPr>
        <w:t>O.</w:t>
      </w:r>
      <w:r>
        <w:rPr>
          <w:spacing w:val="38"/>
          <w:sz w:val="21"/>
        </w:rPr>
        <w:t> </w:t>
      </w:r>
      <w:r>
        <w:rPr>
          <w:sz w:val="21"/>
        </w:rPr>
        <w:t>E.</w:t>
      </w:r>
      <w:r>
        <w:rPr>
          <w:spacing w:val="42"/>
          <w:sz w:val="21"/>
        </w:rPr>
        <w:t> </w:t>
      </w:r>
      <w:r>
        <w:rPr>
          <w:sz w:val="21"/>
        </w:rPr>
        <w:t>Atesagaoglu,</w:t>
      </w:r>
      <w:r>
        <w:rPr>
          <w:spacing w:val="38"/>
          <w:sz w:val="21"/>
        </w:rPr>
        <w:t> </w:t>
      </w:r>
      <w:r>
        <w:rPr>
          <w:sz w:val="21"/>
        </w:rPr>
        <w:t>E.</w:t>
      </w:r>
      <w:r>
        <w:rPr>
          <w:spacing w:val="38"/>
          <w:sz w:val="21"/>
        </w:rPr>
        <w:t> </w:t>
      </w:r>
      <w:r>
        <w:rPr>
          <w:sz w:val="21"/>
        </w:rPr>
        <w:t>Carceles-Poveda</w:t>
      </w:r>
      <w:r>
        <w:rPr>
          <w:spacing w:val="42"/>
          <w:sz w:val="21"/>
        </w:rPr>
        <w:t> </w:t>
      </w:r>
      <w:r>
        <w:rPr>
          <w:spacing w:val="-5"/>
          <w:sz w:val="21"/>
        </w:rPr>
        <w:t>and</w:t>
      </w:r>
    </w:p>
    <w:p>
      <w:pPr>
        <w:pStyle w:val="BodyText"/>
        <w:spacing w:before="16"/>
        <w:ind w:left="414"/>
      </w:pPr>
      <w:r>
        <w:rPr>
          <w:w w:val="115"/>
        </w:rPr>
        <w:t>C.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Giannitsarou.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71" w:after="0"/>
        <w:ind w:left="415" w:right="0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Dynamic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Firm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Under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Shareholder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Disagreement”,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E.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Carceles-Poveda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G.</w:t>
      </w:r>
      <w:r>
        <w:rPr>
          <w:spacing w:val="-6"/>
          <w:w w:val="105"/>
          <w:sz w:val="21"/>
        </w:rPr>
        <w:t> </w:t>
      </w:r>
      <w:r>
        <w:rPr>
          <w:spacing w:val="-2"/>
          <w:w w:val="105"/>
          <w:sz w:val="21"/>
        </w:rPr>
        <w:t>Mihalache.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54" w:lineRule="auto" w:before="73" w:after="0"/>
        <w:ind w:left="415" w:right="54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“Technology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Capital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Taxation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Multinational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Corporations”,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O.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E.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Atesagaoglu, </w:t>
      </w:r>
      <w:r>
        <w:rPr>
          <w:spacing w:val="-2"/>
          <w:w w:val="105"/>
          <w:sz w:val="21"/>
        </w:rPr>
        <w:t>2016.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56" w:after="0"/>
        <w:ind w:left="468" w:right="0" w:hanging="411"/>
        <w:jc w:val="left"/>
        <w:rPr>
          <w:rFonts w:ascii="Symbol" w:hAnsi="Symbol"/>
          <w:sz w:val="21"/>
        </w:rPr>
      </w:pPr>
      <w:r>
        <w:rPr>
          <w:sz w:val="21"/>
        </w:rPr>
        <w:t>“Equity</w:t>
      </w:r>
      <w:r>
        <w:rPr>
          <w:spacing w:val="31"/>
          <w:sz w:val="21"/>
        </w:rPr>
        <w:t> </w:t>
      </w:r>
      <w:r>
        <w:rPr>
          <w:sz w:val="21"/>
        </w:rPr>
        <w:t>Issuance</w:t>
      </w:r>
      <w:r>
        <w:rPr>
          <w:spacing w:val="36"/>
          <w:sz w:val="21"/>
        </w:rPr>
        <w:t> </w:t>
      </w:r>
      <w:r>
        <w:rPr>
          <w:sz w:val="21"/>
        </w:rPr>
        <w:t>and</w:t>
      </w:r>
      <w:r>
        <w:rPr>
          <w:spacing w:val="36"/>
          <w:sz w:val="21"/>
        </w:rPr>
        <w:t> </w:t>
      </w:r>
      <w:r>
        <w:rPr>
          <w:sz w:val="21"/>
        </w:rPr>
        <w:t>Dividend</w:t>
      </w:r>
      <w:r>
        <w:rPr>
          <w:spacing w:val="37"/>
          <w:sz w:val="21"/>
        </w:rPr>
        <w:t> </w:t>
      </w:r>
      <w:r>
        <w:rPr>
          <w:sz w:val="21"/>
        </w:rPr>
        <w:t>Policy</w:t>
      </w:r>
      <w:r>
        <w:rPr>
          <w:spacing w:val="35"/>
          <w:sz w:val="21"/>
        </w:rPr>
        <w:t> </w:t>
      </w:r>
      <w:r>
        <w:rPr>
          <w:sz w:val="21"/>
        </w:rPr>
        <w:t>under</w:t>
      </w:r>
      <w:r>
        <w:rPr>
          <w:spacing w:val="37"/>
          <w:sz w:val="21"/>
        </w:rPr>
        <w:t> </w:t>
      </w:r>
      <w:r>
        <w:rPr>
          <w:sz w:val="21"/>
        </w:rPr>
        <w:t>Commitment”</w:t>
      </w:r>
      <w:r>
        <w:rPr>
          <w:spacing w:val="32"/>
          <w:sz w:val="21"/>
        </w:rPr>
        <w:t> </w:t>
      </w:r>
      <w:r>
        <w:rPr>
          <w:sz w:val="21"/>
        </w:rPr>
        <w:t>,</w:t>
      </w:r>
      <w:r>
        <w:rPr>
          <w:spacing w:val="35"/>
          <w:sz w:val="21"/>
        </w:rPr>
        <w:t> </w:t>
      </w:r>
      <w:r>
        <w:rPr>
          <w:sz w:val="21"/>
        </w:rPr>
        <w:t>with</w:t>
      </w:r>
      <w:r>
        <w:rPr>
          <w:spacing w:val="35"/>
          <w:sz w:val="21"/>
        </w:rPr>
        <w:t> </w:t>
      </w:r>
      <w:r>
        <w:rPr>
          <w:sz w:val="21"/>
        </w:rPr>
        <w:t>E.</w:t>
      </w:r>
      <w:r>
        <w:rPr>
          <w:spacing w:val="35"/>
          <w:sz w:val="21"/>
        </w:rPr>
        <w:t> </w:t>
      </w:r>
      <w:r>
        <w:rPr>
          <w:sz w:val="21"/>
        </w:rPr>
        <w:t>Carceles</w:t>
      </w:r>
      <w:r>
        <w:rPr>
          <w:spacing w:val="35"/>
          <w:sz w:val="21"/>
        </w:rPr>
        <w:t> </w:t>
      </w:r>
      <w:r>
        <w:rPr>
          <w:sz w:val="21"/>
        </w:rPr>
        <w:t>and</w:t>
      </w:r>
      <w:r>
        <w:rPr>
          <w:spacing w:val="37"/>
          <w:sz w:val="21"/>
        </w:rPr>
        <w:t> </w:t>
      </w:r>
      <w:r>
        <w:rPr>
          <w:sz w:val="21"/>
        </w:rPr>
        <w:t>A.</w:t>
      </w:r>
      <w:r>
        <w:rPr>
          <w:spacing w:val="31"/>
          <w:sz w:val="21"/>
        </w:rPr>
        <w:t> </w:t>
      </w:r>
      <w:r>
        <w:rPr>
          <w:spacing w:val="-2"/>
          <w:sz w:val="21"/>
        </w:rPr>
        <w:t>Marcet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  <w:tab w:pos="468" w:val="left" w:leader="none"/>
        </w:tabs>
        <w:spacing w:line="254" w:lineRule="auto" w:before="74" w:after="0"/>
        <w:ind w:left="415" w:right="52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“Potential</w:t>
      </w:r>
      <w:r>
        <w:rPr>
          <w:spacing w:val="39"/>
          <w:w w:val="105"/>
          <w:sz w:val="21"/>
        </w:rPr>
        <w:t> </w:t>
      </w:r>
      <w:r>
        <w:rPr>
          <w:w w:val="105"/>
          <w:sz w:val="21"/>
        </w:rPr>
        <w:t>Welfare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Losses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Financial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Autarky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versus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Trade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Sanctions”,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EUI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Working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Paper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No. </w:t>
      </w:r>
      <w:r>
        <w:rPr>
          <w:spacing w:val="-2"/>
          <w:w w:val="105"/>
          <w:sz w:val="21"/>
        </w:rPr>
        <w:t>2004/35</w:t>
      </w:r>
    </w:p>
    <w:p>
      <w:pPr>
        <w:pStyle w:val="BodyText"/>
        <w:spacing w:before="48"/>
        <w:ind w:left="0"/>
      </w:pPr>
    </w:p>
    <w:p>
      <w:pPr>
        <w:pStyle w:val="Heading1"/>
        <w:ind w:left="58"/>
      </w:pPr>
      <w:bookmarkStart w:name="Teaching" w:id="5"/>
      <w:bookmarkEnd w:id="5"/>
      <w:r>
        <w:rPr>
          <w:b w:val="0"/>
        </w:rPr>
      </w:r>
      <w:r>
        <w:rPr>
          <w:spacing w:val="-2"/>
        </w:rPr>
        <w:t>TEACHING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5" w:after="0"/>
        <w:ind w:left="415" w:right="0" w:hanging="357"/>
        <w:jc w:val="left"/>
        <w:rPr>
          <w:rFonts w:ascii="Symbol" w:hAnsi="Symbol"/>
          <w:sz w:val="21"/>
        </w:rPr>
      </w:pPr>
      <w:r>
        <w:rPr>
          <w:spacing w:val="-2"/>
          <w:w w:val="105"/>
          <w:sz w:val="21"/>
        </w:rPr>
        <w:t>Undergraduate</w:t>
      </w: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73" w:after="0"/>
        <w:ind w:left="1137" w:right="0" w:hanging="359"/>
        <w:jc w:val="left"/>
        <w:rPr>
          <w:sz w:val="21"/>
        </w:rPr>
      </w:pPr>
      <w:r>
        <w:rPr>
          <w:sz w:val="21"/>
        </w:rPr>
        <w:t>Intermediate</w:t>
      </w:r>
      <w:r>
        <w:rPr>
          <w:spacing w:val="32"/>
          <w:sz w:val="21"/>
        </w:rPr>
        <w:t> </w:t>
      </w:r>
      <w:r>
        <w:rPr>
          <w:sz w:val="21"/>
        </w:rPr>
        <w:t>Macroeconomics,</w:t>
      </w:r>
      <w:r>
        <w:rPr>
          <w:spacing w:val="33"/>
          <w:sz w:val="21"/>
        </w:rPr>
        <w:t> </w:t>
      </w:r>
      <w:r>
        <w:rPr>
          <w:spacing w:val="-2"/>
          <w:sz w:val="21"/>
        </w:rPr>
        <w:t>Econometrics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56" w:after="0"/>
        <w:ind w:left="418" w:right="0" w:hanging="360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Graduate</w:t>
      </w:r>
      <w:r>
        <w:rPr>
          <w:spacing w:val="4"/>
          <w:w w:val="105"/>
          <w:sz w:val="21"/>
        </w:rPr>
        <w:t> </w:t>
      </w:r>
      <w:r>
        <w:rPr>
          <w:spacing w:val="-4"/>
          <w:w w:val="105"/>
          <w:sz w:val="21"/>
        </w:rPr>
        <w:t>(PhD)</w:t>
      </w: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37" w:lineRule="auto" w:before="78" w:after="0"/>
        <w:ind w:left="1137" w:right="55" w:hanging="360"/>
        <w:jc w:val="left"/>
        <w:rPr>
          <w:sz w:val="21"/>
        </w:rPr>
      </w:pPr>
      <w:r>
        <w:rPr>
          <w:w w:val="105"/>
          <w:sz w:val="21"/>
        </w:rPr>
        <w:t>Macroeconomics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I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(core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course),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Advanced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Macroeconomics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(field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course),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Advanced Macroeconomics Workshop, PhD Teaching Practicum</w:t>
      </w:r>
    </w:p>
    <w:p>
      <w:pPr>
        <w:pStyle w:val="BodyText"/>
        <w:spacing w:before="64"/>
        <w:ind w:left="0"/>
      </w:pPr>
    </w:p>
    <w:p>
      <w:pPr>
        <w:pStyle w:val="Heading1"/>
        <w:spacing w:before="1"/>
      </w:pPr>
      <w:bookmarkStart w:name="Graduate student advising" w:id="6"/>
      <w:bookmarkEnd w:id="6"/>
      <w:r>
        <w:rPr>
          <w:b w:val="0"/>
        </w:rPr>
      </w:r>
      <w:r>
        <w:rPr/>
        <w:t>GRADUATE</w:t>
      </w:r>
      <w:r>
        <w:rPr>
          <w:spacing w:val="-10"/>
        </w:rPr>
        <w:t> </w:t>
      </w:r>
      <w:r>
        <w:rPr/>
        <w:t>STUDENT</w:t>
      </w:r>
      <w:r>
        <w:rPr>
          <w:spacing w:val="-9"/>
        </w:rPr>
        <w:t> </w:t>
      </w:r>
      <w:r>
        <w:rPr>
          <w:spacing w:val="-2"/>
        </w:rPr>
        <w:t>ADVISING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103" w:after="0"/>
        <w:ind w:left="417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Anjali</w:t>
      </w:r>
      <w:r>
        <w:rPr>
          <w:spacing w:val="9"/>
          <w:sz w:val="21"/>
        </w:rPr>
        <w:t> </w:t>
      </w:r>
      <w:r>
        <w:rPr>
          <w:sz w:val="21"/>
        </w:rPr>
        <w:t>Sinha,</w:t>
      </w:r>
      <w:r>
        <w:rPr>
          <w:spacing w:val="7"/>
          <w:sz w:val="21"/>
        </w:rPr>
        <w:t> </w:t>
      </w:r>
      <w:r>
        <w:rPr>
          <w:sz w:val="21"/>
        </w:rPr>
        <w:t>Expected,</w:t>
      </w:r>
      <w:r>
        <w:rPr>
          <w:spacing w:val="6"/>
          <w:sz w:val="21"/>
        </w:rPr>
        <w:t> </w:t>
      </w:r>
      <w:r>
        <w:rPr>
          <w:sz w:val="21"/>
        </w:rPr>
        <w:t>2024.</w:t>
      </w:r>
      <w:r>
        <w:rPr>
          <w:spacing w:val="9"/>
          <w:sz w:val="21"/>
        </w:rPr>
        <w:t> </w:t>
      </w:r>
      <w:r>
        <w:rPr>
          <w:rFonts w:ascii="Palatino Linotype" w:hAnsi="Palatino Linotype"/>
          <w:i/>
          <w:sz w:val="21"/>
        </w:rPr>
        <w:t>“Universal</w:t>
      </w:r>
      <w:r>
        <w:rPr>
          <w:rFonts w:ascii="Palatino Linotype" w:hAnsi="Palatino Linotype"/>
          <w:i/>
          <w:spacing w:val="-2"/>
          <w:sz w:val="21"/>
        </w:rPr>
        <w:t> </w:t>
      </w:r>
      <w:r>
        <w:rPr>
          <w:rFonts w:ascii="Palatino Linotype" w:hAnsi="Palatino Linotype"/>
          <w:i/>
          <w:sz w:val="21"/>
        </w:rPr>
        <w:t>Basic</w:t>
      </w:r>
      <w:r>
        <w:rPr>
          <w:rFonts w:ascii="Palatino Linotype" w:hAnsi="Palatino Linotype"/>
          <w:i/>
          <w:spacing w:val="3"/>
          <w:sz w:val="21"/>
        </w:rPr>
        <w:t> </w:t>
      </w:r>
      <w:r>
        <w:rPr>
          <w:rFonts w:ascii="Palatino Linotype" w:hAnsi="Palatino Linotype"/>
          <w:i/>
          <w:sz w:val="21"/>
        </w:rPr>
        <w:t>Income:</w:t>
      </w:r>
      <w:r>
        <w:rPr>
          <w:rFonts w:ascii="Palatino Linotype" w:hAnsi="Palatino Linotype"/>
          <w:i/>
          <w:spacing w:val="2"/>
          <w:sz w:val="21"/>
        </w:rPr>
        <w:t> </w:t>
      </w:r>
      <w:r>
        <w:rPr>
          <w:rFonts w:ascii="Palatino Linotype" w:hAnsi="Palatino Linotype"/>
          <w:i/>
          <w:sz w:val="21"/>
        </w:rPr>
        <w:t>Impact</w:t>
      </w:r>
      <w:r>
        <w:rPr>
          <w:rFonts w:ascii="Palatino Linotype" w:hAnsi="Palatino Linotype"/>
          <w:i/>
          <w:spacing w:val="2"/>
          <w:sz w:val="21"/>
        </w:rPr>
        <w:t> </w:t>
      </w:r>
      <w:r>
        <w:rPr>
          <w:rFonts w:ascii="Palatino Linotype" w:hAnsi="Palatino Linotype"/>
          <w:i/>
          <w:sz w:val="21"/>
        </w:rPr>
        <w:t>on Labor</w:t>
      </w:r>
      <w:r>
        <w:rPr>
          <w:rFonts w:ascii="Palatino Linotype" w:hAnsi="Palatino Linotype"/>
          <w:i/>
          <w:spacing w:val="2"/>
          <w:sz w:val="21"/>
        </w:rPr>
        <w:t> </w:t>
      </w:r>
      <w:r>
        <w:rPr>
          <w:rFonts w:ascii="Palatino Linotype" w:hAnsi="Palatino Linotype"/>
          <w:i/>
          <w:spacing w:val="-2"/>
          <w:sz w:val="21"/>
        </w:rPr>
        <w:t>Markets”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48" w:after="0"/>
        <w:ind w:left="417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Anju</w:t>
      </w:r>
      <w:r>
        <w:rPr>
          <w:spacing w:val="7"/>
          <w:sz w:val="21"/>
        </w:rPr>
        <w:t> </w:t>
      </w:r>
      <w:r>
        <w:rPr>
          <w:sz w:val="21"/>
        </w:rPr>
        <w:t>Bhandari,</w:t>
      </w:r>
      <w:r>
        <w:rPr>
          <w:spacing w:val="8"/>
          <w:sz w:val="21"/>
        </w:rPr>
        <w:t> </w:t>
      </w:r>
      <w:r>
        <w:rPr>
          <w:sz w:val="21"/>
        </w:rPr>
        <w:t>2017.”</w:t>
      </w:r>
      <w:r>
        <w:rPr>
          <w:spacing w:val="5"/>
          <w:sz w:val="21"/>
        </w:rPr>
        <w:t> </w:t>
      </w:r>
      <w:r>
        <w:rPr>
          <w:rFonts w:ascii="Palatino Linotype" w:hAnsi="Palatino Linotype"/>
          <w:i/>
          <w:sz w:val="21"/>
        </w:rPr>
        <w:t>Essays</w:t>
      </w:r>
      <w:r>
        <w:rPr>
          <w:rFonts w:ascii="Palatino Linotype" w:hAnsi="Palatino Linotype"/>
          <w:i/>
          <w:spacing w:val="1"/>
          <w:sz w:val="21"/>
        </w:rPr>
        <w:t> </w:t>
      </w:r>
      <w:r>
        <w:rPr>
          <w:rFonts w:ascii="Palatino Linotype" w:hAnsi="Palatino Linotype"/>
          <w:i/>
          <w:sz w:val="21"/>
        </w:rPr>
        <w:t>in</w:t>
      </w:r>
      <w:r>
        <w:rPr>
          <w:rFonts w:ascii="Palatino Linotype" w:hAnsi="Palatino Linotype"/>
          <w:i/>
          <w:spacing w:val="2"/>
          <w:sz w:val="21"/>
        </w:rPr>
        <w:t> </w:t>
      </w:r>
      <w:r>
        <w:rPr>
          <w:rFonts w:ascii="Palatino Linotype" w:hAnsi="Palatino Linotype"/>
          <w:i/>
          <w:sz w:val="21"/>
        </w:rPr>
        <w:t>Entrepreneurship,</w:t>
      </w:r>
      <w:r>
        <w:rPr>
          <w:rFonts w:ascii="Palatino Linotype" w:hAnsi="Palatino Linotype"/>
          <w:i/>
          <w:spacing w:val="-2"/>
          <w:sz w:val="21"/>
        </w:rPr>
        <w:t> </w:t>
      </w:r>
      <w:r>
        <w:rPr>
          <w:rFonts w:ascii="Palatino Linotype" w:hAnsi="Palatino Linotype"/>
          <w:i/>
          <w:sz w:val="21"/>
        </w:rPr>
        <w:t>Tax</w:t>
      </w:r>
      <w:r>
        <w:rPr>
          <w:rFonts w:ascii="Palatino Linotype" w:hAnsi="Palatino Linotype"/>
          <w:i/>
          <w:spacing w:val="2"/>
          <w:sz w:val="21"/>
        </w:rPr>
        <w:t> </w:t>
      </w:r>
      <w:r>
        <w:rPr>
          <w:rFonts w:ascii="Palatino Linotype" w:hAnsi="Palatino Linotype"/>
          <w:i/>
          <w:sz w:val="21"/>
        </w:rPr>
        <w:t>Reforms</w:t>
      </w:r>
      <w:r>
        <w:rPr>
          <w:rFonts w:ascii="Palatino Linotype" w:hAnsi="Palatino Linotype"/>
          <w:i/>
          <w:spacing w:val="1"/>
          <w:sz w:val="21"/>
        </w:rPr>
        <w:t> </w:t>
      </w:r>
      <w:r>
        <w:rPr>
          <w:rFonts w:ascii="Palatino Linotype" w:hAnsi="Palatino Linotype"/>
          <w:i/>
          <w:sz w:val="21"/>
        </w:rPr>
        <w:t>and</w:t>
      </w:r>
      <w:r>
        <w:rPr>
          <w:rFonts w:ascii="Palatino Linotype" w:hAnsi="Palatino Linotype"/>
          <w:i/>
          <w:spacing w:val="-2"/>
          <w:sz w:val="21"/>
        </w:rPr>
        <w:t> </w:t>
      </w:r>
      <w:r>
        <w:rPr>
          <w:rFonts w:ascii="Palatino Linotype" w:hAnsi="Palatino Linotype"/>
          <w:i/>
          <w:sz w:val="21"/>
        </w:rPr>
        <w:t>Financial</w:t>
      </w:r>
      <w:r>
        <w:rPr>
          <w:rFonts w:ascii="Palatino Linotype" w:hAnsi="Palatino Linotype"/>
          <w:i/>
          <w:spacing w:val="1"/>
          <w:sz w:val="21"/>
        </w:rPr>
        <w:t> </w:t>
      </w:r>
      <w:r>
        <w:rPr>
          <w:rFonts w:ascii="Palatino Linotype" w:hAnsi="Palatino Linotype"/>
          <w:i/>
          <w:spacing w:val="-2"/>
          <w:sz w:val="21"/>
        </w:rPr>
        <w:t>Constraints”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18" w:lineRule="auto" w:before="67" w:after="0"/>
        <w:ind w:left="418" w:right="54" w:hanging="361"/>
        <w:jc w:val="left"/>
        <w:rPr>
          <w:rFonts w:ascii="Symbol" w:hAnsi="Symbol"/>
          <w:sz w:val="21"/>
        </w:rPr>
      </w:pPr>
      <w:r>
        <w:rPr>
          <w:sz w:val="21"/>
        </w:rPr>
        <w:t>Selin Gonen, 2016. “</w:t>
      </w:r>
      <w:r>
        <w:rPr>
          <w:rFonts w:ascii="Palatino Linotype" w:hAnsi="Palatino Linotype"/>
          <w:i/>
          <w:sz w:val="21"/>
        </w:rPr>
        <w:t>Anticipation Effects of Capital Gains and Dividend Tax Changes under a Realization Based Tax System</w:t>
      </w:r>
      <w:r>
        <w:rPr>
          <w:sz w:val="21"/>
        </w:rPr>
        <w:t>”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55" w:after="0"/>
        <w:ind w:left="418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Lunan</w:t>
      </w:r>
      <w:r>
        <w:rPr>
          <w:spacing w:val="7"/>
          <w:sz w:val="21"/>
        </w:rPr>
        <w:t> </w:t>
      </w:r>
      <w:r>
        <w:rPr>
          <w:sz w:val="21"/>
        </w:rPr>
        <w:t>Jiang</w:t>
      </w:r>
      <w:r>
        <w:rPr>
          <w:spacing w:val="8"/>
          <w:sz w:val="21"/>
        </w:rPr>
        <w:t> </w:t>
      </w:r>
      <w:r>
        <w:rPr>
          <w:sz w:val="21"/>
        </w:rPr>
        <w:t>(co-advisor),</w:t>
      </w:r>
      <w:r>
        <w:rPr>
          <w:spacing w:val="6"/>
          <w:sz w:val="21"/>
        </w:rPr>
        <w:t> </w:t>
      </w:r>
      <w:r>
        <w:rPr>
          <w:sz w:val="21"/>
        </w:rPr>
        <w:t>2014.</w:t>
      </w:r>
      <w:r>
        <w:rPr>
          <w:spacing w:val="8"/>
          <w:sz w:val="21"/>
        </w:rPr>
        <w:t> </w:t>
      </w:r>
      <w:r>
        <w:rPr>
          <w:sz w:val="21"/>
        </w:rPr>
        <w:t>“</w:t>
      </w:r>
      <w:r>
        <w:rPr>
          <w:rFonts w:ascii="Palatino Linotype" w:hAnsi="Palatino Linotype"/>
          <w:i/>
          <w:sz w:val="21"/>
        </w:rPr>
        <w:t>Financial</w:t>
      </w:r>
      <w:r>
        <w:rPr>
          <w:rFonts w:ascii="Palatino Linotype" w:hAnsi="Palatino Linotype"/>
          <w:i/>
          <w:spacing w:val="1"/>
          <w:sz w:val="21"/>
        </w:rPr>
        <w:t> </w:t>
      </w:r>
      <w:r>
        <w:rPr>
          <w:rFonts w:ascii="Palatino Linotype" w:hAnsi="Palatino Linotype"/>
          <w:i/>
          <w:sz w:val="21"/>
        </w:rPr>
        <w:t>Distortions,</w:t>
      </w:r>
      <w:r>
        <w:rPr>
          <w:rFonts w:ascii="Palatino Linotype" w:hAnsi="Palatino Linotype"/>
          <w:i/>
          <w:spacing w:val="2"/>
          <w:sz w:val="21"/>
        </w:rPr>
        <w:t> </w:t>
      </w:r>
      <w:r>
        <w:rPr>
          <w:rFonts w:ascii="Palatino Linotype" w:hAnsi="Palatino Linotype"/>
          <w:i/>
          <w:sz w:val="21"/>
        </w:rPr>
        <w:t>Taxation and</w:t>
      </w:r>
      <w:r>
        <w:rPr>
          <w:rFonts w:ascii="Palatino Linotype" w:hAnsi="Palatino Linotype"/>
          <w:i/>
          <w:spacing w:val="2"/>
          <w:sz w:val="21"/>
        </w:rPr>
        <w:t> </w:t>
      </w:r>
      <w:r>
        <w:rPr>
          <w:rFonts w:ascii="Palatino Linotype" w:hAnsi="Palatino Linotype"/>
          <w:i/>
          <w:sz w:val="21"/>
        </w:rPr>
        <w:t>the</w:t>
      </w:r>
      <w:r>
        <w:rPr>
          <w:rFonts w:ascii="Palatino Linotype" w:hAnsi="Palatino Linotype"/>
          <w:i/>
          <w:spacing w:val="-1"/>
          <w:sz w:val="21"/>
        </w:rPr>
        <w:t> </w:t>
      </w:r>
      <w:r>
        <w:rPr>
          <w:rFonts w:ascii="Palatino Linotype" w:hAnsi="Palatino Linotype"/>
          <w:i/>
          <w:sz w:val="21"/>
        </w:rPr>
        <w:t>US Great</w:t>
      </w:r>
      <w:r>
        <w:rPr>
          <w:rFonts w:ascii="Palatino Linotype" w:hAnsi="Palatino Linotype"/>
          <w:i/>
          <w:spacing w:val="-1"/>
          <w:sz w:val="21"/>
        </w:rPr>
        <w:t> </w:t>
      </w:r>
      <w:r>
        <w:rPr>
          <w:rFonts w:ascii="Palatino Linotype" w:hAnsi="Palatino Linotype"/>
          <w:i/>
          <w:spacing w:val="-2"/>
          <w:sz w:val="21"/>
        </w:rPr>
        <w:t>Depression</w:t>
      </w:r>
      <w:r>
        <w:rPr>
          <w:spacing w:val="-2"/>
          <w:sz w:val="21"/>
        </w:rPr>
        <w:t>”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48" w:after="0"/>
        <w:ind w:left="418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Nam</w:t>
      </w:r>
      <w:r>
        <w:rPr>
          <w:spacing w:val="10"/>
          <w:sz w:val="21"/>
        </w:rPr>
        <w:t> </w:t>
      </w:r>
      <w:r>
        <w:rPr>
          <w:sz w:val="21"/>
        </w:rPr>
        <w:t>Nguyen,</w:t>
      </w:r>
      <w:r>
        <w:rPr>
          <w:spacing w:val="14"/>
          <w:sz w:val="21"/>
        </w:rPr>
        <w:t> </w:t>
      </w:r>
      <w:r>
        <w:rPr>
          <w:sz w:val="21"/>
        </w:rPr>
        <w:t>2012.</w:t>
      </w:r>
      <w:r>
        <w:rPr>
          <w:spacing w:val="13"/>
          <w:sz w:val="21"/>
        </w:rPr>
        <w:t> </w:t>
      </w:r>
      <w:r>
        <w:rPr>
          <w:sz w:val="21"/>
        </w:rPr>
        <w:t>“</w:t>
      </w:r>
      <w:r>
        <w:rPr>
          <w:rFonts w:ascii="Palatino Linotype" w:hAnsi="Palatino Linotype"/>
          <w:i/>
          <w:sz w:val="21"/>
        </w:rPr>
        <w:t>Two</w:t>
      </w:r>
      <w:r>
        <w:rPr>
          <w:rFonts w:ascii="Palatino Linotype" w:hAnsi="Palatino Linotype"/>
          <w:i/>
          <w:spacing w:val="4"/>
          <w:sz w:val="21"/>
        </w:rPr>
        <w:t> </w:t>
      </w:r>
      <w:r>
        <w:rPr>
          <w:rFonts w:ascii="Palatino Linotype" w:hAnsi="Palatino Linotype"/>
          <w:i/>
          <w:sz w:val="21"/>
        </w:rPr>
        <w:t>Essays</w:t>
      </w:r>
      <w:r>
        <w:rPr>
          <w:rFonts w:ascii="Palatino Linotype" w:hAnsi="Palatino Linotype"/>
          <w:i/>
          <w:spacing w:val="6"/>
          <w:sz w:val="21"/>
        </w:rPr>
        <w:t> </w:t>
      </w:r>
      <w:r>
        <w:rPr>
          <w:rFonts w:ascii="Palatino Linotype" w:hAnsi="Palatino Linotype"/>
          <w:i/>
          <w:sz w:val="21"/>
        </w:rPr>
        <w:t>on</w:t>
      </w:r>
      <w:r>
        <w:rPr>
          <w:rFonts w:ascii="Palatino Linotype" w:hAnsi="Palatino Linotype"/>
          <w:i/>
          <w:spacing w:val="5"/>
          <w:sz w:val="21"/>
        </w:rPr>
        <w:t> </w:t>
      </w:r>
      <w:r>
        <w:rPr>
          <w:rFonts w:ascii="Palatino Linotype" w:hAnsi="Palatino Linotype"/>
          <w:i/>
          <w:sz w:val="21"/>
        </w:rPr>
        <w:t>Monetary</w:t>
      </w:r>
      <w:r>
        <w:rPr>
          <w:rFonts w:ascii="Palatino Linotype" w:hAnsi="Palatino Linotype"/>
          <w:i/>
          <w:spacing w:val="7"/>
          <w:sz w:val="21"/>
        </w:rPr>
        <w:t> </w:t>
      </w:r>
      <w:r>
        <w:rPr>
          <w:rFonts w:ascii="Palatino Linotype" w:hAnsi="Palatino Linotype"/>
          <w:i/>
          <w:sz w:val="21"/>
        </w:rPr>
        <w:t>Policy</w:t>
      </w:r>
      <w:r>
        <w:rPr>
          <w:rFonts w:ascii="Palatino Linotype" w:hAnsi="Palatino Linotype"/>
          <w:i/>
          <w:spacing w:val="1"/>
          <w:sz w:val="21"/>
        </w:rPr>
        <w:t> </w:t>
      </w:r>
      <w:r>
        <w:rPr>
          <w:rFonts w:ascii="Palatino Linotype" w:hAnsi="Palatino Linotype"/>
          <w:i/>
          <w:sz w:val="21"/>
        </w:rPr>
        <w:t>under</w:t>
      </w:r>
      <w:r>
        <w:rPr>
          <w:rFonts w:ascii="Palatino Linotype" w:hAnsi="Palatino Linotype"/>
          <w:i/>
          <w:spacing w:val="6"/>
          <w:sz w:val="21"/>
        </w:rPr>
        <w:t> </w:t>
      </w:r>
      <w:r>
        <w:rPr>
          <w:rFonts w:ascii="Palatino Linotype" w:hAnsi="Palatino Linotype"/>
          <w:i/>
          <w:sz w:val="21"/>
        </w:rPr>
        <w:t>Parameter</w:t>
      </w:r>
      <w:r>
        <w:rPr>
          <w:rFonts w:ascii="Palatino Linotype" w:hAnsi="Palatino Linotype"/>
          <w:i/>
          <w:spacing w:val="6"/>
          <w:sz w:val="21"/>
        </w:rPr>
        <w:t> </w:t>
      </w:r>
      <w:r>
        <w:rPr>
          <w:rFonts w:ascii="Palatino Linotype" w:hAnsi="Palatino Linotype"/>
          <w:i/>
          <w:spacing w:val="-2"/>
          <w:sz w:val="21"/>
        </w:rPr>
        <w:t>Uncertainty</w:t>
      </w:r>
      <w:r>
        <w:rPr>
          <w:spacing w:val="-2"/>
          <w:sz w:val="21"/>
        </w:rPr>
        <w:t>”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54" w:lineRule="auto" w:before="55" w:after="0"/>
        <w:ind w:left="418" w:right="54" w:hanging="360"/>
        <w:jc w:val="both"/>
        <w:rPr>
          <w:rFonts w:ascii="Symbol" w:hAnsi="Symbol"/>
          <w:sz w:val="21"/>
        </w:rPr>
      </w:pPr>
      <w:r>
        <w:rPr>
          <w:spacing w:val="-2"/>
          <w:w w:val="105"/>
          <w:sz w:val="21"/>
        </w:rPr>
        <w:t>Committee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Member: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Sunghun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Cho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(2022),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Jing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Wei</w:t>
      </w:r>
      <w:r>
        <w:rPr>
          <w:spacing w:val="-5"/>
          <w:w w:val="105"/>
          <w:sz w:val="21"/>
        </w:rPr>
        <w:t> </w:t>
      </w:r>
      <w:r>
        <w:rPr>
          <w:spacing w:val="-2"/>
          <w:w w:val="105"/>
          <w:sz w:val="21"/>
        </w:rPr>
        <w:t>(2022),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SangHa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Yoon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(2020),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Yan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Wang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(2020), </w:t>
      </w:r>
      <w:r>
        <w:rPr>
          <w:w w:val="105"/>
          <w:sz w:val="21"/>
        </w:rPr>
        <w:t>Nirvana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Mitra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(2020),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Bo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Li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(2018),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Zahra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Ebrahimi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(2018),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Ignacio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Gonzalez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(EUI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2016),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Xin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Tang (2015),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E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Yang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(2015),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Yan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Liu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(2014),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Qian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Li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(2014),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Lin</w:t>
      </w:r>
      <w:r>
        <w:rPr>
          <w:w w:val="105"/>
          <w:sz w:val="21"/>
        </w:rPr>
        <w:t> Zhang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(2014),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Donghwan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Kim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(2010),</w:t>
      </w:r>
    </w:p>
    <w:p>
      <w:pPr>
        <w:pStyle w:val="BodyText"/>
        <w:spacing w:before="1"/>
        <w:ind w:left="418"/>
        <w:jc w:val="both"/>
      </w:pPr>
      <w:r>
        <w:rPr/>
        <w:t>Gordon</w:t>
      </w:r>
      <w:r>
        <w:rPr>
          <w:spacing w:val="37"/>
        </w:rPr>
        <w:t> </w:t>
      </w:r>
      <w:r>
        <w:rPr/>
        <w:t>Boronow</w:t>
      </w:r>
      <w:r>
        <w:rPr>
          <w:spacing w:val="36"/>
        </w:rPr>
        <w:t> </w:t>
      </w:r>
      <w:r>
        <w:rPr>
          <w:spacing w:val="-2"/>
        </w:rPr>
        <w:t>(2008)</w:t>
      </w:r>
    </w:p>
    <w:p>
      <w:pPr>
        <w:pStyle w:val="BodyText"/>
        <w:spacing w:before="63"/>
        <w:ind w:left="0"/>
      </w:pPr>
    </w:p>
    <w:p>
      <w:pPr>
        <w:pStyle w:val="Heading1"/>
        <w:ind w:left="58"/>
      </w:pPr>
      <w:bookmarkStart w:name="Grants and awards" w:id="7"/>
      <w:bookmarkEnd w:id="7"/>
      <w:r>
        <w:rPr>
          <w:b w:val="0"/>
        </w:rPr>
      </w:r>
      <w:r>
        <w:rPr/>
        <w:t>GRANTS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115" w:after="0"/>
        <w:ind w:left="416" w:right="0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Outstanding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Teaching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Award,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Stony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Brook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Economics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Department,</w:t>
      </w:r>
      <w:r>
        <w:rPr>
          <w:spacing w:val="-5"/>
          <w:w w:val="105"/>
          <w:sz w:val="21"/>
        </w:rPr>
        <w:t> </w:t>
      </w:r>
      <w:r>
        <w:rPr>
          <w:spacing w:val="-4"/>
          <w:w w:val="105"/>
          <w:sz w:val="21"/>
        </w:rPr>
        <w:t>2020.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3" w:after="0"/>
        <w:ind w:left="414" w:right="0" w:hanging="355"/>
        <w:jc w:val="left"/>
        <w:rPr>
          <w:rFonts w:ascii="Symbol" w:hAnsi="Symbol"/>
          <w:sz w:val="21"/>
        </w:rPr>
      </w:pPr>
      <w:r>
        <w:rPr>
          <w:sz w:val="22"/>
        </w:rPr>
        <w:t>Individual</w:t>
      </w:r>
      <w:r>
        <w:rPr>
          <w:spacing w:val="2"/>
          <w:sz w:val="22"/>
        </w:rPr>
        <w:t> </w:t>
      </w:r>
      <w:r>
        <w:rPr>
          <w:sz w:val="22"/>
        </w:rPr>
        <w:t>Development Award</w:t>
      </w:r>
      <w:r>
        <w:rPr>
          <w:spacing w:val="-2"/>
          <w:sz w:val="22"/>
        </w:rPr>
        <w:t> </w:t>
      </w:r>
      <w:r>
        <w:rPr>
          <w:sz w:val="22"/>
        </w:rPr>
        <w:t>(2006,</w:t>
      </w:r>
      <w:r>
        <w:rPr>
          <w:spacing w:val="2"/>
          <w:sz w:val="22"/>
        </w:rPr>
        <w:t> </w:t>
      </w:r>
      <w:r>
        <w:rPr>
          <w:sz w:val="22"/>
        </w:rPr>
        <w:t>2007,</w:t>
      </w:r>
      <w:r>
        <w:rPr>
          <w:spacing w:val="-1"/>
          <w:sz w:val="22"/>
        </w:rPr>
        <w:t> </w:t>
      </w:r>
      <w:r>
        <w:rPr>
          <w:sz w:val="22"/>
        </w:rPr>
        <w:t>2009,</w:t>
      </w:r>
      <w:r>
        <w:rPr>
          <w:spacing w:val="2"/>
          <w:sz w:val="22"/>
        </w:rPr>
        <w:t> </w:t>
      </w:r>
      <w:r>
        <w:rPr>
          <w:sz w:val="22"/>
        </w:rPr>
        <w:t>2011,</w:t>
      </w:r>
      <w:r>
        <w:rPr>
          <w:spacing w:val="1"/>
          <w:sz w:val="22"/>
        </w:rPr>
        <w:t> </w:t>
      </w:r>
      <w:r>
        <w:rPr>
          <w:sz w:val="22"/>
        </w:rPr>
        <w:t>2014,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2015)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31" w:after="0"/>
        <w:ind w:left="415" w:right="0" w:hanging="358"/>
        <w:jc w:val="left"/>
        <w:rPr>
          <w:rFonts w:ascii="Symbol" w:hAnsi="Symbol"/>
          <w:sz w:val="21"/>
        </w:rPr>
      </w:pPr>
      <w:r>
        <w:rPr>
          <w:sz w:val="21"/>
        </w:rPr>
        <w:t>PhD</w:t>
      </w:r>
      <w:r>
        <w:rPr>
          <w:spacing w:val="13"/>
          <w:sz w:val="21"/>
        </w:rPr>
        <w:t> </w:t>
      </w:r>
      <w:r>
        <w:rPr>
          <w:sz w:val="21"/>
        </w:rPr>
        <w:t>Programme</w:t>
      </w:r>
      <w:r>
        <w:rPr>
          <w:spacing w:val="14"/>
          <w:sz w:val="21"/>
        </w:rPr>
        <w:t> </w:t>
      </w:r>
      <w:r>
        <w:rPr>
          <w:sz w:val="21"/>
        </w:rPr>
        <w:t>scholarship</w:t>
      </w:r>
      <w:r>
        <w:rPr>
          <w:spacing w:val="13"/>
          <w:sz w:val="21"/>
        </w:rPr>
        <w:t> </w:t>
      </w:r>
      <w:r>
        <w:rPr>
          <w:sz w:val="21"/>
        </w:rPr>
        <w:t>at</w:t>
      </w:r>
      <w:r>
        <w:rPr>
          <w:spacing w:val="15"/>
          <w:sz w:val="21"/>
        </w:rPr>
        <w:t> </w:t>
      </w:r>
      <w:r>
        <w:rPr>
          <w:sz w:val="21"/>
        </w:rPr>
        <w:t>the</w:t>
      </w:r>
      <w:r>
        <w:rPr>
          <w:spacing w:val="14"/>
          <w:sz w:val="21"/>
        </w:rPr>
        <w:t> </w:t>
      </w:r>
      <w:r>
        <w:rPr>
          <w:sz w:val="21"/>
        </w:rPr>
        <w:t>London</w:t>
      </w:r>
      <w:r>
        <w:rPr>
          <w:spacing w:val="10"/>
          <w:sz w:val="21"/>
        </w:rPr>
        <w:t> </w:t>
      </w:r>
      <w:r>
        <w:rPr>
          <w:sz w:val="21"/>
        </w:rPr>
        <w:t>Business</w:t>
      </w:r>
      <w:r>
        <w:rPr>
          <w:spacing w:val="12"/>
          <w:sz w:val="21"/>
        </w:rPr>
        <w:t> </w:t>
      </w:r>
      <w:r>
        <w:rPr>
          <w:sz w:val="21"/>
        </w:rPr>
        <w:t>School</w:t>
      </w:r>
      <w:r>
        <w:rPr>
          <w:spacing w:val="15"/>
          <w:sz w:val="21"/>
        </w:rPr>
        <w:t> </w:t>
      </w:r>
      <w:r>
        <w:rPr>
          <w:sz w:val="21"/>
        </w:rPr>
        <w:t>(1999</w:t>
      </w:r>
      <w:r>
        <w:rPr>
          <w:spacing w:val="13"/>
          <w:sz w:val="21"/>
        </w:rPr>
        <w:t> </w:t>
      </w:r>
      <w:r>
        <w:rPr>
          <w:sz w:val="21"/>
        </w:rPr>
        <w:t>-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2003)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33" w:after="0"/>
        <w:ind w:left="414" w:right="0" w:hanging="357"/>
        <w:jc w:val="left"/>
        <w:rPr>
          <w:rFonts w:ascii="Symbol" w:hAnsi="Symbol"/>
          <w:sz w:val="22"/>
        </w:rPr>
      </w:pPr>
      <w:r>
        <w:rPr>
          <w:w w:val="105"/>
          <w:sz w:val="21"/>
        </w:rPr>
        <w:t>ESRC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PhD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studentship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financial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award</w:t>
      </w:r>
      <w:r>
        <w:rPr>
          <w:spacing w:val="1"/>
          <w:w w:val="105"/>
          <w:sz w:val="21"/>
        </w:rPr>
        <w:t> </w:t>
      </w:r>
      <w:r>
        <w:rPr>
          <w:spacing w:val="-2"/>
          <w:w w:val="105"/>
          <w:sz w:val="21"/>
        </w:rPr>
        <w:t>(2000)</w:t>
      </w:r>
    </w:p>
    <w:p>
      <w:pPr>
        <w:pStyle w:val="BodyText"/>
        <w:spacing w:before="233"/>
        <w:ind w:left="0"/>
      </w:pPr>
    </w:p>
    <w:p>
      <w:pPr>
        <w:pStyle w:val="Heading1"/>
        <w:spacing w:before="1"/>
      </w:pPr>
      <w:bookmarkStart w:name="other RESEARCH Positions Held" w:id="8"/>
      <w:bookmarkEnd w:id="8"/>
      <w:r>
        <w:rPr>
          <w:b w:val="0"/>
        </w:rPr>
      </w:r>
      <w:r>
        <w:rPr/>
        <w:t>OTHER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POSITIONS</w:t>
      </w:r>
      <w:r>
        <w:rPr>
          <w:spacing w:val="-6"/>
        </w:rPr>
        <w:t> </w:t>
      </w:r>
      <w:r>
        <w:rPr>
          <w:spacing w:val="-4"/>
        </w:rPr>
        <w:t>HELD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4" w:after="0"/>
        <w:ind w:left="415" w:right="0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Young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Researcher,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MAPMU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Research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Training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Network,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European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University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Institute,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2004-</w:t>
      </w:r>
      <w:r>
        <w:rPr>
          <w:spacing w:val="-4"/>
          <w:w w:val="105"/>
          <w:sz w:val="21"/>
        </w:rPr>
        <w:t>2005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71" w:after="0"/>
        <w:ind w:left="415" w:right="0" w:hanging="358"/>
        <w:jc w:val="left"/>
        <w:rPr>
          <w:rFonts w:ascii="Symbol" w:hAnsi="Symbol"/>
          <w:sz w:val="21"/>
        </w:rPr>
      </w:pPr>
      <w:r>
        <w:rPr>
          <w:sz w:val="21"/>
        </w:rPr>
        <w:t>Research</w:t>
      </w:r>
      <w:r>
        <w:rPr>
          <w:spacing w:val="20"/>
          <w:sz w:val="21"/>
        </w:rPr>
        <w:t> </w:t>
      </w:r>
      <w:r>
        <w:rPr>
          <w:sz w:val="21"/>
        </w:rPr>
        <w:t>Officer,</w:t>
      </w:r>
      <w:r>
        <w:rPr>
          <w:spacing w:val="17"/>
          <w:sz w:val="21"/>
        </w:rPr>
        <w:t> </w:t>
      </w:r>
      <w:r>
        <w:rPr>
          <w:sz w:val="21"/>
        </w:rPr>
        <w:t>London</w:t>
      </w:r>
      <w:r>
        <w:rPr>
          <w:spacing w:val="17"/>
          <w:sz w:val="21"/>
        </w:rPr>
        <w:t> </w:t>
      </w:r>
      <w:r>
        <w:rPr>
          <w:sz w:val="21"/>
        </w:rPr>
        <w:t>Business</w:t>
      </w:r>
      <w:r>
        <w:rPr>
          <w:spacing w:val="19"/>
          <w:sz w:val="21"/>
        </w:rPr>
        <w:t> </w:t>
      </w:r>
      <w:r>
        <w:rPr>
          <w:sz w:val="21"/>
        </w:rPr>
        <w:t>School,</w:t>
      </w:r>
      <w:r>
        <w:rPr>
          <w:spacing w:val="20"/>
          <w:sz w:val="21"/>
        </w:rPr>
        <w:t> </w:t>
      </w:r>
      <w:r>
        <w:rPr>
          <w:sz w:val="21"/>
        </w:rPr>
        <w:t>2002-</w:t>
      </w:r>
      <w:r>
        <w:rPr>
          <w:spacing w:val="-4"/>
          <w:sz w:val="21"/>
        </w:rPr>
        <w:t>2003.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74" w:after="0"/>
        <w:ind w:left="415" w:right="0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Internship,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Monetary Analysis,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Bank of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England,</w:t>
      </w:r>
      <w:r>
        <w:rPr>
          <w:spacing w:val="-2"/>
          <w:w w:val="105"/>
          <w:sz w:val="21"/>
        </w:rPr>
        <w:t> 2000.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1"/>
        </w:rPr>
        <w:sectPr>
          <w:headerReference w:type="default" r:id="rId7"/>
          <w:footerReference w:type="default" r:id="rId8"/>
          <w:pgSz w:w="11910" w:h="16840"/>
          <w:pgMar w:header="996" w:footer="739" w:top="1280" w:bottom="920" w:left="1133" w:right="1133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11"/>
        <w:ind w:left="0"/>
      </w:pPr>
    </w:p>
    <w:p>
      <w:pPr>
        <w:pStyle w:val="Heading1"/>
      </w:pPr>
      <w:bookmarkStart w:name="Other pRofessional activities" w:id="9"/>
      <w:bookmarkEnd w:id="9"/>
      <w:r>
        <w:rPr>
          <w:b w:val="0"/>
        </w:rPr>
      </w:r>
      <w:r>
        <w:rPr/>
        <w:t>OTHER</w:t>
      </w:r>
      <w:r>
        <w:rPr>
          <w:spacing w:val="-8"/>
        </w:rPr>
        <w:t> </w:t>
      </w:r>
      <w:r>
        <w:rPr/>
        <w:t>PROFESSIONAL</w:t>
      </w:r>
      <w:r>
        <w:rPr>
          <w:spacing w:val="-6"/>
        </w:rPr>
        <w:t> </w:t>
      </w:r>
      <w:r>
        <w:rPr>
          <w:spacing w:val="-2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13" w:after="0"/>
        <w:ind w:left="414" w:right="0" w:hanging="357"/>
        <w:jc w:val="both"/>
        <w:rPr>
          <w:rFonts w:ascii="Symbol" w:hAnsi="Symbol"/>
          <w:sz w:val="21"/>
        </w:rPr>
      </w:pPr>
      <w:r>
        <w:rPr>
          <w:spacing w:val="-2"/>
          <w:w w:val="105"/>
          <w:sz w:val="21"/>
        </w:rPr>
        <w:t>Conferences:</w:t>
      </w:r>
    </w:p>
    <w:p>
      <w:pPr>
        <w:pStyle w:val="ListParagraph"/>
        <w:numPr>
          <w:ilvl w:val="1"/>
          <w:numId w:val="1"/>
        </w:numPr>
        <w:tabs>
          <w:tab w:pos="1136" w:val="left" w:leader="none"/>
        </w:tabs>
        <w:spacing w:line="261" w:lineRule="exact" w:before="15" w:after="0"/>
        <w:ind w:left="1136" w:right="0" w:hanging="359"/>
        <w:jc w:val="both"/>
        <w:rPr>
          <w:sz w:val="21"/>
        </w:rPr>
      </w:pPr>
      <w:r>
        <w:rPr>
          <w:sz w:val="21"/>
        </w:rPr>
        <w:t>Econometric</w:t>
      </w:r>
      <w:r>
        <w:rPr>
          <w:spacing w:val="38"/>
          <w:sz w:val="21"/>
        </w:rPr>
        <w:t> </w:t>
      </w:r>
      <w:r>
        <w:rPr>
          <w:sz w:val="21"/>
        </w:rPr>
        <w:t>Society</w:t>
      </w:r>
      <w:r>
        <w:rPr>
          <w:spacing w:val="36"/>
          <w:sz w:val="21"/>
        </w:rPr>
        <w:t> </w:t>
      </w:r>
      <w:r>
        <w:rPr>
          <w:sz w:val="21"/>
        </w:rPr>
        <w:t>Winter</w:t>
      </w:r>
      <w:r>
        <w:rPr>
          <w:spacing w:val="36"/>
          <w:sz w:val="21"/>
        </w:rPr>
        <w:t> </w:t>
      </w:r>
      <w:r>
        <w:rPr>
          <w:sz w:val="21"/>
        </w:rPr>
        <w:t>Meeting</w:t>
      </w:r>
      <w:r>
        <w:rPr>
          <w:spacing w:val="36"/>
          <w:sz w:val="21"/>
        </w:rPr>
        <w:t> </w:t>
      </w:r>
      <w:r>
        <w:rPr>
          <w:sz w:val="21"/>
        </w:rPr>
        <w:t>(2020),</w:t>
      </w:r>
      <w:r>
        <w:rPr>
          <w:spacing w:val="39"/>
          <w:sz w:val="21"/>
        </w:rPr>
        <w:t> </w:t>
      </w:r>
      <w:r>
        <w:rPr>
          <w:sz w:val="21"/>
        </w:rPr>
        <w:t>Midwest</w:t>
      </w:r>
      <w:r>
        <w:rPr>
          <w:spacing w:val="39"/>
          <w:sz w:val="21"/>
        </w:rPr>
        <w:t> </w:t>
      </w:r>
      <w:r>
        <w:rPr>
          <w:sz w:val="21"/>
        </w:rPr>
        <w:t>Macro</w:t>
      </w:r>
      <w:r>
        <w:rPr>
          <w:spacing w:val="36"/>
          <w:sz w:val="21"/>
        </w:rPr>
        <w:t> </w:t>
      </w:r>
      <w:r>
        <w:rPr>
          <w:sz w:val="21"/>
        </w:rPr>
        <w:t>Meetings</w:t>
      </w:r>
      <w:r>
        <w:rPr>
          <w:spacing w:val="38"/>
          <w:sz w:val="21"/>
        </w:rPr>
        <w:t> </w:t>
      </w:r>
      <w:r>
        <w:rPr>
          <w:sz w:val="21"/>
        </w:rPr>
        <w:t>(2019,</w:t>
      </w:r>
      <w:r>
        <w:rPr>
          <w:spacing w:val="38"/>
          <w:sz w:val="21"/>
        </w:rPr>
        <w:t> </w:t>
      </w:r>
      <w:r>
        <w:rPr>
          <w:sz w:val="21"/>
        </w:rPr>
        <w:t>2016,</w:t>
      </w:r>
      <w:r>
        <w:rPr>
          <w:spacing w:val="36"/>
          <w:sz w:val="21"/>
        </w:rPr>
        <w:t> </w:t>
      </w:r>
      <w:r>
        <w:rPr>
          <w:spacing w:val="-2"/>
          <w:sz w:val="21"/>
        </w:rPr>
        <w:t>2014,</w:t>
      </w:r>
    </w:p>
    <w:p>
      <w:pPr>
        <w:pStyle w:val="BodyText"/>
        <w:spacing w:line="244" w:lineRule="exact" w:before="0"/>
        <w:ind w:left="1137"/>
        <w:jc w:val="both"/>
      </w:pPr>
      <w:r>
        <w:rPr/>
        <w:t>2010),</w:t>
      </w:r>
      <w:r>
        <w:rPr>
          <w:spacing w:val="-10"/>
        </w:rPr>
        <w:t> </w:t>
      </w:r>
      <w:r>
        <w:rPr/>
        <w:t>NASM</w:t>
      </w:r>
      <w:r>
        <w:rPr>
          <w:spacing w:val="-9"/>
        </w:rPr>
        <w:t> </w:t>
      </w:r>
      <w:r>
        <w:rPr/>
        <w:t>(2016,</w:t>
      </w:r>
      <w:r>
        <w:rPr>
          <w:spacing w:val="-10"/>
        </w:rPr>
        <w:t> </w:t>
      </w:r>
      <w:r>
        <w:rPr/>
        <w:t>2014,</w:t>
      </w:r>
      <w:r>
        <w:rPr>
          <w:spacing w:val="-11"/>
        </w:rPr>
        <w:t> </w:t>
      </w:r>
      <w:r>
        <w:rPr/>
        <w:t>2008),</w:t>
      </w:r>
      <w:r>
        <w:rPr>
          <w:spacing w:val="-10"/>
        </w:rPr>
        <w:t> </w:t>
      </w:r>
      <w:r>
        <w:rPr/>
        <w:t>EEA-ESEM</w:t>
      </w:r>
      <w:r>
        <w:rPr>
          <w:spacing w:val="-8"/>
        </w:rPr>
        <w:t> </w:t>
      </w:r>
      <w:r>
        <w:rPr/>
        <w:t>(2016,</w:t>
      </w:r>
      <w:r>
        <w:rPr>
          <w:spacing w:val="-10"/>
        </w:rPr>
        <w:t> </w:t>
      </w:r>
      <w:r>
        <w:rPr/>
        <w:t>2010,</w:t>
      </w:r>
      <w:r>
        <w:rPr>
          <w:spacing w:val="-9"/>
        </w:rPr>
        <w:t> </w:t>
      </w:r>
      <w:r>
        <w:rPr/>
        <w:t>2008,</w:t>
      </w:r>
      <w:r>
        <w:rPr>
          <w:spacing w:val="-9"/>
        </w:rPr>
        <w:t> </w:t>
      </w:r>
      <w:r>
        <w:rPr/>
        <w:t>2007),</w:t>
      </w:r>
      <w:r>
        <w:rPr>
          <w:spacing w:val="-8"/>
        </w:rPr>
        <w:t> </w:t>
      </w:r>
      <w:r>
        <w:rPr/>
        <w:t>CEF</w:t>
      </w:r>
      <w:r>
        <w:rPr>
          <w:spacing w:val="-9"/>
        </w:rPr>
        <w:t> </w:t>
      </w:r>
      <w:r>
        <w:rPr/>
        <w:t>(2016,</w:t>
      </w:r>
      <w:r>
        <w:rPr>
          <w:spacing w:val="-8"/>
        </w:rPr>
        <w:t> </w:t>
      </w:r>
      <w:r>
        <w:rPr/>
        <w:t>2010),</w:t>
      </w:r>
      <w:r>
        <w:rPr>
          <w:spacing w:val="-8"/>
        </w:rPr>
        <w:t> </w:t>
      </w:r>
      <w:r>
        <w:rPr>
          <w:spacing w:val="-5"/>
        </w:rPr>
        <w:t>SED</w:t>
      </w:r>
    </w:p>
    <w:p>
      <w:pPr>
        <w:pStyle w:val="BodyText"/>
        <w:spacing w:before="16"/>
        <w:ind w:left="1137"/>
        <w:jc w:val="both"/>
      </w:pPr>
      <w:r>
        <w:rPr/>
        <w:t>(2014,</w:t>
      </w:r>
      <w:r>
        <w:rPr>
          <w:spacing w:val="8"/>
        </w:rPr>
        <w:t> </w:t>
      </w:r>
      <w:r>
        <w:rPr/>
        <w:t>2008),</w:t>
      </w:r>
      <w:r>
        <w:rPr>
          <w:spacing w:val="11"/>
        </w:rPr>
        <w:t> </w:t>
      </w:r>
      <w:r>
        <w:rPr/>
        <w:t>CRETE</w:t>
      </w:r>
      <w:r>
        <w:rPr>
          <w:spacing w:val="9"/>
        </w:rPr>
        <w:t> </w:t>
      </w:r>
      <w:r>
        <w:rPr/>
        <w:t>(2014,</w:t>
      </w:r>
      <w:r>
        <w:rPr>
          <w:spacing w:val="10"/>
        </w:rPr>
        <w:t> </w:t>
      </w:r>
      <w:r>
        <w:rPr/>
        <w:t>2011,</w:t>
      </w:r>
      <w:r>
        <w:rPr>
          <w:spacing w:val="9"/>
        </w:rPr>
        <w:t> </w:t>
      </w:r>
      <w:r>
        <w:rPr/>
        <w:t>2006,</w:t>
      </w:r>
      <w:r>
        <w:rPr>
          <w:spacing w:val="9"/>
        </w:rPr>
        <w:t> </w:t>
      </w:r>
      <w:r>
        <w:rPr/>
        <w:t>2005),</w:t>
      </w:r>
      <w:r>
        <w:rPr>
          <w:spacing w:val="8"/>
        </w:rPr>
        <w:t> </w:t>
      </w:r>
      <w:r>
        <w:rPr/>
        <w:t>SAET</w:t>
      </w:r>
      <w:r>
        <w:rPr>
          <w:spacing w:val="11"/>
        </w:rPr>
        <w:t> </w:t>
      </w:r>
      <w:r>
        <w:rPr/>
        <w:t>(2013,</w:t>
      </w:r>
      <w:r>
        <w:rPr>
          <w:spacing w:val="8"/>
        </w:rPr>
        <w:t> </w:t>
      </w:r>
      <w:r>
        <w:rPr/>
        <w:t>2011),</w:t>
      </w:r>
      <w:r>
        <w:rPr>
          <w:spacing w:val="11"/>
        </w:rPr>
        <w:t> </w:t>
      </w:r>
      <w:r>
        <w:rPr/>
        <w:t>CEA</w:t>
      </w:r>
      <w:r>
        <w:rPr>
          <w:spacing w:val="9"/>
        </w:rPr>
        <w:t> </w:t>
      </w:r>
      <w:r>
        <w:rPr/>
        <w:t>(2013,</w:t>
      </w:r>
      <w:r>
        <w:rPr>
          <w:spacing w:val="10"/>
        </w:rPr>
        <w:t> </w:t>
      </w:r>
      <w:r>
        <w:rPr/>
        <w:t>2010,</w:t>
      </w:r>
      <w:r>
        <w:rPr>
          <w:spacing w:val="8"/>
        </w:rPr>
        <w:t> </w:t>
      </w:r>
      <w:r>
        <w:rPr>
          <w:spacing w:val="-2"/>
        </w:rPr>
        <w:t>2009),</w:t>
      </w:r>
    </w:p>
    <w:p>
      <w:pPr>
        <w:pStyle w:val="BodyText"/>
        <w:spacing w:line="254" w:lineRule="auto" w:before="15"/>
        <w:ind w:left="1137" w:right="55"/>
        <w:jc w:val="both"/>
      </w:pPr>
      <w:r>
        <w:rPr>
          <w:w w:val="105"/>
        </w:rPr>
        <w:t>Conference</w:t>
      </w:r>
      <w:r>
        <w:rPr>
          <w:w w:val="105"/>
        </w:rPr>
        <w:t> on</w:t>
      </w:r>
      <w:r>
        <w:rPr>
          <w:w w:val="105"/>
        </w:rPr>
        <w:t> Macro</w:t>
      </w:r>
      <w:r>
        <w:rPr>
          <w:w w:val="105"/>
        </w:rPr>
        <w:t> and</w:t>
      </w:r>
      <w:r>
        <w:rPr>
          <w:w w:val="105"/>
        </w:rPr>
        <w:t> Financial</w:t>
      </w:r>
      <w:r>
        <w:rPr>
          <w:w w:val="105"/>
        </w:rPr>
        <w:t> Economics</w:t>
      </w:r>
      <w:r>
        <w:rPr>
          <w:w w:val="105"/>
        </w:rPr>
        <w:t> (2011),</w:t>
      </w:r>
      <w:r>
        <w:rPr>
          <w:w w:val="105"/>
        </w:rPr>
        <w:t> COOL</w:t>
      </w:r>
      <w:r>
        <w:rPr>
          <w:w w:val="105"/>
        </w:rPr>
        <w:t> (2010),</w:t>
      </w:r>
      <w:r>
        <w:rPr>
          <w:w w:val="105"/>
        </w:rPr>
        <w:t> NBER</w:t>
      </w:r>
      <w:r>
        <w:rPr>
          <w:w w:val="105"/>
        </w:rPr>
        <w:t> Summer </w:t>
      </w:r>
      <w:r>
        <w:rPr>
          <w:spacing w:val="-2"/>
          <w:w w:val="105"/>
        </w:rPr>
        <w:t>Institute (2007),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3</w:t>
      </w:r>
      <w:r>
        <w:rPr>
          <w:spacing w:val="-2"/>
          <w:w w:val="105"/>
          <w:position w:val="5"/>
          <w:sz w:val="14"/>
        </w:rPr>
        <w:t>rd</w:t>
      </w:r>
      <w:r>
        <w:rPr>
          <w:spacing w:val="14"/>
          <w:w w:val="105"/>
          <w:position w:val="5"/>
          <w:sz w:val="14"/>
        </w:rPr>
        <w:t> </w:t>
      </w:r>
      <w:r>
        <w:rPr>
          <w:spacing w:val="-2"/>
          <w:w w:val="105"/>
        </w:rPr>
        <w:t>Macroeconomic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Policy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Design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for Monetary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Unions Conference (2005), </w:t>
      </w:r>
      <w:r>
        <w:rPr>
          <w:w w:val="105"/>
        </w:rPr>
        <w:t>X Workshop on Dynamic Macroeconomics (2005)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57" w:after="0"/>
        <w:ind w:left="414" w:right="0" w:hanging="357"/>
        <w:jc w:val="both"/>
        <w:rPr>
          <w:rFonts w:ascii="Symbol" w:hAnsi="Symbol"/>
          <w:sz w:val="21"/>
        </w:rPr>
      </w:pPr>
      <w:r>
        <w:rPr>
          <w:w w:val="105"/>
          <w:sz w:val="21"/>
        </w:rPr>
        <w:t>Invited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Seminars:</w:t>
      </w: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9" w:lineRule="auto" w:before="16" w:after="0"/>
        <w:ind w:left="1137" w:right="55" w:hanging="360"/>
        <w:jc w:val="both"/>
        <w:rPr>
          <w:sz w:val="21"/>
        </w:rPr>
      </w:pPr>
      <w:r>
        <w:rPr>
          <w:w w:val="105"/>
          <w:sz w:val="21"/>
        </w:rPr>
        <w:t>Brock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university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(2021),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University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Victoria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(2020),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University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at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Albany,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SUNY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(2017), University</w:t>
      </w:r>
      <w:r>
        <w:rPr>
          <w:w w:val="105"/>
          <w:sz w:val="21"/>
        </w:rPr>
        <w:t> of</w:t>
      </w:r>
      <w:r>
        <w:rPr>
          <w:w w:val="105"/>
          <w:sz w:val="21"/>
        </w:rPr>
        <w:t> Surrey</w:t>
      </w:r>
      <w:r>
        <w:rPr>
          <w:w w:val="105"/>
          <w:sz w:val="21"/>
        </w:rPr>
        <w:t> (2016),</w:t>
      </w:r>
      <w:r>
        <w:rPr>
          <w:w w:val="105"/>
          <w:sz w:val="21"/>
        </w:rPr>
        <w:t> University</w:t>
      </w:r>
      <w:r>
        <w:rPr>
          <w:w w:val="105"/>
          <w:sz w:val="21"/>
        </w:rPr>
        <w:t> of</w:t>
      </w:r>
      <w:r>
        <w:rPr>
          <w:w w:val="105"/>
          <w:sz w:val="21"/>
        </w:rPr>
        <w:t> York</w:t>
      </w:r>
      <w:r>
        <w:rPr>
          <w:w w:val="105"/>
          <w:sz w:val="21"/>
        </w:rPr>
        <w:t> (2016),</w:t>
      </w:r>
      <w:r>
        <w:rPr>
          <w:w w:val="105"/>
          <w:sz w:val="21"/>
        </w:rPr>
        <w:t> Birkbeck</w:t>
      </w:r>
      <w:r>
        <w:rPr>
          <w:w w:val="105"/>
          <w:sz w:val="21"/>
        </w:rPr>
        <w:t> College</w:t>
      </w:r>
      <w:r>
        <w:rPr>
          <w:w w:val="105"/>
          <w:sz w:val="21"/>
        </w:rPr>
        <w:t> London</w:t>
      </w:r>
      <w:r>
        <w:rPr>
          <w:w w:val="105"/>
          <w:sz w:val="21"/>
        </w:rPr>
        <w:t> (2016), Banco</w:t>
      </w:r>
      <w:r>
        <w:rPr>
          <w:w w:val="105"/>
          <w:sz w:val="21"/>
        </w:rPr>
        <w:t> de</w:t>
      </w:r>
      <w:r>
        <w:rPr>
          <w:w w:val="105"/>
          <w:sz w:val="21"/>
        </w:rPr>
        <w:t> Espana</w:t>
      </w:r>
      <w:r>
        <w:rPr>
          <w:w w:val="105"/>
          <w:sz w:val="21"/>
        </w:rPr>
        <w:t> (2016),</w:t>
      </w:r>
      <w:r>
        <w:rPr>
          <w:w w:val="105"/>
          <w:sz w:val="21"/>
        </w:rPr>
        <w:t> King’s</w:t>
      </w:r>
      <w:r>
        <w:rPr>
          <w:w w:val="105"/>
          <w:sz w:val="21"/>
        </w:rPr>
        <w:t> College</w:t>
      </w:r>
      <w:r>
        <w:rPr>
          <w:w w:val="105"/>
          <w:sz w:val="21"/>
        </w:rPr>
        <w:t> London</w:t>
      </w:r>
      <w:r>
        <w:rPr>
          <w:w w:val="105"/>
          <w:sz w:val="21"/>
        </w:rPr>
        <w:t> (2016),</w:t>
      </w:r>
      <w:r>
        <w:rPr>
          <w:w w:val="105"/>
          <w:sz w:val="21"/>
        </w:rPr>
        <w:t> University</w:t>
      </w:r>
      <w:r>
        <w:rPr>
          <w:w w:val="105"/>
          <w:sz w:val="21"/>
        </w:rPr>
        <w:t> of</w:t>
      </w:r>
      <w:r>
        <w:rPr>
          <w:w w:val="105"/>
          <w:sz w:val="21"/>
        </w:rPr>
        <w:t> Exeter</w:t>
      </w:r>
      <w:r>
        <w:rPr>
          <w:w w:val="105"/>
          <w:sz w:val="21"/>
        </w:rPr>
        <w:t> (2015), European</w:t>
      </w:r>
      <w:r>
        <w:rPr>
          <w:w w:val="105"/>
          <w:sz w:val="21"/>
        </w:rPr>
        <w:t> university</w:t>
      </w:r>
      <w:r>
        <w:rPr>
          <w:w w:val="105"/>
          <w:sz w:val="21"/>
        </w:rPr>
        <w:t> Institute</w:t>
      </w:r>
      <w:r>
        <w:rPr>
          <w:w w:val="105"/>
          <w:sz w:val="21"/>
        </w:rPr>
        <w:t> (2014),</w:t>
      </w:r>
      <w:r>
        <w:rPr>
          <w:w w:val="105"/>
          <w:sz w:val="21"/>
        </w:rPr>
        <w:t> CUNY</w:t>
      </w:r>
      <w:r>
        <w:rPr>
          <w:w w:val="105"/>
          <w:sz w:val="21"/>
        </w:rPr>
        <w:t> Queens</w:t>
      </w:r>
      <w:r>
        <w:rPr>
          <w:w w:val="105"/>
          <w:sz w:val="21"/>
        </w:rPr>
        <w:t> (2012),</w:t>
      </w:r>
      <w:r>
        <w:rPr>
          <w:w w:val="105"/>
          <w:sz w:val="21"/>
        </w:rPr>
        <w:t> UCL</w:t>
      </w:r>
      <w:r>
        <w:rPr>
          <w:w w:val="105"/>
          <w:sz w:val="21"/>
        </w:rPr>
        <w:t> (2010),</w:t>
      </w:r>
      <w:r>
        <w:rPr>
          <w:w w:val="105"/>
          <w:sz w:val="21"/>
        </w:rPr>
        <w:t> UC</w:t>
      </w:r>
      <w:r>
        <w:rPr>
          <w:w w:val="105"/>
          <w:sz w:val="21"/>
        </w:rPr>
        <w:t> San</w:t>
      </w:r>
      <w:r>
        <w:rPr>
          <w:w w:val="105"/>
          <w:sz w:val="21"/>
        </w:rPr>
        <w:t> Diego </w:t>
      </w:r>
      <w:r>
        <w:rPr>
          <w:sz w:val="21"/>
        </w:rPr>
        <w:t>(2010), USC Marshall (2010), Oxford University (2010, 2009), Penn State University (2009),</w:t>
      </w:r>
    </w:p>
    <w:p>
      <w:pPr>
        <w:pStyle w:val="BodyText"/>
        <w:spacing w:before="6"/>
        <w:ind w:left="1137"/>
        <w:jc w:val="both"/>
      </w:pPr>
      <w:r>
        <w:rPr>
          <w:w w:val="105"/>
        </w:rPr>
        <w:t>University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Cambridge</w:t>
      </w:r>
      <w:r>
        <w:rPr>
          <w:spacing w:val="11"/>
          <w:w w:val="105"/>
        </w:rPr>
        <w:t> </w:t>
      </w:r>
      <w:r>
        <w:rPr>
          <w:w w:val="105"/>
        </w:rPr>
        <w:t>(2009,</w:t>
      </w:r>
      <w:r>
        <w:rPr>
          <w:spacing w:val="14"/>
          <w:w w:val="105"/>
        </w:rPr>
        <w:t> </w:t>
      </w:r>
      <w:r>
        <w:rPr>
          <w:w w:val="105"/>
        </w:rPr>
        <w:t>2007,</w:t>
      </w:r>
      <w:r>
        <w:rPr>
          <w:spacing w:val="14"/>
          <w:w w:val="105"/>
        </w:rPr>
        <w:t> </w:t>
      </w:r>
      <w:r>
        <w:rPr>
          <w:w w:val="105"/>
        </w:rPr>
        <w:t>2006,),</w:t>
      </w:r>
      <w:r>
        <w:rPr>
          <w:spacing w:val="14"/>
          <w:w w:val="105"/>
        </w:rPr>
        <w:t> </w:t>
      </w:r>
      <w:r>
        <w:rPr>
          <w:w w:val="105"/>
        </w:rPr>
        <w:t>CREI</w:t>
      </w:r>
      <w:r>
        <w:rPr>
          <w:spacing w:val="14"/>
          <w:w w:val="105"/>
        </w:rPr>
        <w:t> </w:t>
      </w:r>
      <w:r>
        <w:rPr>
          <w:w w:val="105"/>
        </w:rPr>
        <w:t>(2007),</w:t>
      </w:r>
      <w:r>
        <w:rPr>
          <w:spacing w:val="14"/>
          <w:w w:val="105"/>
        </w:rPr>
        <w:t> </w:t>
      </w:r>
      <w:r>
        <w:rPr>
          <w:w w:val="105"/>
        </w:rPr>
        <w:t>Central</w:t>
      </w:r>
      <w:r>
        <w:rPr>
          <w:spacing w:val="15"/>
          <w:w w:val="105"/>
        </w:rPr>
        <w:t> </w:t>
      </w:r>
      <w:r>
        <w:rPr>
          <w:w w:val="105"/>
        </w:rPr>
        <w:t>European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16"/>
        <w:ind w:left="1137"/>
        <w:jc w:val="both"/>
      </w:pPr>
      <w:r>
        <w:rPr/>
        <w:t>(2005),</w:t>
      </w:r>
      <w:r>
        <w:rPr>
          <w:spacing w:val="6"/>
        </w:rPr>
        <w:t> </w:t>
      </w:r>
      <w:r>
        <w:rPr/>
        <w:t>Stony</w:t>
      </w:r>
      <w:r>
        <w:rPr>
          <w:spacing w:val="5"/>
        </w:rPr>
        <w:t> </w:t>
      </w:r>
      <w:r>
        <w:rPr/>
        <w:t>Brook</w:t>
      </w:r>
      <w:r>
        <w:rPr>
          <w:spacing w:val="6"/>
        </w:rPr>
        <w:t> </w:t>
      </w:r>
      <w:r>
        <w:rPr/>
        <w:t>University</w:t>
      </w:r>
      <w:r>
        <w:rPr>
          <w:spacing w:val="7"/>
        </w:rPr>
        <w:t> </w:t>
      </w:r>
      <w:r>
        <w:rPr/>
        <w:t>(2005),</w:t>
      </w:r>
      <w:r>
        <w:rPr>
          <w:spacing w:val="6"/>
        </w:rPr>
        <w:t> </w:t>
      </w:r>
      <w:r>
        <w:rPr/>
        <w:t>Erasmus</w:t>
      </w:r>
      <w:r>
        <w:rPr>
          <w:spacing w:val="6"/>
        </w:rPr>
        <w:t> </w:t>
      </w:r>
      <w:r>
        <w:rPr/>
        <w:t>University</w:t>
      </w:r>
      <w:r>
        <w:rPr>
          <w:spacing w:val="7"/>
        </w:rPr>
        <w:t> </w:t>
      </w:r>
      <w:r>
        <w:rPr>
          <w:spacing w:val="-2"/>
        </w:rPr>
        <w:t>(2005).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73" w:after="0"/>
        <w:ind w:left="415" w:right="0" w:hanging="357"/>
        <w:jc w:val="both"/>
        <w:rPr>
          <w:rFonts w:ascii="Symbol" w:hAnsi="Symbol"/>
          <w:sz w:val="21"/>
        </w:rPr>
      </w:pPr>
      <w:r>
        <w:rPr>
          <w:spacing w:val="-2"/>
          <w:sz w:val="21"/>
        </w:rPr>
        <w:t>Refereeing: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  <w:tab w:pos="1135" w:val="left" w:leader="none"/>
        </w:tabs>
        <w:spacing w:line="244" w:lineRule="auto" w:before="16" w:after="0"/>
        <w:ind w:left="1135" w:right="54" w:hanging="358"/>
        <w:jc w:val="both"/>
        <w:rPr>
          <w:sz w:val="21"/>
        </w:rPr>
      </w:pPr>
      <w:r>
        <w:rPr>
          <w:w w:val="105"/>
          <w:sz w:val="21"/>
        </w:rPr>
        <w:t>JEEA,</w:t>
      </w:r>
      <w:r>
        <w:rPr>
          <w:w w:val="105"/>
          <w:sz w:val="21"/>
        </w:rPr>
        <w:t> Economic</w:t>
      </w:r>
      <w:r>
        <w:rPr>
          <w:w w:val="105"/>
          <w:sz w:val="21"/>
        </w:rPr>
        <w:t> Journal,</w:t>
      </w:r>
      <w:r>
        <w:rPr>
          <w:w w:val="105"/>
          <w:sz w:val="21"/>
        </w:rPr>
        <w:t> International</w:t>
      </w:r>
      <w:r>
        <w:rPr>
          <w:w w:val="105"/>
          <w:sz w:val="21"/>
        </w:rPr>
        <w:t> Economic</w:t>
      </w:r>
      <w:r>
        <w:rPr>
          <w:w w:val="105"/>
          <w:sz w:val="21"/>
        </w:rPr>
        <w:t> Review,</w:t>
      </w:r>
      <w:r>
        <w:rPr>
          <w:w w:val="105"/>
          <w:sz w:val="21"/>
        </w:rPr>
        <w:t> European</w:t>
      </w:r>
      <w:r>
        <w:rPr>
          <w:w w:val="105"/>
          <w:sz w:val="21"/>
        </w:rPr>
        <w:t> Economic</w:t>
      </w:r>
      <w:r>
        <w:rPr>
          <w:w w:val="105"/>
          <w:sz w:val="21"/>
        </w:rPr>
        <w:t> Review, RED, JEDC, Journal of Macroeconomics, Macroeconomic Dynamics, Economics Letters, BE Journal of Macroeconomics.</w:t>
      </w:r>
    </w:p>
    <w:p>
      <w:pPr>
        <w:pStyle w:val="Heading1"/>
        <w:spacing w:before="241"/>
        <w:ind w:left="58"/>
      </w:pPr>
      <w:bookmarkStart w:name="Languages" w:id="10"/>
      <w:bookmarkEnd w:id="10"/>
      <w:r>
        <w:rPr>
          <w:b w:val="0"/>
        </w:rPr>
      </w:r>
      <w:r>
        <w:rPr>
          <w:spacing w:val="-2"/>
        </w:rPr>
        <w:t>LANGUAGES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13" w:after="0"/>
        <w:ind w:left="415" w:right="0" w:hanging="357"/>
        <w:jc w:val="left"/>
        <w:rPr>
          <w:rFonts w:ascii="Symbol" w:hAnsi="Symbol"/>
          <w:sz w:val="21"/>
        </w:rPr>
      </w:pPr>
      <w:r>
        <w:rPr>
          <w:sz w:val="21"/>
        </w:rPr>
        <w:t>Greek</w:t>
      </w:r>
      <w:r>
        <w:rPr>
          <w:spacing w:val="16"/>
          <w:sz w:val="21"/>
        </w:rPr>
        <w:t> </w:t>
      </w:r>
      <w:r>
        <w:rPr>
          <w:sz w:val="21"/>
        </w:rPr>
        <w:t>(native),</w:t>
      </w:r>
      <w:r>
        <w:rPr>
          <w:spacing w:val="14"/>
          <w:sz w:val="21"/>
        </w:rPr>
        <w:t> </w:t>
      </w:r>
      <w:r>
        <w:rPr>
          <w:sz w:val="21"/>
        </w:rPr>
        <w:t>English</w:t>
      </w:r>
      <w:r>
        <w:rPr>
          <w:spacing w:val="17"/>
          <w:sz w:val="21"/>
        </w:rPr>
        <w:t> </w:t>
      </w:r>
      <w:r>
        <w:rPr>
          <w:sz w:val="21"/>
        </w:rPr>
        <w:t>(fluent),</w:t>
      </w:r>
      <w:r>
        <w:rPr>
          <w:spacing w:val="17"/>
          <w:sz w:val="21"/>
        </w:rPr>
        <w:t> </w:t>
      </w:r>
      <w:r>
        <w:rPr>
          <w:sz w:val="21"/>
        </w:rPr>
        <w:t>French</w:t>
      </w:r>
      <w:r>
        <w:rPr>
          <w:spacing w:val="17"/>
          <w:sz w:val="21"/>
        </w:rPr>
        <w:t> </w:t>
      </w:r>
      <w:r>
        <w:rPr>
          <w:sz w:val="21"/>
        </w:rPr>
        <w:t>(intermediate),</w:t>
      </w:r>
      <w:r>
        <w:rPr>
          <w:spacing w:val="16"/>
          <w:sz w:val="21"/>
        </w:rPr>
        <w:t> </w:t>
      </w:r>
      <w:r>
        <w:rPr>
          <w:sz w:val="21"/>
        </w:rPr>
        <w:t>Italian</w:t>
      </w:r>
      <w:r>
        <w:rPr>
          <w:spacing w:val="17"/>
          <w:sz w:val="21"/>
        </w:rPr>
        <w:t> </w:t>
      </w:r>
      <w:r>
        <w:rPr>
          <w:sz w:val="21"/>
        </w:rPr>
        <w:t>(intermediate),</w:t>
      </w:r>
      <w:r>
        <w:rPr>
          <w:spacing w:val="14"/>
          <w:sz w:val="21"/>
        </w:rPr>
        <w:t> </w:t>
      </w:r>
      <w:r>
        <w:rPr>
          <w:sz w:val="21"/>
        </w:rPr>
        <w:t>German</w:t>
      </w:r>
      <w:r>
        <w:rPr>
          <w:spacing w:val="17"/>
          <w:sz w:val="21"/>
        </w:rPr>
        <w:t> </w:t>
      </w:r>
      <w:r>
        <w:rPr>
          <w:spacing w:val="-2"/>
          <w:sz w:val="21"/>
        </w:rPr>
        <w:t>(basic)</w:t>
      </w:r>
    </w:p>
    <w:sectPr>
      <w:pgSz w:w="11910" w:h="16840"/>
      <w:pgMar w:header="996" w:footer="739" w:top="1280" w:bottom="92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3189223</wp:posOffset>
              </wp:positionH>
              <wp:positionV relativeFrom="page">
                <wp:posOffset>10083417</wp:posOffset>
              </wp:positionV>
              <wp:extent cx="1180465" cy="1631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8046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rFonts w:ascii="Palatino Linotype"/>
                              <w:i/>
                              <w:sz w:val="18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z w:val="18"/>
                            </w:rPr>
                            <w:t>Last</w:t>
                          </w:r>
                          <w:r>
                            <w:rPr>
                              <w:rFonts w:ascii="Palatino Linotype"/>
                              <w:i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z w:val="18"/>
                            </w:rPr>
                            <w:t>updated</w:t>
                          </w:r>
                          <w:r>
                            <w:rPr>
                              <w:rFonts w:ascii="Palatino Linotype"/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z w:val="18"/>
                            </w:rPr>
                            <w:t>08-02-</w:t>
                          </w:r>
                          <w:r>
                            <w:rPr>
                              <w:rFonts w:ascii="Palatino Linotype"/>
                              <w:i/>
                              <w:spacing w:val="-4"/>
                              <w:sz w:val="18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1.119995pt;margin-top:793.96991pt;width:92.95pt;height:12.85pt;mso-position-horizontal-relative:page;mso-position-vertical-relative:page;z-index:-15806976" type="#_x0000_t202" id="docshape1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sz w:val="18"/>
                      </w:rPr>
                      <w:t>Last</w:t>
                    </w:r>
                    <w:r>
                      <w:rPr>
                        <w:rFonts w:ascii="Palatino Linotype"/>
                        <w:i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updated</w:t>
                    </w:r>
                    <w:r>
                      <w:rPr>
                        <w:rFonts w:ascii="Palatino Linotype"/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08-02-</w:t>
                    </w:r>
                    <w:r>
                      <w:rPr>
                        <w:rFonts w:ascii="Palatino Linotype"/>
                        <w:i/>
                        <w:spacing w:val="-4"/>
                        <w:sz w:val="18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3189223</wp:posOffset>
              </wp:positionH>
              <wp:positionV relativeFrom="page">
                <wp:posOffset>10083417</wp:posOffset>
              </wp:positionV>
              <wp:extent cx="1180465" cy="1631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8046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rFonts w:ascii="Palatino Linotype"/>
                              <w:i/>
                              <w:sz w:val="18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z w:val="18"/>
                            </w:rPr>
                            <w:t>Last</w:t>
                          </w:r>
                          <w:r>
                            <w:rPr>
                              <w:rFonts w:ascii="Palatino Linotype"/>
                              <w:i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z w:val="18"/>
                            </w:rPr>
                            <w:t>updated</w:t>
                          </w:r>
                          <w:r>
                            <w:rPr>
                              <w:rFonts w:ascii="Palatino Linotype"/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z w:val="18"/>
                            </w:rPr>
                            <w:t>08-02-</w:t>
                          </w:r>
                          <w:r>
                            <w:rPr>
                              <w:rFonts w:ascii="Palatino Linotype"/>
                              <w:i/>
                              <w:spacing w:val="-4"/>
                              <w:sz w:val="18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1.119995pt;margin-top:793.96991pt;width:92.95pt;height:12.85pt;mso-position-horizontal-relative:page;mso-position-vertical-relative:page;z-index:-15805440" type="#_x0000_t202" id="docshape5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sz w:val="18"/>
                      </w:rPr>
                      <w:t>Last</w:t>
                    </w:r>
                    <w:r>
                      <w:rPr>
                        <w:rFonts w:ascii="Palatino Linotype"/>
                        <w:i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updated</w:t>
                    </w:r>
                    <w:r>
                      <w:rPr>
                        <w:rFonts w:ascii="Palatino Linotype"/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08-02-</w:t>
                    </w:r>
                    <w:r>
                      <w:rPr>
                        <w:rFonts w:ascii="Palatino Linotype"/>
                        <w:i/>
                        <w:spacing w:val="-4"/>
                        <w:sz w:val="18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737616</wp:posOffset>
              </wp:positionH>
              <wp:positionV relativeFrom="page">
                <wp:posOffset>813803</wp:posOffset>
              </wp:positionV>
              <wp:extent cx="6083935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0839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3935" h="6350">
                            <a:moveTo>
                              <a:pt x="6083808" y="0"/>
                            </a:move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6083808" y="6108"/>
                            </a:lnTo>
                            <a:lnTo>
                              <a:pt x="608380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8.080002pt;margin-top:64.078979pt;width:479.04pt;height:.481pt;mso-position-horizontal-relative:page;mso-position-vertical-relative:page;z-index:-15806464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2770123</wp:posOffset>
              </wp:positionH>
              <wp:positionV relativeFrom="page">
                <wp:posOffset>619840</wp:posOffset>
              </wp:positionV>
              <wp:extent cx="2019935" cy="1949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1993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0" w:lineRule="exact" w:before="0"/>
                            <w:ind w:left="20" w:right="0" w:firstLine="0"/>
                            <w:jc w:val="left"/>
                            <w:rPr>
                              <w:rFonts w:ascii="Palatino Linotype"/>
                              <w:i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z w:val="22"/>
                            </w:rPr>
                            <w:t>ALEXIS</w:t>
                          </w:r>
                          <w:r>
                            <w:rPr>
                              <w:rFonts w:ascii="Palatino Linotype"/>
                              <w:i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pacing w:val="-2"/>
                              <w:sz w:val="22"/>
                            </w:rPr>
                            <w:t>ANAGNOSTOPOULOS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119995pt;margin-top:48.806313pt;width:159.050pt;height:15.35pt;mso-position-horizontal-relative:page;mso-position-vertical-relative:page;z-index:-15805952" type="#_x0000_t202" id="docshape4" filled="false" stroked="false">
              <v:textbox inset="0,0,0,0">
                <w:txbxContent>
                  <w:p>
                    <w:pPr>
                      <w:spacing w:line="290" w:lineRule="exact" w:before="0"/>
                      <w:ind w:left="20" w:right="0" w:firstLine="0"/>
                      <w:jc w:val="left"/>
                      <w:rPr>
                        <w:rFonts w:ascii="Palatino Linotype"/>
                        <w:i/>
                        <w:sz w:val="22"/>
                      </w:rPr>
                    </w:pPr>
                    <w:r>
                      <w:rPr>
                        <w:rFonts w:ascii="Palatino Linotype"/>
                        <w:i/>
                        <w:sz w:val="22"/>
                      </w:rPr>
                      <w:t>ALEXIS</w:t>
                    </w:r>
                    <w:r>
                      <w:rPr>
                        <w:rFonts w:ascii="Palatino Linotype"/>
                        <w:i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Palatino Linotype"/>
                        <w:i/>
                        <w:spacing w:val="-2"/>
                        <w:sz w:val="22"/>
                      </w:rPr>
                      <w:t>ANAGNOSTOPOULOS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16" w:hanging="358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13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3"/>
      <w:ind w:left="415"/>
    </w:pPr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Palatino Linotype" w:hAnsi="Palatino Linotype" w:eastAsia="Palatino Linotype" w:cs="Palatino Linotype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9"/>
      <w:jc w:val="center"/>
    </w:pPr>
    <w:rPr>
      <w:rFonts w:ascii="Palatino Linotype" w:hAnsi="Palatino Linotype" w:eastAsia="Palatino Linotype" w:cs="Palatino Linotype"/>
      <w:b/>
      <w:bCs/>
      <w:sz w:val="26"/>
      <w:szCs w:val="2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3"/>
      <w:ind w:left="415" w:hanging="358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lexis.anagnostopoulos@stonybrook.edu" TargetMode="Externa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drive.google.com/open?id=155qeleBIaeOiMgzUKzGjIIHzVeVWZ3Av&amp;usp=drive_fs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Stony Brook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Alexis Anagnostopoulos</dc:creator>
  <dc:title>CV Anagnostopoulos</dc:title>
  <dcterms:created xsi:type="dcterms:W3CDTF">2026-01-29T07:24:06Z</dcterms:created>
  <dcterms:modified xsi:type="dcterms:W3CDTF">2026-01-29T07:24:06Z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20.5.75</vt:lpwstr>
  </property>
  <property fmtid="{D5CDD505-2E9C-101B-9397-08002B2CF9AE}" pid="6" name="SourceModified">
    <vt:lpwstr>D:20240208204753</vt:lpwstr>
  </property>
</Properties>
</file>