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GEORGE</w:t>
      </w:r>
      <w:r>
        <w:rPr>
          <w:spacing w:val="-15"/>
        </w:rPr>
        <w:t> </w:t>
      </w:r>
      <w:r>
        <w:rPr/>
        <w:t>BRIGHT</w:t>
      </w:r>
      <w:r>
        <w:rPr>
          <w:spacing w:val="-14"/>
        </w:rPr>
        <w:t> </w:t>
      </w:r>
      <w:r>
        <w:rPr>
          <w:spacing w:val="-2"/>
        </w:rPr>
        <w:t>BULMAN</w:t>
      </w:r>
    </w:p>
    <w:p>
      <w:pPr>
        <w:pStyle w:val="BodyText"/>
        <w:rPr>
          <w:b/>
        </w:rPr>
      </w:pPr>
    </w:p>
    <w:p>
      <w:pPr>
        <w:pStyle w:val="BodyText"/>
        <w:ind w:left="360" w:right="6953"/>
      </w:pPr>
      <w:r>
        <w:rPr/>
        <w:t>Department</w:t>
      </w:r>
      <w:r>
        <w:rPr>
          <w:spacing w:val="-15"/>
        </w:rPr>
        <w:t> </w:t>
      </w:r>
      <w:r>
        <w:rPr/>
        <w:t>of</w:t>
      </w:r>
      <w:r>
        <w:rPr>
          <w:spacing w:val="-15"/>
        </w:rPr>
        <w:t> </w:t>
      </w:r>
      <w:r>
        <w:rPr/>
        <w:t>Economics University of California 1156 High Street</w:t>
      </w:r>
    </w:p>
    <w:p>
      <w:pPr>
        <w:pStyle w:val="BodyText"/>
        <w:ind w:left="360"/>
      </w:pPr>
      <w:r>
        <w:rPr/>
        <w:t>Santa</w:t>
      </w:r>
      <w:r>
        <w:rPr>
          <w:spacing w:val="-1"/>
        </w:rPr>
        <w:t> </w:t>
      </w:r>
      <w:r>
        <w:rPr/>
        <w:t>Cruz, CA </w:t>
      </w:r>
      <w:r>
        <w:rPr>
          <w:spacing w:val="-2"/>
        </w:rPr>
        <w:t>95064</w:t>
      </w:r>
    </w:p>
    <w:p>
      <w:pPr>
        <w:pStyle w:val="BodyText"/>
      </w:pPr>
    </w:p>
    <w:p>
      <w:pPr>
        <w:pStyle w:val="BodyText"/>
        <w:ind w:left="360" w:right="7358"/>
      </w:pPr>
      <w:hyperlink r:id="rId5">
        <w:r>
          <w:rPr>
            <w:spacing w:val="-2"/>
          </w:rPr>
          <w:t>gbulman@ucsc.edu</w:t>
        </w:r>
      </w:hyperlink>
      <w:r>
        <w:rPr>
          <w:spacing w:val="-2"/>
        </w:rPr>
        <w:t> </w:t>
      </w:r>
      <w:r>
        <w:rPr/>
        <w:t>(650) 521-1603</w:t>
      </w:r>
    </w:p>
    <w:p>
      <w:pPr>
        <w:pStyle w:val="BodyText"/>
      </w:pPr>
    </w:p>
    <w:p>
      <w:pPr>
        <w:pStyle w:val="Heading1"/>
        <w:rPr>
          <w:u w:val="none"/>
        </w:rPr>
      </w:pPr>
      <w:r>
        <w:rPr>
          <w:spacing w:val="-2"/>
          <w:u w:val="single"/>
        </w:rPr>
        <w:t>EDUCATION</w:t>
      </w:r>
    </w:p>
    <w:p>
      <w:pPr>
        <w:pStyle w:val="BodyText"/>
        <w:tabs>
          <w:tab w:pos="1800" w:val="left" w:leader="none"/>
        </w:tabs>
        <w:ind w:left="360" w:right="4521"/>
      </w:pPr>
      <w:r>
        <w:rPr>
          <w:spacing w:val="-4"/>
        </w:rPr>
        <w:t>2013</w:t>
      </w:r>
      <w:r>
        <w:rPr/>
        <w:tab/>
        <w:t>Ph.D.,</w:t>
      </w:r>
      <w:r>
        <w:rPr>
          <w:spacing w:val="-12"/>
        </w:rPr>
        <w:t> </w:t>
      </w:r>
      <w:r>
        <w:rPr/>
        <w:t>Economics,</w:t>
      </w:r>
      <w:r>
        <w:rPr>
          <w:spacing w:val="-12"/>
        </w:rPr>
        <w:t> </w:t>
      </w:r>
      <w:r>
        <w:rPr/>
        <w:t>Stanford</w:t>
      </w:r>
      <w:r>
        <w:rPr>
          <w:spacing w:val="-12"/>
        </w:rPr>
        <w:t> </w:t>
      </w:r>
      <w:r>
        <w:rPr/>
        <w:t>University </w:t>
      </w:r>
      <w:r>
        <w:rPr>
          <w:spacing w:val="-4"/>
        </w:rPr>
        <w:t>2002</w:t>
      </w:r>
      <w:r>
        <w:rPr/>
        <w:tab/>
        <w:t>B.S., Mathematics, Haverford College</w:t>
      </w:r>
    </w:p>
    <w:p>
      <w:pPr>
        <w:pStyle w:val="BodyText"/>
        <w:spacing w:before="1"/>
      </w:pPr>
    </w:p>
    <w:p>
      <w:pPr>
        <w:pStyle w:val="Heading1"/>
        <w:rPr>
          <w:u w:val="none"/>
        </w:rPr>
      </w:pPr>
      <w:r>
        <w:rPr>
          <w:u w:val="single"/>
        </w:rPr>
        <w:t>ACADEMIC</w:t>
      </w:r>
      <w:r>
        <w:rPr>
          <w:spacing w:val="-3"/>
          <w:u w:val="single"/>
        </w:rPr>
        <w:t> </w:t>
      </w:r>
      <w:r>
        <w:rPr>
          <w:spacing w:val="-2"/>
          <w:u w:val="single"/>
        </w:rPr>
        <w:t>AFFILIATIONS</w:t>
      </w:r>
    </w:p>
    <w:p>
      <w:pPr>
        <w:pStyle w:val="BodyText"/>
        <w:ind w:left="1080" w:right="5321" w:hanging="720"/>
      </w:pPr>
      <w:r>
        <w:rPr/>
        <w:t>University of California, Santa Cruz Associate</w:t>
      </w:r>
      <w:r>
        <w:rPr>
          <w:spacing w:val="-11"/>
        </w:rPr>
        <w:t> </w:t>
      </w:r>
      <w:r>
        <w:rPr/>
        <w:t>Professor</w:t>
      </w:r>
      <w:r>
        <w:rPr>
          <w:spacing w:val="-11"/>
        </w:rPr>
        <w:t> </w:t>
      </w:r>
      <w:r>
        <w:rPr/>
        <w:t>2020</w:t>
      </w:r>
      <w:r>
        <w:rPr>
          <w:spacing w:val="-8"/>
        </w:rPr>
        <w:t> </w:t>
      </w:r>
      <w:r>
        <w:rPr/>
        <w:t>–</w:t>
      </w:r>
      <w:r>
        <w:rPr>
          <w:spacing w:val="-11"/>
        </w:rPr>
        <w:t> </w:t>
      </w:r>
      <w:r>
        <w:rPr/>
        <w:t>current Assistant Professor 2013 – 2020</w:t>
      </w:r>
    </w:p>
    <w:p>
      <w:pPr>
        <w:pStyle w:val="BodyText"/>
      </w:pPr>
    </w:p>
    <w:p>
      <w:pPr>
        <w:pStyle w:val="BodyText"/>
        <w:ind w:left="1080" w:right="5321" w:hanging="720"/>
      </w:pPr>
      <w:r>
        <w:rPr/>
        <w:t>National Bureau of Economic Research Research</w:t>
      </w:r>
      <w:r>
        <w:rPr>
          <w:spacing w:val="-10"/>
        </w:rPr>
        <w:t> </w:t>
      </w:r>
      <w:r>
        <w:rPr/>
        <w:t>Associate</w:t>
      </w:r>
      <w:r>
        <w:rPr>
          <w:spacing w:val="-12"/>
        </w:rPr>
        <w:t> </w:t>
      </w:r>
      <w:r>
        <w:rPr/>
        <w:t>2022</w:t>
      </w:r>
      <w:r>
        <w:rPr>
          <w:spacing w:val="-9"/>
        </w:rPr>
        <w:t> </w:t>
      </w:r>
      <w:r>
        <w:rPr/>
        <w:t>–</w:t>
      </w:r>
      <w:r>
        <w:rPr>
          <w:spacing w:val="-11"/>
        </w:rPr>
        <w:t> </w:t>
      </w:r>
      <w:r>
        <w:rPr/>
        <w:t>current</w:t>
      </w:r>
    </w:p>
    <w:p>
      <w:pPr>
        <w:pStyle w:val="BodyText"/>
      </w:pPr>
    </w:p>
    <w:p>
      <w:pPr>
        <w:pStyle w:val="Heading1"/>
        <w:rPr>
          <w:u w:val="none"/>
        </w:rPr>
      </w:pPr>
      <w:r>
        <w:rPr>
          <w:u w:val="single"/>
        </w:rPr>
        <w:t>PRIOR</w:t>
      </w:r>
      <w:r>
        <w:rPr>
          <w:spacing w:val="-4"/>
          <w:u w:val="single"/>
        </w:rPr>
        <w:t> </w:t>
      </w:r>
      <w:r>
        <w:rPr>
          <w:spacing w:val="-2"/>
          <w:u w:val="single"/>
        </w:rPr>
        <w:t>EMPLOYMENT</w:t>
      </w:r>
    </w:p>
    <w:p>
      <w:pPr>
        <w:pStyle w:val="BodyText"/>
        <w:ind w:left="1080" w:right="5321" w:hanging="720"/>
      </w:pPr>
      <w:r>
        <w:rPr/>
        <w:t>National</w:t>
      </w:r>
      <w:r>
        <w:rPr>
          <w:spacing w:val="-11"/>
        </w:rPr>
        <w:t> </w:t>
      </w:r>
      <w:r>
        <w:rPr/>
        <w:t>Park</w:t>
      </w:r>
      <w:r>
        <w:rPr>
          <w:spacing w:val="-11"/>
        </w:rPr>
        <w:t> </w:t>
      </w:r>
      <w:r>
        <w:rPr/>
        <w:t>Service,</w:t>
      </w:r>
      <w:r>
        <w:rPr>
          <w:spacing w:val="-11"/>
        </w:rPr>
        <w:t> </w:t>
      </w:r>
      <w:r>
        <w:rPr/>
        <w:t>Washington</w:t>
      </w:r>
      <w:r>
        <w:rPr>
          <w:spacing w:val="-11"/>
        </w:rPr>
        <w:t> </w:t>
      </w:r>
      <w:r>
        <w:rPr/>
        <w:t>DC Budget Analyst 2004 – 2007</w:t>
      </w:r>
    </w:p>
    <w:p>
      <w:pPr>
        <w:pStyle w:val="BodyText"/>
        <w:spacing w:before="1"/>
      </w:pPr>
    </w:p>
    <w:p>
      <w:pPr>
        <w:pStyle w:val="BodyText"/>
        <w:ind w:left="360"/>
      </w:pPr>
      <w:r>
        <w:rPr/>
        <w:t>Roma</w:t>
      </w:r>
      <w:r>
        <w:rPr>
          <w:spacing w:val="-1"/>
        </w:rPr>
        <w:t> </w:t>
      </w:r>
      <w:r>
        <w:rPr/>
        <w:t>Independent</w:t>
      </w:r>
      <w:r>
        <w:rPr>
          <w:spacing w:val="-1"/>
        </w:rPr>
        <w:t> </w:t>
      </w:r>
      <w:r>
        <w:rPr/>
        <w:t>School</w:t>
      </w:r>
      <w:r>
        <w:rPr>
          <w:spacing w:val="-1"/>
        </w:rPr>
        <w:t> </w:t>
      </w:r>
      <w:r>
        <w:rPr/>
        <w:t>District,</w:t>
      </w:r>
      <w:r>
        <w:rPr>
          <w:spacing w:val="-1"/>
        </w:rPr>
        <w:t> </w:t>
      </w:r>
      <w:r>
        <w:rPr/>
        <w:t>Roma</w:t>
      </w:r>
      <w:r>
        <w:rPr>
          <w:spacing w:val="-1"/>
        </w:rPr>
        <w:t> </w:t>
      </w:r>
      <w:r>
        <w:rPr>
          <w:spacing w:val="-5"/>
        </w:rPr>
        <w:t>TX</w:t>
      </w:r>
    </w:p>
    <w:p>
      <w:pPr>
        <w:pStyle w:val="BodyText"/>
        <w:ind w:left="1080"/>
      </w:pPr>
      <w:r>
        <w:rPr/>
        <w:t>Teach</w:t>
      </w:r>
      <w:r>
        <w:rPr>
          <w:spacing w:val="1"/>
        </w:rPr>
        <w:t> </w:t>
      </w:r>
      <w:r>
        <w:rPr/>
        <w:t>For</w:t>
      </w:r>
      <w:r>
        <w:rPr>
          <w:spacing w:val="-1"/>
        </w:rPr>
        <w:t> </w:t>
      </w:r>
      <w:r>
        <w:rPr/>
        <w:t>America</w:t>
      </w:r>
      <w:r>
        <w:rPr>
          <w:spacing w:val="-2"/>
        </w:rPr>
        <w:t> </w:t>
      </w:r>
      <w:r>
        <w:rPr/>
        <w:t>8</w:t>
      </w:r>
      <w:r>
        <w:rPr>
          <w:vertAlign w:val="superscript"/>
        </w:rPr>
        <w:t>th</w:t>
      </w:r>
      <w:r>
        <w:rPr>
          <w:vertAlign w:val="baseline"/>
        </w:rPr>
        <w:t> Grade</w:t>
      </w:r>
      <w:r>
        <w:rPr>
          <w:spacing w:val="-2"/>
          <w:vertAlign w:val="baseline"/>
        </w:rPr>
        <w:t> </w:t>
      </w:r>
      <w:r>
        <w:rPr>
          <w:vertAlign w:val="baseline"/>
        </w:rPr>
        <w:t>Mathematic</w:t>
      </w:r>
      <w:r>
        <w:rPr>
          <w:spacing w:val="-1"/>
          <w:vertAlign w:val="baseline"/>
        </w:rPr>
        <w:t> </w:t>
      </w:r>
      <w:r>
        <w:rPr>
          <w:vertAlign w:val="baseline"/>
        </w:rPr>
        <w:t>Teacher 2002</w:t>
      </w:r>
      <w:r>
        <w:rPr>
          <w:spacing w:val="1"/>
          <w:vertAlign w:val="baseline"/>
        </w:rPr>
        <w:t> </w:t>
      </w:r>
      <w:r>
        <w:rPr>
          <w:vertAlign w:val="baseline"/>
        </w:rPr>
        <w:t>–</w:t>
      </w:r>
      <w:r>
        <w:rPr>
          <w:spacing w:val="-1"/>
          <w:vertAlign w:val="baseline"/>
        </w:rPr>
        <w:t> </w:t>
      </w:r>
      <w:r>
        <w:rPr>
          <w:spacing w:val="-4"/>
          <w:vertAlign w:val="baseline"/>
        </w:rPr>
        <w:t>2004</w:t>
      </w:r>
    </w:p>
    <w:p>
      <w:pPr>
        <w:pStyle w:val="BodyText"/>
      </w:pPr>
    </w:p>
    <w:p>
      <w:pPr>
        <w:pStyle w:val="Heading1"/>
        <w:rPr>
          <w:u w:val="none"/>
        </w:rPr>
      </w:pPr>
      <w:r>
        <w:rPr>
          <w:u w:val="single"/>
        </w:rPr>
        <w:t>RESEARCH</w:t>
      </w:r>
      <w:r>
        <w:rPr>
          <w:spacing w:val="-1"/>
          <w:u w:val="single"/>
        </w:rPr>
        <w:t> </w:t>
      </w:r>
      <w:r>
        <w:rPr>
          <w:spacing w:val="-2"/>
          <w:u w:val="single"/>
        </w:rPr>
        <w:t>PAPERS</w:t>
      </w:r>
    </w:p>
    <w:p>
      <w:pPr>
        <w:pStyle w:val="BodyText"/>
        <w:ind w:left="360"/>
      </w:pPr>
      <w:r>
        <w:rPr/>
        <w:t>“The Effect of College and University Endowments on Financial Aid, Admissions, and Student Composition.” Working Paper.</w:t>
      </w:r>
    </w:p>
    <w:p>
      <w:pPr>
        <w:pStyle w:val="BodyText"/>
      </w:pPr>
    </w:p>
    <w:p>
      <w:pPr>
        <w:pStyle w:val="BodyText"/>
        <w:ind w:left="360" w:right="355"/>
      </w:pPr>
      <w:r>
        <w:rPr/>
        <w:t>“The Effect of Financial Resources on Homeownership, Marriage, and Fertility: Evidence from State Lotteries.” with Sarena Goodman and Adam Isen. Working Paper. 2021.</w:t>
      </w:r>
    </w:p>
    <w:p>
      <w:pPr>
        <w:pStyle w:val="BodyText"/>
      </w:pPr>
    </w:p>
    <w:p>
      <w:pPr>
        <w:pStyle w:val="BodyText"/>
        <w:ind w:left="360" w:right="359"/>
        <w:jc w:val="both"/>
      </w:pPr>
      <w:r>
        <w:rPr/>
        <w:t>“The Impact of COVID-19 on Community College Enrollment and Student Success: Evidence from California Administrative Data.” with Robert Fairlie. NBER Working Paper No. 28715. </w:t>
      </w:r>
      <w:r>
        <w:rPr>
          <w:i/>
        </w:rPr>
        <w:t>Education Finance and Policy</w:t>
      </w:r>
      <w:r>
        <w:rPr/>
        <w:t>. 2022.</w:t>
      </w:r>
    </w:p>
    <w:p>
      <w:pPr>
        <w:pStyle w:val="BodyText"/>
        <w:spacing w:before="1"/>
      </w:pPr>
    </w:p>
    <w:p>
      <w:pPr>
        <w:spacing w:before="0"/>
        <w:ind w:left="360" w:right="355" w:firstLine="0"/>
        <w:jc w:val="both"/>
        <w:rPr>
          <w:sz w:val="24"/>
        </w:rPr>
      </w:pPr>
      <w:r>
        <w:rPr>
          <w:sz w:val="24"/>
        </w:rPr>
        <w:t>“Factors Shaping College Investment and Enrollment Gaps." with Jesse Cunha. </w:t>
      </w:r>
      <w:r>
        <w:rPr>
          <w:i/>
          <w:sz w:val="24"/>
        </w:rPr>
        <w:t>The Routledge Handbook of the Economics of Education </w:t>
      </w:r>
      <w:r>
        <w:rPr>
          <w:sz w:val="24"/>
        </w:rPr>
        <w:t>1: 309-342. 2022.</w:t>
      </w:r>
    </w:p>
    <w:p>
      <w:pPr>
        <w:pStyle w:val="BodyText"/>
      </w:pPr>
    </w:p>
    <w:p>
      <w:pPr>
        <w:pStyle w:val="BodyText"/>
        <w:ind w:left="360" w:right="355"/>
        <w:jc w:val="both"/>
      </w:pPr>
      <w:r>
        <w:rPr/>
        <w:t>“Parental Resources and College Attendance: Evidence from Lottery</w:t>
      </w:r>
      <w:r>
        <w:rPr>
          <w:spacing w:val="-4"/>
        </w:rPr>
        <w:t> </w:t>
      </w:r>
      <w:r>
        <w:rPr/>
        <w:t>Wins.” with Robert Fairlie, Sarena Goodman, and Adam Isen. NBER Working Paper No. 22679. </w:t>
      </w:r>
      <w:r>
        <w:rPr>
          <w:i/>
        </w:rPr>
        <w:t>American Economic Review </w:t>
      </w:r>
      <w:r>
        <w:rPr/>
        <w:t>111(4): 1201-1240. 2021.</w:t>
      </w:r>
    </w:p>
    <w:p>
      <w:pPr>
        <w:pStyle w:val="BodyText"/>
        <w:spacing w:after="0"/>
        <w:jc w:val="both"/>
        <w:sectPr>
          <w:type w:val="continuous"/>
          <w:pgSz w:w="12240" w:h="15840"/>
          <w:pgMar w:top="1220" w:bottom="280" w:left="1080" w:right="1080"/>
        </w:sectPr>
      </w:pPr>
    </w:p>
    <w:p>
      <w:pPr>
        <w:pStyle w:val="BodyText"/>
        <w:spacing w:before="75"/>
        <w:ind w:left="360" w:right="355"/>
        <w:jc w:val="both"/>
      </w:pPr>
      <w:r>
        <w:rPr/>
        <w:t>“Law Enforcement Leaders and the Racial Composition of Arrests.” </w:t>
      </w:r>
      <w:r>
        <w:rPr>
          <w:i/>
        </w:rPr>
        <w:t>Economic Inquiry </w:t>
      </w:r>
      <w:r>
        <w:rPr/>
        <w:t>57(4): 1842-1858. 2019.</w:t>
      </w:r>
    </w:p>
    <w:p>
      <w:pPr>
        <w:pStyle w:val="BodyText"/>
      </w:pPr>
    </w:p>
    <w:p>
      <w:pPr>
        <w:pStyle w:val="BodyText"/>
        <w:ind w:left="360" w:right="354"/>
        <w:jc w:val="both"/>
      </w:pPr>
      <w:r>
        <w:rPr/>
        <w:t>“Updating Human Capital Decisions: Evidence from SAT Score Shocks and College Applications.” with Timothy N. Bond, Xiaoxiao Li, and Jonathan Smith. </w:t>
      </w:r>
      <w:r>
        <w:rPr>
          <w:i/>
        </w:rPr>
        <w:t>Journal of Labor Economics </w:t>
      </w:r>
      <w:r>
        <w:rPr/>
        <w:t>36 (3): 807–839. 2018.</w:t>
      </w:r>
    </w:p>
    <w:p>
      <w:pPr>
        <w:pStyle w:val="BodyText"/>
      </w:pPr>
    </w:p>
    <w:p>
      <w:pPr>
        <w:spacing w:before="0"/>
        <w:ind w:left="360" w:right="359" w:firstLine="0"/>
        <w:jc w:val="both"/>
        <w:rPr>
          <w:sz w:val="24"/>
        </w:rPr>
      </w:pPr>
      <w:r>
        <w:rPr>
          <w:sz w:val="24"/>
        </w:rPr>
        <w:t>“Weighting Recent Performance to Improve College and Labor Market Outcomes.” </w:t>
      </w:r>
      <w:r>
        <w:rPr>
          <w:i/>
          <w:sz w:val="24"/>
        </w:rPr>
        <w:t>Journal of Public Economics </w:t>
      </w:r>
      <w:r>
        <w:rPr>
          <w:sz w:val="24"/>
        </w:rPr>
        <w:t>146: 97-108. 2017.</w:t>
      </w:r>
    </w:p>
    <w:p>
      <w:pPr>
        <w:pStyle w:val="BodyText"/>
      </w:pPr>
    </w:p>
    <w:p>
      <w:pPr>
        <w:spacing w:before="0"/>
        <w:ind w:left="360" w:right="353" w:firstLine="0"/>
        <w:jc w:val="both"/>
        <w:rPr>
          <w:sz w:val="24"/>
        </w:rPr>
      </w:pPr>
      <w:r>
        <w:rPr>
          <w:sz w:val="24"/>
        </w:rPr>
        <w:t>“Technology and Education: Computers, Software, and the Internet.” with Robert W. Fairlie. NBER Working Paper No. 22237. </w:t>
      </w:r>
      <w:r>
        <w:rPr>
          <w:i/>
          <w:sz w:val="24"/>
        </w:rPr>
        <w:t>Handbook of the Economics of Education </w:t>
      </w:r>
      <w:r>
        <w:rPr>
          <w:sz w:val="24"/>
        </w:rPr>
        <w:t>5: 239-280. 2016.</w:t>
      </w:r>
    </w:p>
    <w:p>
      <w:pPr>
        <w:pStyle w:val="BodyText"/>
        <w:spacing w:before="1"/>
      </w:pPr>
    </w:p>
    <w:p>
      <w:pPr>
        <w:pStyle w:val="BodyText"/>
        <w:ind w:left="360" w:right="354"/>
        <w:jc w:val="both"/>
      </w:pPr>
      <w:r>
        <w:rPr/>
        <w:t>“The Effects of the Tax Deduction for Postsecondary Tuition: Implications for Structuring Tax- Based Aid.” with Caroline M. Hoxby. NBER Working Paper No. 21554. </w:t>
      </w:r>
      <w:r>
        <w:rPr>
          <w:i/>
        </w:rPr>
        <w:t>Economics of Education Review </w:t>
      </w:r>
      <w:r>
        <w:rPr/>
        <w:t>51: 23-60. 2016.</w:t>
      </w:r>
    </w:p>
    <w:p>
      <w:pPr>
        <w:pStyle w:val="BodyText"/>
      </w:pPr>
    </w:p>
    <w:p>
      <w:pPr>
        <w:spacing w:before="0"/>
        <w:ind w:left="360" w:right="358" w:firstLine="0"/>
        <w:jc w:val="both"/>
        <w:rPr>
          <w:sz w:val="24"/>
        </w:rPr>
      </w:pPr>
      <w:r>
        <w:rPr>
          <w:sz w:val="24"/>
        </w:rPr>
        <w:t>“The Effect of Access to College Assessments on Enrollment and Attainment.” </w:t>
      </w:r>
      <w:r>
        <w:rPr>
          <w:i/>
          <w:sz w:val="24"/>
        </w:rPr>
        <w:t>American Economic Journal: Applied Economics </w:t>
      </w:r>
      <w:r>
        <w:rPr>
          <w:sz w:val="24"/>
        </w:rPr>
        <w:t>7(4): 1-36. 2015. (lead article)</w:t>
      </w:r>
    </w:p>
    <w:p>
      <w:pPr>
        <w:pStyle w:val="BodyText"/>
      </w:pPr>
    </w:p>
    <w:p>
      <w:pPr>
        <w:pStyle w:val="BodyText"/>
        <w:ind w:left="360" w:right="359" w:firstLine="60"/>
        <w:jc w:val="both"/>
      </w:pPr>
      <w:r>
        <w:rPr/>
        <w:t>“The Returns to the Federal Tax Credits for Higher Education.’’ with Caroline M. Hoxby. NBER Working Paper No. 20833. </w:t>
      </w:r>
      <w:r>
        <w:rPr>
          <w:i/>
        </w:rPr>
        <w:t>Tax Policy and the Economy </w:t>
      </w:r>
      <w:r>
        <w:rPr/>
        <w:t>29 (1): 13-88. 2015.</w:t>
      </w:r>
    </w:p>
    <w:p>
      <w:pPr>
        <w:pStyle w:val="BodyText"/>
      </w:pPr>
    </w:p>
    <w:p>
      <w:pPr>
        <w:spacing w:before="0"/>
        <w:ind w:left="360" w:right="357" w:firstLine="0"/>
        <w:jc w:val="both"/>
        <w:rPr>
          <w:sz w:val="24"/>
        </w:rPr>
      </w:pPr>
      <w:r>
        <w:rPr>
          <w:sz w:val="24"/>
        </w:rPr>
        <w:t>“Stability</w:t>
      </w:r>
      <w:r>
        <w:rPr>
          <w:spacing w:val="-3"/>
          <w:sz w:val="24"/>
        </w:rPr>
        <w:t> </w:t>
      </w:r>
      <w:r>
        <w:rPr>
          <w:sz w:val="24"/>
        </w:rPr>
        <w:t>of an Elastic Rod Buckling into a Soft Wall.” with Robert S. Manning, </w:t>
      </w:r>
      <w:r>
        <w:rPr>
          <w:i/>
          <w:sz w:val="24"/>
        </w:rPr>
        <w:t>Proceedings of the Royal Society: Mathematical, Physical, and Engineering Sciences </w:t>
      </w:r>
      <w:r>
        <w:rPr>
          <w:sz w:val="24"/>
        </w:rPr>
        <w:t>A 461: 2423-2450. 2005.</w:t>
      </w:r>
    </w:p>
    <w:p>
      <w:pPr>
        <w:pStyle w:val="BodyText"/>
        <w:spacing w:before="1"/>
      </w:pPr>
    </w:p>
    <w:p>
      <w:pPr>
        <w:pStyle w:val="Heading1"/>
        <w:rPr>
          <w:u w:val="none"/>
        </w:rPr>
      </w:pPr>
      <w:r>
        <w:rPr>
          <w:spacing w:val="-2"/>
          <w:u w:val="single"/>
        </w:rPr>
        <w:t>PRESS</w:t>
      </w:r>
    </w:p>
    <w:p>
      <w:pPr>
        <w:spacing w:before="0"/>
        <w:ind w:left="360" w:right="0" w:firstLine="0"/>
        <w:jc w:val="left"/>
        <w:rPr>
          <w:sz w:val="24"/>
        </w:rPr>
      </w:pPr>
      <w:r>
        <w:rPr>
          <w:i/>
          <w:sz w:val="24"/>
        </w:rPr>
        <w:t>Futures</w:t>
      </w:r>
      <w:r>
        <w:rPr>
          <w:i/>
          <w:spacing w:val="-2"/>
          <w:sz w:val="24"/>
        </w:rPr>
        <w:t> </w:t>
      </w:r>
      <w:r>
        <w:rPr>
          <w:i/>
          <w:sz w:val="24"/>
        </w:rPr>
        <w:t>Initiative</w:t>
      </w:r>
      <w:r>
        <w:rPr>
          <w:i/>
          <w:spacing w:val="-2"/>
          <w:sz w:val="24"/>
        </w:rPr>
        <w:t> </w:t>
      </w:r>
      <w:r>
        <w:rPr>
          <w:i/>
          <w:sz w:val="24"/>
        </w:rPr>
        <w:t>(2022)</w:t>
      </w:r>
      <w:r>
        <w:rPr>
          <w:sz w:val="24"/>
        </w:rPr>
        <w:t>:</w:t>
      </w:r>
      <w:r>
        <w:rPr>
          <w:spacing w:val="4"/>
          <w:sz w:val="24"/>
        </w:rPr>
        <w:t> </w:t>
      </w:r>
      <w:r>
        <w:rPr>
          <w:sz w:val="24"/>
        </w:rPr>
        <w:t>Impact</w:t>
      </w:r>
      <w:r>
        <w:rPr>
          <w:spacing w:val="-1"/>
          <w:sz w:val="24"/>
        </w:rPr>
        <w:t> </w:t>
      </w:r>
      <w:r>
        <w:rPr>
          <w:sz w:val="24"/>
        </w:rPr>
        <w:t>of</w:t>
      </w:r>
      <w:r>
        <w:rPr>
          <w:spacing w:val="-1"/>
          <w:sz w:val="24"/>
        </w:rPr>
        <w:t> </w:t>
      </w:r>
      <w:r>
        <w:rPr>
          <w:sz w:val="24"/>
        </w:rPr>
        <w:t>Covid-19</w:t>
      </w:r>
      <w:r>
        <w:rPr>
          <w:spacing w:val="-1"/>
          <w:sz w:val="24"/>
        </w:rPr>
        <w:t> </w:t>
      </w:r>
      <w:r>
        <w:rPr>
          <w:sz w:val="24"/>
        </w:rPr>
        <w:t>on</w:t>
      </w:r>
      <w:r>
        <w:rPr>
          <w:spacing w:val="1"/>
          <w:sz w:val="24"/>
        </w:rPr>
        <w:t> </w:t>
      </w:r>
      <w:r>
        <w:rPr>
          <w:sz w:val="24"/>
        </w:rPr>
        <w:t>CA</w:t>
      </w:r>
      <w:r>
        <w:rPr>
          <w:spacing w:val="-2"/>
          <w:sz w:val="24"/>
        </w:rPr>
        <w:t> </w:t>
      </w:r>
      <w:r>
        <w:rPr>
          <w:sz w:val="24"/>
        </w:rPr>
        <w:t>CC</w:t>
      </w:r>
      <w:r>
        <w:rPr>
          <w:spacing w:val="-1"/>
          <w:sz w:val="24"/>
        </w:rPr>
        <w:t> </w:t>
      </w:r>
      <w:r>
        <w:rPr>
          <w:sz w:val="24"/>
        </w:rPr>
        <w:t>Enrollment</w:t>
      </w:r>
      <w:r>
        <w:rPr>
          <w:spacing w:val="-1"/>
          <w:sz w:val="24"/>
        </w:rPr>
        <w:t> </w:t>
      </w:r>
      <w:r>
        <w:rPr>
          <w:sz w:val="24"/>
        </w:rPr>
        <w:t>and</w:t>
      </w:r>
      <w:r>
        <w:rPr>
          <w:spacing w:val="-1"/>
          <w:sz w:val="24"/>
        </w:rPr>
        <w:t> </w:t>
      </w:r>
      <w:r>
        <w:rPr>
          <w:sz w:val="24"/>
        </w:rPr>
        <w:t>Students’</w:t>
      </w:r>
      <w:r>
        <w:rPr>
          <w:spacing w:val="-1"/>
          <w:sz w:val="24"/>
        </w:rPr>
        <w:t> </w:t>
      </w:r>
      <w:r>
        <w:rPr>
          <w:spacing w:val="-2"/>
          <w:sz w:val="24"/>
        </w:rPr>
        <w:t>Outcomes</w:t>
      </w:r>
    </w:p>
    <w:p>
      <w:pPr>
        <w:spacing w:before="0"/>
        <w:ind w:left="360" w:right="1501" w:firstLine="0"/>
        <w:jc w:val="left"/>
        <w:rPr>
          <w:sz w:val="24"/>
        </w:rPr>
      </w:pPr>
      <w:r>
        <w:rPr>
          <w:i/>
          <w:sz w:val="24"/>
        </w:rPr>
        <w:t>Education Next (2022)</w:t>
      </w:r>
      <w:r>
        <w:rPr>
          <w:sz w:val="24"/>
        </w:rPr>
        <w:t>: Enrollments Plunge at California Community Colleges </w:t>
      </w:r>
      <w:r>
        <w:rPr>
          <w:i/>
          <w:sz w:val="24"/>
        </w:rPr>
        <w:t>Future</w:t>
      </w:r>
      <w:r>
        <w:rPr>
          <w:i/>
          <w:spacing w:val="-2"/>
          <w:sz w:val="24"/>
        </w:rPr>
        <w:t> </w:t>
      </w:r>
      <w:r>
        <w:rPr>
          <w:i/>
          <w:sz w:val="24"/>
        </w:rPr>
        <w:t>Ed (2022)</w:t>
      </w:r>
      <w:r>
        <w:rPr>
          <w:sz w:val="24"/>
        </w:rPr>
        <w:t>:</w:t>
      </w:r>
      <w:r>
        <w:rPr>
          <w:spacing w:val="-2"/>
          <w:sz w:val="24"/>
        </w:rPr>
        <w:t> </w:t>
      </w:r>
      <w:r>
        <w:rPr>
          <w:sz w:val="24"/>
        </w:rPr>
        <w:t>The</w:t>
      </w:r>
      <w:r>
        <w:rPr>
          <w:spacing w:val="-2"/>
          <w:sz w:val="24"/>
        </w:rPr>
        <w:t> </w:t>
      </w:r>
      <w:r>
        <w:rPr>
          <w:sz w:val="24"/>
        </w:rPr>
        <w:t>Impact</w:t>
      </w:r>
      <w:r>
        <w:rPr>
          <w:spacing w:val="-2"/>
          <w:sz w:val="24"/>
        </w:rPr>
        <w:t> </w:t>
      </w:r>
      <w:r>
        <w:rPr>
          <w:sz w:val="24"/>
        </w:rPr>
        <w:t>of</w:t>
      </w:r>
      <w:r>
        <w:rPr>
          <w:spacing w:val="-2"/>
          <w:sz w:val="24"/>
        </w:rPr>
        <w:t> </w:t>
      </w:r>
      <w:r>
        <w:rPr>
          <w:sz w:val="24"/>
        </w:rPr>
        <w:t>COVID-19</w:t>
      </w:r>
      <w:r>
        <w:rPr>
          <w:spacing w:val="-2"/>
          <w:sz w:val="24"/>
        </w:rPr>
        <w:t> </w:t>
      </w:r>
      <w:r>
        <w:rPr>
          <w:sz w:val="24"/>
        </w:rPr>
        <w:t>on CC</w:t>
      </w:r>
      <w:r>
        <w:rPr>
          <w:spacing w:val="-2"/>
          <w:sz w:val="24"/>
        </w:rPr>
        <w:t> </w:t>
      </w:r>
      <w:r>
        <w:rPr>
          <w:sz w:val="24"/>
        </w:rPr>
        <w:t>Enrollment</w:t>
      </w:r>
      <w:r>
        <w:rPr>
          <w:spacing w:val="-2"/>
          <w:sz w:val="24"/>
        </w:rPr>
        <w:t> </w:t>
      </w:r>
      <w:r>
        <w:rPr>
          <w:sz w:val="24"/>
        </w:rPr>
        <w:t>and</w:t>
      </w:r>
      <w:r>
        <w:rPr>
          <w:spacing w:val="-2"/>
          <w:sz w:val="24"/>
        </w:rPr>
        <w:t> </w:t>
      </w:r>
      <w:r>
        <w:rPr>
          <w:sz w:val="24"/>
        </w:rPr>
        <w:t>Student</w:t>
      </w:r>
      <w:r>
        <w:rPr>
          <w:spacing w:val="-2"/>
          <w:sz w:val="24"/>
        </w:rPr>
        <w:t> </w:t>
      </w:r>
      <w:r>
        <w:rPr>
          <w:sz w:val="24"/>
        </w:rPr>
        <w:t>Success </w:t>
      </w:r>
      <w:r>
        <w:rPr>
          <w:i/>
          <w:sz w:val="24"/>
        </w:rPr>
        <w:t>Brookings</w:t>
      </w:r>
      <w:r>
        <w:rPr>
          <w:i/>
          <w:spacing w:val="-5"/>
          <w:sz w:val="24"/>
        </w:rPr>
        <w:t> </w:t>
      </w:r>
      <w:r>
        <w:rPr>
          <w:i/>
          <w:sz w:val="24"/>
        </w:rPr>
        <w:t>(2021)</w:t>
      </w:r>
      <w:r>
        <w:rPr>
          <w:sz w:val="24"/>
        </w:rPr>
        <w:t>:</w:t>
      </w:r>
      <w:r>
        <w:rPr>
          <w:spacing w:val="-4"/>
          <w:sz w:val="24"/>
        </w:rPr>
        <w:t> </w:t>
      </w:r>
      <w:r>
        <w:rPr>
          <w:sz w:val="24"/>
        </w:rPr>
        <w:t>Dynastic</w:t>
      </w:r>
      <w:r>
        <w:rPr>
          <w:spacing w:val="-6"/>
          <w:sz w:val="24"/>
        </w:rPr>
        <w:t> </w:t>
      </w:r>
      <w:r>
        <w:rPr>
          <w:sz w:val="24"/>
        </w:rPr>
        <w:t>human</w:t>
      </w:r>
      <w:r>
        <w:rPr>
          <w:spacing w:val="-5"/>
          <w:sz w:val="24"/>
        </w:rPr>
        <w:t> </w:t>
      </w:r>
      <w:r>
        <w:rPr>
          <w:sz w:val="24"/>
        </w:rPr>
        <w:t>capital,</w:t>
      </w:r>
      <w:r>
        <w:rPr>
          <w:spacing w:val="-5"/>
          <w:sz w:val="24"/>
        </w:rPr>
        <w:t> </w:t>
      </w:r>
      <w:r>
        <w:rPr>
          <w:sz w:val="24"/>
        </w:rPr>
        <w:t>community</w:t>
      </w:r>
      <w:r>
        <w:rPr>
          <w:spacing w:val="-9"/>
          <w:sz w:val="24"/>
        </w:rPr>
        <w:t> </w:t>
      </w:r>
      <w:r>
        <w:rPr>
          <w:sz w:val="24"/>
        </w:rPr>
        <w:t>college</w:t>
      </w:r>
      <w:r>
        <w:rPr>
          <w:spacing w:val="-4"/>
          <w:sz w:val="24"/>
        </w:rPr>
        <w:t> </w:t>
      </w:r>
      <w:r>
        <w:rPr>
          <w:sz w:val="24"/>
        </w:rPr>
        <w:t>enrollment,</w:t>
      </w:r>
      <w:r>
        <w:rPr>
          <w:spacing w:val="-3"/>
          <w:sz w:val="24"/>
        </w:rPr>
        <w:t> </w:t>
      </w:r>
      <w:r>
        <w:rPr>
          <w:sz w:val="24"/>
        </w:rPr>
        <w:t>and</w:t>
      </w:r>
      <w:r>
        <w:rPr>
          <w:spacing w:val="-5"/>
          <w:sz w:val="24"/>
        </w:rPr>
        <w:t> </w:t>
      </w:r>
      <w:r>
        <w:rPr>
          <w:sz w:val="24"/>
        </w:rPr>
        <w:t>more </w:t>
      </w:r>
      <w:r>
        <w:rPr>
          <w:i/>
          <w:sz w:val="24"/>
        </w:rPr>
        <w:t>Brookings (2019)</w:t>
      </w:r>
      <w:r>
        <w:rPr>
          <w:sz w:val="22"/>
        </w:rPr>
        <w:t>: </w:t>
      </w:r>
      <w:r>
        <w:rPr>
          <w:sz w:val="24"/>
        </w:rPr>
        <w:t>Accountability in Higher Education after Deregulation</w:t>
      </w:r>
    </w:p>
    <w:p>
      <w:pPr>
        <w:pStyle w:val="BodyText"/>
        <w:ind w:left="360" w:right="355"/>
      </w:pPr>
      <w:r>
        <w:rPr>
          <w:i/>
        </w:rPr>
        <w:t>Pac</w:t>
      </w:r>
      <w:r>
        <w:rPr>
          <w:i/>
          <w:spacing w:val="-5"/>
        </w:rPr>
        <w:t> </w:t>
      </w:r>
      <w:r>
        <w:rPr>
          <w:i/>
        </w:rPr>
        <w:t>Std</w:t>
      </w:r>
      <w:r>
        <w:rPr>
          <w:i/>
          <w:spacing w:val="-1"/>
        </w:rPr>
        <w:t> </w:t>
      </w:r>
      <w:r>
        <w:rPr>
          <w:i/>
        </w:rPr>
        <w:t>(2019)</w:t>
      </w:r>
      <w:r>
        <w:rPr/>
        <w:t>:</w:t>
      </w:r>
      <w:r>
        <w:rPr>
          <w:spacing w:val="-3"/>
        </w:rPr>
        <w:t> </w:t>
      </w:r>
      <w:r>
        <w:rPr/>
        <w:t>Black</w:t>
      </w:r>
      <w:r>
        <w:rPr>
          <w:spacing w:val="-3"/>
        </w:rPr>
        <w:t> </w:t>
      </w:r>
      <w:r>
        <w:rPr/>
        <w:t>Sheriffs Less</w:t>
      </w:r>
      <w:r>
        <w:rPr>
          <w:spacing w:val="-1"/>
        </w:rPr>
        <w:t> </w:t>
      </w:r>
      <w:r>
        <w:rPr/>
        <w:t>Likely</w:t>
      </w:r>
      <w:r>
        <w:rPr>
          <w:spacing w:val="-8"/>
        </w:rPr>
        <w:t> </w:t>
      </w:r>
      <w:r>
        <w:rPr/>
        <w:t>to</w:t>
      </w:r>
      <w:r>
        <w:rPr>
          <w:spacing w:val="-3"/>
        </w:rPr>
        <w:t> </w:t>
      </w:r>
      <w:r>
        <w:rPr/>
        <w:t>Pursue</w:t>
      </w:r>
      <w:r>
        <w:rPr>
          <w:spacing w:val="-2"/>
        </w:rPr>
        <w:t> </w:t>
      </w:r>
      <w:r>
        <w:rPr/>
        <w:t>Low-Level</w:t>
      </w:r>
      <w:r>
        <w:rPr>
          <w:spacing w:val="-2"/>
        </w:rPr>
        <w:t> </w:t>
      </w:r>
      <w:r>
        <w:rPr/>
        <w:t>Arrests</w:t>
      </w:r>
      <w:r>
        <w:rPr>
          <w:spacing w:val="-3"/>
        </w:rPr>
        <w:t> </w:t>
      </w:r>
      <w:r>
        <w:rPr/>
        <w:t>Against</w:t>
      </w:r>
      <w:r>
        <w:rPr>
          <w:spacing w:val="-3"/>
        </w:rPr>
        <w:t> </w:t>
      </w:r>
      <w:r>
        <w:rPr/>
        <w:t>People</w:t>
      </w:r>
      <w:r>
        <w:rPr>
          <w:spacing w:val="-3"/>
        </w:rPr>
        <w:t> </w:t>
      </w:r>
      <w:r>
        <w:rPr/>
        <w:t>of</w:t>
      </w:r>
      <w:r>
        <w:rPr>
          <w:spacing w:val="-5"/>
        </w:rPr>
        <w:t> </w:t>
      </w:r>
      <w:r>
        <w:rPr/>
        <w:t>Color </w:t>
      </w:r>
      <w:r>
        <w:rPr>
          <w:i/>
        </w:rPr>
        <w:t>The Economist </w:t>
      </w:r>
      <w:r>
        <w:rPr/>
        <w:t>(2018): In Poor Countries Tech Can Make Big Improvements to Education </w:t>
      </w:r>
      <w:r>
        <w:rPr>
          <w:i/>
        </w:rPr>
        <w:t>Education Week </w:t>
      </w:r>
      <w:r>
        <w:rPr/>
        <w:t>(2018): Sudden SAT Score Gains Don't Change Students' College Choices </w:t>
      </w:r>
      <w:r>
        <w:rPr>
          <w:i/>
        </w:rPr>
        <w:t>Inside Higher Ed </w:t>
      </w:r>
      <w:r>
        <w:rPr/>
        <w:t>(2018): Inertia in College Lists</w:t>
      </w:r>
    </w:p>
    <w:p>
      <w:pPr>
        <w:pStyle w:val="BodyText"/>
        <w:ind w:left="360"/>
      </w:pPr>
      <w:r>
        <w:rPr>
          <w:i/>
        </w:rPr>
        <w:t>Brookings</w:t>
      </w:r>
      <w:r>
        <w:rPr>
          <w:i/>
          <w:spacing w:val="-4"/>
        </w:rPr>
        <w:t> </w:t>
      </w:r>
      <w:r>
        <w:rPr/>
        <w:t>(2018):</w:t>
      </w:r>
      <w:r>
        <w:rPr>
          <w:spacing w:val="-2"/>
        </w:rPr>
        <w:t> </w:t>
      </w:r>
      <w:r>
        <w:rPr/>
        <w:t>The</w:t>
      </w:r>
      <w:r>
        <w:rPr>
          <w:spacing w:val="-4"/>
        </w:rPr>
        <w:t> </w:t>
      </w:r>
      <w:r>
        <w:rPr/>
        <w:t>Tax Benefits</w:t>
      </w:r>
      <w:r>
        <w:rPr>
          <w:spacing w:val="-2"/>
        </w:rPr>
        <w:t> </w:t>
      </w:r>
      <w:r>
        <w:rPr/>
        <w:t>for</w:t>
      </w:r>
      <w:r>
        <w:rPr>
          <w:spacing w:val="-3"/>
        </w:rPr>
        <w:t> </w:t>
      </w:r>
      <w:r>
        <w:rPr/>
        <w:t>Education</w:t>
      </w:r>
      <w:r>
        <w:rPr>
          <w:spacing w:val="-2"/>
        </w:rPr>
        <w:t> </w:t>
      </w:r>
      <w:r>
        <w:rPr/>
        <w:t>Don’t Increase </w:t>
      </w:r>
      <w:r>
        <w:rPr>
          <w:spacing w:val="-2"/>
        </w:rPr>
        <w:t>Education</w:t>
      </w:r>
    </w:p>
    <w:p>
      <w:pPr>
        <w:spacing w:before="1"/>
        <w:ind w:left="360" w:right="0" w:firstLine="0"/>
        <w:jc w:val="left"/>
        <w:rPr>
          <w:sz w:val="24"/>
        </w:rPr>
      </w:pPr>
      <w:r>
        <w:rPr>
          <w:i/>
          <w:sz w:val="24"/>
        </w:rPr>
        <w:t>The</w:t>
      </w:r>
      <w:r>
        <w:rPr>
          <w:i/>
          <w:spacing w:val="-4"/>
          <w:sz w:val="24"/>
        </w:rPr>
        <w:t> </w:t>
      </w:r>
      <w:r>
        <w:rPr>
          <w:i/>
          <w:sz w:val="24"/>
        </w:rPr>
        <w:t>New</w:t>
      </w:r>
      <w:r>
        <w:rPr>
          <w:i/>
          <w:spacing w:val="-3"/>
          <w:sz w:val="24"/>
        </w:rPr>
        <w:t> </w:t>
      </w:r>
      <w:r>
        <w:rPr>
          <w:i/>
          <w:sz w:val="24"/>
        </w:rPr>
        <w:t>York</w:t>
      </w:r>
      <w:r>
        <w:rPr>
          <w:i/>
          <w:spacing w:val="-2"/>
          <w:sz w:val="24"/>
        </w:rPr>
        <w:t> </w:t>
      </w:r>
      <w:r>
        <w:rPr>
          <w:i/>
          <w:sz w:val="24"/>
        </w:rPr>
        <w:t>Times </w:t>
      </w:r>
      <w:r>
        <w:rPr>
          <w:sz w:val="24"/>
        </w:rPr>
        <w:t>(2017): How</w:t>
      </w:r>
      <w:r>
        <w:rPr>
          <w:spacing w:val="-2"/>
          <w:sz w:val="24"/>
        </w:rPr>
        <w:t> </w:t>
      </w:r>
      <w:r>
        <w:rPr>
          <w:sz w:val="24"/>
        </w:rPr>
        <w:t>Colleges</w:t>
      </w:r>
      <w:r>
        <w:rPr>
          <w:spacing w:val="-1"/>
          <w:sz w:val="24"/>
        </w:rPr>
        <w:t> </w:t>
      </w:r>
      <w:r>
        <w:rPr>
          <w:sz w:val="24"/>
        </w:rPr>
        <w:t>Can</w:t>
      </w:r>
      <w:r>
        <w:rPr>
          <w:spacing w:val="1"/>
          <w:sz w:val="24"/>
        </w:rPr>
        <w:t> </w:t>
      </w:r>
      <w:r>
        <w:rPr>
          <w:sz w:val="24"/>
        </w:rPr>
        <w:t>Admit</w:t>
      </w:r>
      <w:r>
        <w:rPr>
          <w:spacing w:val="-1"/>
          <w:sz w:val="24"/>
        </w:rPr>
        <w:t> </w:t>
      </w:r>
      <w:r>
        <w:rPr>
          <w:sz w:val="24"/>
        </w:rPr>
        <w:t>Better </w:t>
      </w:r>
      <w:r>
        <w:rPr>
          <w:spacing w:val="-2"/>
          <w:sz w:val="24"/>
        </w:rPr>
        <w:t>Students</w:t>
      </w:r>
    </w:p>
    <w:p>
      <w:pPr>
        <w:pStyle w:val="BodyText"/>
        <w:ind w:left="360"/>
      </w:pPr>
      <w:r>
        <w:rPr>
          <w:i/>
        </w:rPr>
        <w:t>The</w:t>
      </w:r>
      <w:r>
        <w:rPr>
          <w:i/>
          <w:spacing w:val="-4"/>
        </w:rPr>
        <w:t> </w:t>
      </w:r>
      <w:r>
        <w:rPr>
          <w:i/>
        </w:rPr>
        <w:t>Economist </w:t>
      </w:r>
      <w:r>
        <w:rPr/>
        <w:t>(2017): Tech is</w:t>
      </w:r>
      <w:r>
        <w:rPr>
          <w:spacing w:val="-1"/>
        </w:rPr>
        <w:t> </w:t>
      </w:r>
      <w:r>
        <w:rPr/>
        <w:t>Transforming</w:t>
      </w:r>
      <w:r>
        <w:rPr>
          <w:spacing w:val="-3"/>
        </w:rPr>
        <w:t> </w:t>
      </w:r>
      <w:r>
        <w:rPr/>
        <w:t>What</w:t>
      </w:r>
      <w:r>
        <w:rPr>
          <w:spacing w:val="-1"/>
        </w:rPr>
        <w:t> </w:t>
      </w:r>
      <w:r>
        <w:rPr/>
        <w:t>Happens When</w:t>
      </w:r>
      <w:r>
        <w:rPr>
          <w:spacing w:val="-1"/>
        </w:rPr>
        <w:t> </w:t>
      </w:r>
      <w:r>
        <w:rPr/>
        <w:t>a</w:t>
      </w:r>
      <w:r>
        <w:rPr>
          <w:spacing w:val="-1"/>
        </w:rPr>
        <w:t> </w:t>
      </w:r>
      <w:r>
        <w:rPr/>
        <w:t>Child</w:t>
      </w:r>
      <w:r>
        <w:rPr>
          <w:spacing w:val="-1"/>
        </w:rPr>
        <w:t> </w:t>
      </w:r>
      <w:r>
        <w:rPr/>
        <w:t>Goes to </w:t>
      </w:r>
      <w:r>
        <w:rPr>
          <w:spacing w:val="-2"/>
        </w:rPr>
        <w:t>School</w:t>
      </w:r>
    </w:p>
    <w:p>
      <w:pPr>
        <w:pStyle w:val="BodyText"/>
        <w:ind w:left="360"/>
      </w:pPr>
      <w:r>
        <w:rPr>
          <w:i/>
        </w:rPr>
        <w:t>VOX</w:t>
      </w:r>
      <w:r>
        <w:rPr>
          <w:i/>
          <w:spacing w:val="-4"/>
        </w:rPr>
        <w:t> </w:t>
      </w:r>
      <w:r>
        <w:rPr/>
        <w:t>(2016):</w:t>
      </w:r>
      <w:r>
        <w:rPr>
          <w:spacing w:val="-1"/>
        </w:rPr>
        <w:t> </w:t>
      </w:r>
      <w:r>
        <w:rPr/>
        <w:t>What the Lottery</w:t>
      </w:r>
      <w:r>
        <w:rPr>
          <w:spacing w:val="-5"/>
        </w:rPr>
        <w:t> </w:t>
      </w:r>
      <w:r>
        <w:rPr/>
        <w:t>Can</w:t>
      </w:r>
      <w:r>
        <w:rPr>
          <w:spacing w:val="-1"/>
        </w:rPr>
        <w:t> </w:t>
      </w:r>
      <w:r>
        <w:rPr/>
        <w:t>Tell</w:t>
      </w:r>
      <w:r>
        <w:rPr>
          <w:spacing w:val="-1"/>
        </w:rPr>
        <w:t> </w:t>
      </w:r>
      <w:r>
        <w:rPr/>
        <w:t>Us About</w:t>
      </w:r>
      <w:r>
        <w:rPr>
          <w:spacing w:val="1"/>
        </w:rPr>
        <w:t> </w:t>
      </w:r>
      <w:r>
        <w:rPr/>
        <w:t>College</w:t>
      </w:r>
      <w:r>
        <w:rPr>
          <w:spacing w:val="-1"/>
        </w:rPr>
        <w:t> </w:t>
      </w:r>
      <w:r>
        <w:rPr>
          <w:spacing w:val="-2"/>
        </w:rPr>
        <w:t>Affordability</w:t>
      </w:r>
    </w:p>
    <w:p>
      <w:pPr>
        <w:spacing w:before="0"/>
        <w:ind w:left="360" w:right="0" w:firstLine="0"/>
        <w:jc w:val="left"/>
        <w:rPr>
          <w:sz w:val="24"/>
        </w:rPr>
      </w:pPr>
      <w:r>
        <w:rPr>
          <w:i/>
          <w:sz w:val="24"/>
        </w:rPr>
        <w:t>The</w:t>
      </w:r>
      <w:r>
        <w:rPr>
          <w:i/>
          <w:spacing w:val="-5"/>
          <w:sz w:val="24"/>
        </w:rPr>
        <w:t> </w:t>
      </w:r>
      <w:r>
        <w:rPr>
          <w:i/>
          <w:sz w:val="24"/>
        </w:rPr>
        <w:t>New</w:t>
      </w:r>
      <w:r>
        <w:rPr>
          <w:i/>
          <w:spacing w:val="-3"/>
          <w:sz w:val="24"/>
        </w:rPr>
        <w:t> </w:t>
      </w:r>
      <w:r>
        <w:rPr>
          <w:i/>
          <w:sz w:val="24"/>
        </w:rPr>
        <w:t>York</w:t>
      </w:r>
      <w:r>
        <w:rPr>
          <w:i/>
          <w:spacing w:val="-2"/>
          <w:sz w:val="24"/>
        </w:rPr>
        <w:t> </w:t>
      </w:r>
      <w:r>
        <w:rPr>
          <w:i/>
          <w:sz w:val="24"/>
        </w:rPr>
        <w:t>Times</w:t>
      </w:r>
      <w:r>
        <w:rPr>
          <w:i/>
          <w:spacing w:val="-1"/>
          <w:sz w:val="24"/>
        </w:rPr>
        <w:t> </w:t>
      </w:r>
      <w:r>
        <w:rPr>
          <w:sz w:val="24"/>
        </w:rPr>
        <w:t>(2016):</w:t>
      </w:r>
      <w:r>
        <w:rPr>
          <w:spacing w:val="-1"/>
          <w:sz w:val="24"/>
        </w:rPr>
        <w:t> </w:t>
      </w:r>
      <w:r>
        <w:rPr>
          <w:sz w:val="24"/>
        </w:rPr>
        <w:t>$20</w:t>
      </w:r>
      <w:r>
        <w:rPr>
          <w:spacing w:val="-1"/>
          <w:sz w:val="24"/>
        </w:rPr>
        <w:t> </w:t>
      </w:r>
      <w:r>
        <w:rPr>
          <w:sz w:val="24"/>
        </w:rPr>
        <w:t>Billion</w:t>
      </w:r>
      <w:r>
        <w:rPr>
          <w:spacing w:val="-1"/>
          <w:sz w:val="24"/>
        </w:rPr>
        <w:t> </w:t>
      </w:r>
      <w:r>
        <w:rPr>
          <w:sz w:val="24"/>
        </w:rPr>
        <w:t>in</w:t>
      </w:r>
      <w:r>
        <w:rPr>
          <w:spacing w:val="-2"/>
          <w:sz w:val="24"/>
        </w:rPr>
        <w:t> </w:t>
      </w:r>
      <w:r>
        <w:rPr>
          <w:sz w:val="24"/>
        </w:rPr>
        <w:t>Tax</w:t>
      </w:r>
      <w:r>
        <w:rPr>
          <w:spacing w:val="1"/>
          <w:sz w:val="24"/>
        </w:rPr>
        <w:t> </w:t>
      </w:r>
      <w:r>
        <w:rPr>
          <w:sz w:val="24"/>
        </w:rPr>
        <w:t>Credits</w:t>
      </w:r>
      <w:r>
        <w:rPr>
          <w:spacing w:val="-1"/>
          <w:sz w:val="24"/>
        </w:rPr>
        <w:t> </w:t>
      </w:r>
      <w:r>
        <w:rPr>
          <w:sz w:val="24"/>
        </w:rPr>
        <w:t>Fails</w:t>
      </w:r>
      <w:r>
        <w:rPr>
          <w:spacing w:val="-2"/>
          <w:sz w:val="24"/>
        </w:rPr>
        <w:t> </w:t>
      </w:r>
      <w:r>
        <w:rPr>
          <w:sz w:val="24"/>
        </w:rPr>
        <w:t>to</w:t>
      </w:r>
      <w:r>
        <w:rPr>
          <w:spacing w:val="3"/>
          <w:sz w:val="24"/>
        </w:rPr>
        <w:t> </w:t>
      </w:r>
      <w:r>
        <w:rPr>
          <w:sz w:val="24"/>
        </w:rPr>
        <w:t>Increase</w:t>
      </w:r>
      <w:r>
        <w:rPr>
          <w:spacing w:val="-2"/>
          <w:sz w:val="24"/>
        </w:rPr>
        <w:t> </w:t>
      </w:r>
      <w:r>
        <w:rPr>
          <w:sz w:val="24"/>
        </w:rPr>
        <w:t>College </w:t>
      </w:r>
      <w:r>
        <w:rPr>
          <w:spacing w:val="-2"/>
          <w:sz w:val="24"/>
        </w:rPr>
        <w:t>Attendance</w:t>
      </w:r>
    </w:p>
    <w:p>
      <w:pPr>
        <w:spacing w:before="0"/>
        <w:ind w:left="360" w:right="0" w:firstLine="0"/>
        <w:jc w:val="left"/>
        <w:rPr>
          <w:sz w:val="24"/>
        </w:rPr>
      </w:pPr>
      <w:r>
        <w:rPr>
          <w:i/>
          <w:sz w:val="24"/>
        </w:rPr>
        <w:t>The</w:t>
      </w:r>
      <w:r>
        <w:rPr>
          <w:i/>
          <w:spacing w:val="-3"/>
          <w:sz w:val="24"/>
        </w:rPr>
        <w:t> </w:t>
      </w:r>
      <w:r>
        <w:rPr>
          <w:i/>
          <w:sz w:val="24"/>
        </w:rPr>
        <w:t>Wall</w:t>
      </w:r>
      <w:r>
        <w:rPr>
          <w:i/>
          <w:spacing w:val="-1"/>
          <w:sz w:val="24"/>
        </w:rPr>
        <w:t> </w:t>
      </w:r>
      <w:r>
        <w:rPr>
          <w:i/>
          <w:sz w:val="24"/>
        </w:rPr>
        <w:t>Street Journal </w:t>
      </w:r>
      <w:r>
        <w:rPr>
          <w:sz w:val="24"/>
        </w:rPr>
        <w:t>(2015):</w:t>
      </w:r>
      <w:r>
        <w:rPr>
          <w:spacing w:val="-2"/>
          <w:sz w:val="24"/>
        </w:rPr>
        <w:t> </w:t>
      </w:r>
      <w:r>
        <w:rPr>
          <w:sz w:val="24"/>
        </w:rPr>
        <w:t>Tax</w:t>
      </w:r>
      <w:r>
        <w:rPr>
          <w:spacing w:val="1"/>
          <w:sz w:val="24"/>
        </w:rPr>
        <w:t> </w:t>
      </w:r>
      <w:r>
        <w:rPr>
          <w:sz w:val="24"/>
        </w:rPr>
        <w:t>Credits</w:t>
      </w:r>
      <w:r>
        <w:rPr>
          <w:spacing w:val="-3"/>
          <w:sz w:val="24"/>
        </w:rPr>
        <w:t> </w:t>
      </w:r>
      <w:r>
        <w:rPr>
          <w:sz w:val="24"/>
        </w:rPr>
        <w:t>Don’t</w:t>
      </w:r>
      <w:r>
        <w:rPr>
          <w:spacing w:val="-1"/>
          <w:sz w:val="24"/>
        </w:rPr>
        <w:t> </w:t>
      </w:r>
      <w:r>
        <w:rPr>
          <w:sz w:val="24"/>
        </w:rPr>
        <w:t>Necessarily</w:t>
      </w:r>
      <w:r>
        <w:rPr>
          <w:spacing w:val="-5"/>
          <w:sz w:val="24"/>
        </w:rPr>
        <w:t> </w:t>
      </w:r>
      <w:r>
        <w:rPr>
          <w:sz w:val="24"/>
        </w:rPr>
        <w:t>Boost</w:t>
      </w:r>
      <w:r>
        <w:rPr>
          <w:spacing w:val="-1"/>
          <w:sz w:val="24"/>
        </w:rPr>
        <w:t> </w:t>
      </w:r>
      <w:r>
        <w:rPr>
          <w:sz w:val="24"/>
        </w:rPr>
        <w:t>College </w:t>
      </w:r>
      <w:r>
        <w:rPr>
          <w:spacing w:val="-2"/>
          <w:sz w:val="24"/>
        </w:rPr>
        <w:t>Attendance</w:t>
      </w:r>
    </w:p>
    <w:p>
      <w:pPr>
        <w:pStyle w:val="BodyText"/>
      </w:pPr>
    </w:p>
    <w:p>
      <w:pPr>
        <w:pStyle w:val="Heading1"/>
        <w:rPr>
          <w:u w:val="none"/>
        </w:rPr>
      </w:pPr>
      <w:r>
        <w:rPr>
          <w:u w:val="single"/>
        </w:rPr>
        <w:t>PROFESSIONAL</w:t>
      </w:r>
      <w:r>
        <w:rPr>
          <w:spacing w:val="-4"/>
          <w:u w:val="single"/>
        </w:rPr>
        <w:t> </w:t>
      </w:r>
      <w:r>
        <w:rPr>
          <w:spacing w:val="-2"/>
          <w:u w:val="single"/>
        </w:rPr>
        <w:t>SERVICE</w:t>
      </w:r>
    </w:p>
    <w:p>
      <w:pPr>
        <w:tabs>
          <w:tab w:pos="1800" w:val="left" w:leader="none"/>
        </w:tabs>
        <w:spacing w:before="0"/>
        <w:ind w:left="360" w:right="0" w:firstLine="0"/>
        <w:jc w:val="left"/>
        <w:rPr>
          <w:i/>
          <w:sz w:val="24"/>
        </w:rPr>
      </w:pPr>
      <w:r>
        <w:rPr>
          <w:spacing w:val="-2"/>
          <w:sz w:val="24"/>
        </w:rPr>
        <w:t>2017-</w:t>
      </w:r>
      <w:r>
        <w:rPr>
          <w:sz w:val="24"/>
        </w:rPr>
        <w:tab/>
        <w:t>Associate</w:t>
      </w:r>
      <w:r>
        <w:rPr>
          <w:spacing w:val="-2"/>
          <w:sz w:val="24"/>
        </w:rPr>
        <w:t> </w:t>
      </w:r>
      <w:r>
        <w:rPr>
          <w:sz w:val="24"/>
        </w:rPr>
        <w:t>Editor, </w:t>
      </w:r>
      <w:r>
        <w:rPr>
          <w:i/>
          <w:sz w:val="24"/>
        </w:rPr>
        <w:t>Public Finance </w:t>
      </w:r>
      <w:r>
        <w:rPr>
          <w:i/>
          <w:spacing w:val="-2"/>
          <w:sz w:val="24"/>
        </w:rPr>
        <w:t>Review</w:t>
      </w:r>
    </w:p>
    <w:p>
      <w:pPr>
        <w:pStyle w:val="BodyText"/>
        <w:rPr>
          <w:i/>
        </w:rPr>
      </w:pPr>
    </w:p>
    <w:p>
      <w:pPr>
        <w:spacing w:before="0"/>
        <w:ind w:left="360" w:right="0" w:firstLine="0"/>
        <w:jc w:val="left"/>
        <w:rPr>
          <w:i/>
          <w:sz w:val="24"/>
        </w:rPr>
      </w:pPr>
      <w:r>
        <w:rPr>
          <w:sz w:val="24"/>
        </w:rPr>
        <w:t>Referee:</w:t>
      </w:r>
      <w:r>
        <w:rPr>
          <w:spacing w:val="80"/>
          <w:sz w:val="24"/>
        </w:rPr>
        <w:t> </w:t>
      </w:r>
      <w:r>
        <w:rPr>
          <w:i/>
          <w:sz w:val="24"/>
        </w:rPr>
        <w:t>American</w:t>
      </w:r>
      <w:r>
        <w:rPr>
          <w:i/>
          <w:spacing w:val="80"/>
          <w:sz w:val="24"/>
        </w:rPr>
        <w:t> </w:t>
      </w:r>
      <w:r>
        <w:rPr>
          <w:i/>
          <w:sz w:val="24"/>
        </w:rPr>
        <w:t>Economic</w:t>
      </w:r>
      <w:r>
        <w:rPr>
          <w:i/>
          <w:spacing w:val="80"/>
          <w:sz w:val="24"/>
        </w:rPr>
        <w:t> </w:t>
      </w:r>
      <w:r>
        <w:rPr>
          <w:i/>
          <w:sz w:val="24"/>
        </w:rPr>
        <w:t>Review,</w:t>
      </w:r>
      <w:r>
        <w:rPr>
          <w:i/>
          <w:spacing w:val="80"/>
          <w:sz w:val="24"/>
        </w:rPr>
        <w:t> </w:t>
      </w:r>
      <w:r>
        <w:rPr>
          <w:i/>
          <w:sz w:val="24"/>
        </w:rPr>
        <w:t>American</w:t>
      </w:r>
      <w:r>
        <w:rPr>
          <w:i/>
          <w:spacing w:val="80"/>
          <w:sz w:val="24"/>
        </w:rPr>
        <w:t> </w:t>
      </w:r>
      <w:r>
        <w:rPr>
          <w:i/>
          <w:sz w:val="24"/>
        </w:rPr>
        <w:t>Economic</w:t>
      </w:r>
      <w:r>
        <w:rPr>
          <w:i/>
          <w:spacing w:val="80"/>
          <w:sz w:val="24"/>
        </w:rPr>
        <w:t> </w:t>
      </w:r>
      <w:r>
        <w:rPr>
          <w:i/>
          <w:sz w:val="24"/>
        </w:rPr>
        <w:t>Journal:</w:t>
      </w:r>
      <w:r>
        <w:rPr>
          <w:i/>
          <w:spacing w:val="80"/>
          <w:sz w:val="24"/>
        </w:rPr>
        <w:t> </w:t>
      </w:r>
      <w:r>
        <w:rPr>
          <w:i/>
          <w:sz w:val="24"/>
        </w:rPr>
        <w:t>Applied</w:t>
      </w:r>
      <w:r>
        <w:rPr>
          <w:i/>
          <w:spacing w:val="80"/>
          <w:sz w:val="24"/>
        </w:rPr>
        <w:t> </w:t>
      </w:r>
      <w:r>
        <w:rPr>
          <w:i/>
          <w:sz w:val="24"/>
        </w:rPr>
        <w:t>Economics, American</w:t>
      </w:r>
      <w:r>
        <w:rPr>
          <w:i/>
          <w:spacing w:val="18"/>
          <w:sz w:val="24"/>
        </w:rPr>
        <w:t> </w:t>
      </w:r>
      <w:r>
        <w:rPr>
          <w:i/>
          <w:sz w:val="24"/>
        </w:rPr>
        <w:t>Economic</w:t>
      </w:r>
      <w:r>
        <w:rPr>
          <w:i/>
          <w:spacing w:val="21"/>
          <w:sz w:val="24"/>
        </w:rPr>
        <w:t> </w:t>
      </w:r>
      <w:r>
        <w:rPr>
          <w:i/>
          <w:sz w:val="24"/>
        </w:rPr>
        <w:t>Journal:</w:t>
      </w:r>
      <w:r>
        <w:rPr>
          <w:i/>
          <w:spacing w:val="19"/>
          <w:sz w:val="24"/>
        </w:rPr>
        <w:t> </w:t>
      </w:r>
      <w:r>
        <w:rPr>
          <w:i/>
          <w:sz w:val="24"/>
        </w:rPr>
        <w:t>Economic</w:t>
      </w:r>
      <w:r>
        <w:rPr>
          <w:i/>
          <w:spacing w:val="24"/>
          <w:sz w:val="24"/>
        </w:rPr>
        <w:t> </w:t>
      </w:r>
      <w:r>
        <w:rPr>
          <w:i/>
          <w:sz w:val="24"/>
        </w:rPr>
        <w:t>Policy,</w:t>
      </w:r>
      <w:r>
        <w:rPr>
          <w:i/>
          <w:spacing w:val="25"/>
          <w:sz w:val="24"/>
        </w:rPr>
        <w:t> </w:t>
      </w:r>
      <w:r>
        <w:rPr>
          <w:i/>
          <w:sz w:val="24"/>
        </w:rPr>
        <w:t>Bulletin</w:t>
      </w:r>
      <w:r>
        <w:rPr>
          <w:i/>
          <w:spacing w:val="20"/>
          <w:sz w:val="24"/>
        </w:rPr>
        <w:t> </w:t>
      </w:r>
      <w:r>
        <w:rPr>
          <w:i/>
          <w:sz w:val="24"/>
        </w:rPr>
        <w:t>of</w:t>
      </w:r>
      <w:r>
        <w:rPr>
          <w:i/>
          <w:spacing w:val="20"/>
          <w:sz w:val="24"/>
        </w:rPr>
        <w:t> </w:t>
      </w:r>
      <w:r>
        <w:rPr>
          <w:i/>
          <w:sz w:val="24"/>
        </w:rPr>
        <w:t>Economic</w:t>
      </w:r>
      <w:r>
        <w:rPr>
          <w:i/>
          <w:spacing w:val="21"/>
          <w:sz w:val="24"/>
        </w:rPr>
        <w:t> </w:t>
      </w:r>
      <w:r>
        <w:rPr>
          <w:i/>
          <w:sz w:val="24"/>
        </w:rPr>
        <w:t>Research,</w:t>
      </w:r>
      <w:r>
        <w:rPr>
          <w:i/>
          <w:spacing w:val="23"/>
          <w:sz w:val="24"/>
        </w:rPr>
        <w:t> </w:t>
      </w:r>
      <w:r>
        <w:rPr>
          <w:i/>
          <w:spacing w:val="-2"/>
          <w:sz w:val="24"/>
        </w:rPr>
        <w:t>Econometrica,</w:t>
      </w:r>
    </w:p>
    <w:p>
      <w:pPr>
        <w:spacing w:after="0"/>
        <w:jc w:val="left"/>
        <w:rPr>
          <w:i/>
          <w:sz w:val="24"/>
        </w:rPr>
        <w:sectPr>
          <w:pgSz w:w="12240" w:h="15840"/>
          <w:pgMar w:top="1220" w:bottom="280" w:left="1080" w:right="1080"/>
        </w:sectPr>
      </w:pPr>
    </w:p>
    <w:p>
      <w:pPr>
        <w:spacing w:before="75"/>
        <w:ind w:left="360" w:right="353" w:firstLine="0"/>
        <w:jc w:val="both"/>
        <w:rPr>
          <w:i/>
          <w:sz w:val="24"/>
        </w:rPr>
      </w:pPr>
      <w:r>
        <w:rPr>
          <w:i/>
          <w:sz w:val="24"/>
        </w:rPr>
        <w:t>Comparative</w:t>
      </w:r>
      <w:r>
        <w:rPr>
          <w:i/>
          <w:spacing w:val="-2"/>
          <w:sz w:val="24"/>
        </w:rPr>
        <w:t> </w:t>
      </w:r>
      <w:r>
        <w:rPr>
          <w:i/>
          <w:sz w:val="24"/>
        </w:rPr>
        <w:t>Education</w:t>
      </w:r>
      <w:r>
        <w:rPr>
          <w:i/>
          <w:spacing w:val="-3"/>
          <w:sz w:val="24"/>
        </w:rPr>
        <w:t> </w:t>
      </w:r>
      <w:r>
        <w:rPr>
          <w:i/>
          <w:sz w:val="24"/>
        </w:rPr>
        <w:t>Review, Demography, Economic</w:t>
      </w:r>
      <w:r>
        <w:rPr>
          <w:i/>
          <w:spacing w:val="-2"/>
          <w:sz w:val="24"/>
        </w:rPr>
        <w:t> </w:t>
      </w:r>
      <w:r>
        <w:rPr>
          <w:i/>
          <w:sz w:val="24"/>
        </w:rPr>
        <w:t>Inquiry, Economic</w:t>
      </w:r>
      <w:r>
        <w:rPr>
          <w:i/>
          <w:spacing w:val="-2"/>
          <w:sz w:val="24"/>
        </w:rPr>
        <w:t> </w:t>
      </w:r>
      <w:r>
        <w:rPr>
          <w:i/>
          <w:sz w:val="24"/>
        </w:rPr>
        <w:t>Journal,</w:t>
      </w:r>
      <w:r>
        <w:rPr>
          <w:i/>
          <w:spacing w:val="-1"/>
          <w:sz w:val="24"/>
        </w:rPr>
        <w:t> </w:t>
      </w:r>
      <w:r>
        <w:rPr>
          <w:i/>
          <w:sz w:val="24"/>
        </w:rPr>
        <w:t>Economics of Education Review, Education Economics, Education Finance and Policy, International Tax and Public Finance, Journal of Applied Econometrics, Journal of Economics, Race, and Policy, Journal of Empirical Legal Studies, Journal of the European Economic Association, Journal of Human Resources, Journal of Policy Analysis and Management, Journal of Labor Economics, Journal of Public Economics, Public Finance and Management, Public Finance Review, Review of Economics and Statistics, The Quarterly Journal of Economics</w:t>
      </w:r>
    </w:p>
    <w:p>
      <w:pPr>
        <w:pStyle w:val="BodyText"/>
        <w:rPr>
          <w:i/>
        </w:rPr>
      </w:pPr>
    </w:p>
    <w:p>
      <w:pPr>
        <w:pStyle w:val="Heading1"/>
        <w:spacing w:after="11"/>
        <w:rPr>
          <w:u w:val="none"/>
        </w:rPr>
      </w:pPr>
      <w:r>
        <w:rPr>
          <w:u w:val="single"/>
        </w:rPr>
        <w:t>DEPARTMENT</w:t>
      </w:r>
      <w:r>
        <w:rPr>
          <w:spacing w:val="-3"/>
          <w:u w:val="single"/>
        </w:rPr>
        <w:t> </w:t>
      </w:r>
      <w:r>
        <w:rPr>
          <w:u w:val="single"/>
        </w:rPr>
        <w:t>AND</w:t>
      </w:r>
      <w:r>
        <w:rPr>
          <w:spacing w:val="-3"/>
          <w:u w:val="single"/>
        </w:rPr>
        <w:t> </w:t>
      </w:r>
      <w:r>
        <w:rPr>
          <w:u w:val="single"/>
        </w:rPr>
        <w:t>UNIVERSITY</w:t>
      </w:r>
      <w:r>
        <w:rPr>
          <w:spacing w:val="-2"/>
          <w:u w:val="single"/>
        </w:rPr>
        <w:t> SERVICE</w:t>
      </w: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90"/>
        <w:gridCol w:w="5276"/>
      </w:tblGrid>
      <w:tr>
        <w:trPr>
          <w:trHeight w:val="270" w:hRule="atLeast"/>
        </w:trPr>
        <w:tc>
          <w:tcPr>
            <w:tcW w:w="1290" w:type="dxa"/>
          </w:tcPr>
          <w:p>
            <w:pPr>
              <w:pStyle w:val="TableParagraph"/>
              <w:spacing w:line="251" w:lineRule="exact"/>
              <w:rPr>
                <w:sz w:val="24"/>
              </w:rPr>
            </w:pPr>
            <w:r>
              <w:rPr>
                <w:spacing w:val="-2"/>
                <w:sz w:val="24"/>
              </w:rPr>
              <w:t>2014-</w:t>
            </w:r>
            <w:r>
              <w:rPr>
                <w:spacing w:val="-4"/>
                <w:sz w:val="24"/>
              </w:rPr>
              <w:t>2015</w:t>
            </w:r>
          </w:p>
        </w:tc>
        <w:tc>
          <w:tcPr>
            <w:tcW w:w="5276" w:type="dxa"/>
          </w:tcPr>
          <w:p>
            <w:pPr>
              <w:pStyle w:val="TableParagraph"/>
              <w:spacing w:line="251" w:lineRule="exact"/>
              <w:ind w:left="199"/>
              <w:rPr>
                <w:sz w:val="24"/>
              </w:rPr>
            </w:pPr>
            <w:r>
              <w:rPr>
                <w:sz w:val="24"/>
              </w:rPr>
              <w:t>Experimental</w:t>
            </w:r>
            <w:r>
              <w:rPr>
                <w:spacing w:val="-3"/>
                <w:sz w:val="24"/>
              </w:rPr>
              <w:t> </w:t>
            </w:r>
            <w:r>
              <w:rPr>
                <w:sz w:val="24"/>
              </w:rPr>
              <w:t>Search</w:t>
            </w:r>
            <w:r>
              <w:rPr>
                <w:spacing w:val="-2"/>
                <w:sz w:val="24"/>
              </w:rPr>
              <w:t> Committee</w:t>
            </w:r>
          </w:p>
        </w:tc>
      </w:tr>
      <w:tr>
        <w:trPr>
          <w:trHeight w:val="276" w:hRule="atLeast"/>
        </w:trPr>
        <w:tc>
          <w:tcPr>
            <w:tcW w:w="1290" w:type="dxa"/>
          </w:tcPr>
          <w:p>
            <w:pPr>
              <w:pStyle w:val="TableParagraph"/>
              <w:rPr>
                <w:sz w:val="24"/>
              </w:rPr>
            </w:pPr>
            <w:r>
              <w:rPr>
                <w:spacing w:val="-2"/>
                <w:sz w:val="24"/>
              </w:rPr>
              <w:t>2016-</w:t>
            </w:r>
            <w:r>
              <w:rPr>
                <w:spacing w:val="-4"/>
                <w:sz w:val="24"/>
              </w:rPr>
              <w:t>2017</w:t>
            </w:r>
          </w:p>
        </w:tc>
        <w:tc>
          <w:tcPr>
            <w:tcW w:w="5276" w:type="dxa"/>
          </w:tcPr>
          <w:p>
            <w:pPr>
              <w:pStyle w:val="TableParagraph"/>
              <w:ind w:left="199"/>
              <w:rPr>
                <w:sz w:val="24"/>
              </w:rPr>
            </w:pPr>
            <w:r>
              <w:rPr>
                <w:sz w:val="24"/>
              </w:rPr>
              <w:t>Econometrics</w:t>
            </w:r>
            <w:r>
              <w:rPr>
                <w:spacing w:val="-3"/>
                <w:sz w:val="24"/>
              </w:rPr>
              <w:t> </w:t>
            </w:r>
            <w:r>
              <w:rPr>
                <w:sz w:val="24"/>
              </w:rPr>
              <w:t>Search</w:t>
            </w:r>
            <w:r>
              <w:rPr>
                <w:spacing w:val="-2"/>
                <w:sz w:val="24"/>
              </w:rPr>
              <w:t> Committee</w:t>
            </w:r>
          </w:p>
        </w:tc>
      </w:tr>
      <w:tr>
        <w:trPr>
          <w:trHeight w:val="276" w:hRule="atLeast"/>
        </w:trPr>
        <w:tc>
          <w:tcPr>
            <w:tcW w:w="1290" w:type="dxa"/>
          </w:tcPr>
          <w:p>
            <w:pPr>
              <w:pStyle w:val="TableParagraph"/>
              <w:rPr>
                <w:sz w:val="24"/>
              </w:rPr>
            </w:pPr>
            <w:r>
              <w:rPr>
                <w:spacing w:val="-2"/>
                <w:sz w:val="24"/>
              </w:rPr>
              <w:t>2017-</w:t>
            </w:r>
            <w:r>
              <w:rPr>
                <w:spacing w:val="-4"/>
                <w:sz w:val="24"/>
              </w:rPr>
              <w:t>2018</w:t>
            </w:r>
          </w:p>
        </w:tc>
        <w:tc>
          <w:tcPr>
            <w:tcW w:w="5276" w:type="dxa"/>
          </w:tcPr>
          <w:p>
            <w:pPr>
              <w:pStyle w:val="TableParagraph"/>
              <w:ind w:left="199"/>
              <w:rPr>
                <w:sz w:val="24"/>
              </w:rPr>
            </w:pPr>
            <w:r>
              <w:rPr>
                <w:sz w:val="24"/>
              </w:rPr>
              <w:t>Trade</w:t>
            </w:r>
            <w:r>
              <w:rPr>
                <w:spacing w:val="-3"/>
                <w:sz w:val="24"/>
              </w:rPr>
              <w:t> </w:t>
            </w:r>
            <w:r>
              <w:rPr>
                <w:sz w:val="24"/>
              </w:rPr>
              <w:t>Search</w:t>
            </w:r>
            <w:r>
              <w:rPr>
                <w:spacing w:val="-2"/>
                <w:sz w:val="24"/>
              </w:rPr>
              <w:t> Committee</w:t>
            </w:r>
          </w:p>
        </w:tc>
      </w:tr>
      <w:tr>
        <w:trPr>
          <w:trHeight w:val="276" w:hRule="atLeast"/>
        </w:trPr>
        <w:tc>
          <w:tcPr>
            <w:tcW w:w="1290" w:type="dxa"/>
          </w:tcPr>
          <w:p>
            <w:pPr>
              <w:pStyle w:val="TableParagraph"/>
              <w:rPr>
                <w:sz w:val="24"/>
              </w:rPr>
            </w:pPr>
            <w:r>
              <w:rPr>
                <w:spacing w:val="-2"/>
                <w:sz w:val="24"/>
              </w:rPr>
              <w:t>2018-</w:t>
            </w:r>
            <w:r>
              <w:rPr>
                <w:spacing w:val="-4"/>
                <w:sz w:val="24"/>
              </w:rPr>
              <w:t>2019</w:t>
            </w:r>
          </w:p>
        </w:tc>
        <w:tc>
          <w:tcPr>
            <w:tcW w:w="5276" w:type="dxa"/>
          </w:tcPr>
          <w:p>
            <w:pPr>
              <w:pStyle w:val="TableParagraph"/>
              <w:ind w:left="199"/>
              <w:rPr>
                <w:sz w:val="24"/>
              </w:rPr>
            </w:pPr>
            <w:r>
              <w:rPr>
                <w:sz w:val="24"/>
              </w:rPr>
              <w:t>Trade</w:t>
            </w:r>
            <w:r>
              <w:rPr>
                <w:spacing w:val="-3"/>
                <w:sz w:val="24"/>
              </w:rPr>
              <w:t> </w:t>
            </w:r>
            <w:r>
              <w:rPr>
                <w:sz w:val="24"/>
              </w:rPr>
              <w:t>Search</w:t>
            </w:r>
            <w:r>
              <w:rPr>
                <w:spacing w:val="-2"/>
                <w:sz w:val="24"/>
              </w:rPr>
              <w:t> Committee</w:t>
            </w:r>
          </w:p>
        </w:tc>
      </w:tr>
      <w:tr>
        <w:trPr>
          <w:trHeight w:val="276" w:hRule="atLeast"/>
        </w:trPr>
        <w:tc>
          <w:tcPr>
            <w:tcW w:w="1290" w:type="dxa"/>
          </w:tcPr>
          <w:p>
            <w:pPr>
              <w:pStyle w:val="TableParagraph"/>
              <w:rPr>
                <w:sz w:val="24"/>
              </w:rPr>
            </w:pPr>
            <w:r>
              <w:rPr>
                <w:spacing w:val="-2"/>
                <w:sz w:val="24"/>
              </w:rPr>
              <w:t>2020-</w:t>
            </w:r>
            <w:r>
              <w:rPr>
                <w:spacing w:val="-4"/>
                <w:sz w:val="24"/>
              </w:rPr>
              <w:t>2021</w:t>
            </w:r>
          </w:p>
        </w:tc>
        <w:tc>
          <w:tcPr>
            <w:tcW w:w="5276" w:type="dxa"/>
          </w:tcPr>
          <w:p>
            <w:pPr>
              <w:pStyle w:val="TableParagraph"/>
              <w:ind w:left="199"/>
              <w:rPr>
                <w:sz w:val="24"/>
              </w:rPr>
            </w:pPr>
            <w:r>
              <w:rPr>
                <w:sz w:val="24"/>
              </w:rPr>
              <w:t>Econometrics</w:t>
            </w:r>
            <w:r>
              <w:rPr>
                <w:spacing w:val="-4"/>
                <w:sz w:val="24"/>
              </w:rPr>
              <w:t> </w:t>
            </w:r>
            <w:r>
              <w:rPr>
                <w:sz w:val="24"/>
              </w:rPr>
              <w:t>Search</w:t>
            </w:r>
            <w:r>
              <w:rPr>
                <w:spacing w:val="-1"/>
                <w:sz w:val="24"/>
              </w:rPr>
              <w:t> </w:t>
            </w:r>
            <w:r>
              <w:rPr>
                <w:sz w:val="24"/>
              </w:rPr>
              <w:t>Committee</w:t>
            </w:r>
            <w:r>
              <w:rPr>
                <w:spacing w:val="-2"/>
                <w:sz w:val="24"/>
              </w:rPr>
              <w:t> </w:t>
            </w:r>
            <w:r>
              <w:rPr>
                <w:spacing w:val="-4"/>
                <w:sz w:val="24"/>
              </w:rPr>
              <w:t>Chair</w:t>
            </w:r>
          </w:p>
        </w:tc>
      </w:tr>
      <w:tr>
        <w:trPr>
          <w:trHeight w:val="276" w:hRule="atLeast"/>
        </w:trPr>
        <w:tc>
          <w:tcPr>
            <w:tcW w:w="1290" w:type="dxa"/>
          </w:tcPr>
          <w:p>
            <w:pPr>
              <w:pStyle w:val="TableParagraph"/>
              <w:rPr>
                <w:sz w:val="24"/>
              </w:rPr>
            </w:pPr>
            <w:r>
              <w:rPr>
                <w:spacing w:val="-2"/>
                <w:sz w:val="24"/>
              </w:rPr>
              <w:t>2021-</w:t>
            </w:r>
          </w:p>
        </w:tc>
        <w:tc>
          <w:tcPr>
            <w:tcW w:w="5276" w:type="dxa"/>
          </w:tcPr>
          <w:p>
            <w:pPr>
              <w:pStyle w:val="TableParagraph"/>
              <w:ind w:left="199"/>
              <w:rPr>
                <w:sz w:val="24"/>
              </w:rPr>
            </w:pPr>
            <w:r>
              <w:rPr>
                <w:sz w:val="24"/>
              </w:rPr>
              <w:t>UCSC</w:t>
            </w:r>
            <w:r>
              <w:rPr>
                <w:spacing w:val="-2"/>
                <w:sz w:val="24"/>
              </w:rPr>
              <w:t> </w:t>
            </w:r>
            <w:r>
              <w:rPr>
                <w:sz w:val="24"/>
              </w:rPr>
              <w:t>Committee</w:t>
            </w:r>
            <w:r>
              <w:rPr>
                <w:spacing w:val="-3"/>
                <w:sz w:val="24"/>
              </w:rPr>
              <w:t> </w:t>
            </w:r>
            <w:r>
              <w:rPr>
                <w:sz w:val="24"/>
              </w:rPr>
              <w:t>on</w:t>
            </w:r>
            <w:r>
              <w:rPr>
                <w:spacing w:val="-1"/>
                <w:sz w:val="24"/>
              </w:rPr>
              <w:t> </w:t>
            </w:r>
            <w:r>
              <w:rPr>
                <w:sz w:val="24"/>
              </w:rPr>
              <w:t>Admissions</w:t>
            </w:r>
            <w:r>
              <w:rPr>
                <w:spacing w:val="-1"/>
                <w:sz w:val="24"/>
              </w:rPr>
              <w:t> </w:t>
            </w:r>
            <w:r>
              <w:rPr>
                <w:sz w:val="24"/>
              </w:rPr>
              <w:t>and</w:t>
            </w:r>
            <w:r>
              <w:rPr>
                <w:spacing w:val="-1"/>
                <w:sz w:val="24"/>
              </w:rPr>
              <w:t> </w:t>
            </w:r>
            <w:r>
              <w:rPr>
                <w:sz w:val="24"/>
              </w:rPr>
              <w:t>Financial</w:t>
            </w:r>
            <w:r>
              <w:rPr>
                <w:spacing w:val="-1"/>
                <w:sz w:val="24"/>
              </w:rPr>
              <w:t> </w:t>
            </w:r>
            <w:r>
              <w:rPr>
                <w:spacing w:val="-5"/>
                <w:sz w:val="24"/>
              </w:rPr>
              <w:t>Aid</w:t>
            </w:r>
          </w:p>
        </w:tc>
      </w:tr>
      <w:tr>
        <w:trPr>
          <w:trHeight w:val="270" w:hRule="atLeast"/>
        </w:trPr>
        <w:tc>
          <w:tcPr>
            <w:tcW w:w="1290" w:type="dxa"/>
          </w:tcPr>
          <w:p>
            <w:pPr>
              <w:pStyle w:val="TableParagraph"/>
              <w:spacing w:line="251" w:lineRule="exact"/>
              <w:rPr>
                <w:sz w:val="24"/>
              </w:rPr>
            </w:pPr>
            <w:r>
              <w:rPr>
                <w:spacing w:val="-2"/>
                <w:sz w:val="24"/>
              </w:rPr>
              <w:t>2022-</w:t>
            </w:r>
            <w:r>
              <w:rPr>
                <w:spacing w:val="-4"/>
                <w:sz w:val="24"/>
              </w:rPr>
              <w:t>2023</w:t>
            </w:r>
          </w:p>
        </w:tc>
        <w:tc>
          <w:tcPr>
            <w:tcW w:w="5276" w:type="dxa"/>
          </w:tcPr>
          <w:p>
            <w:pPr>
              <w:pStyle w:val="TableParagraph"/>
              <w:spacing w:line="251" w:lineRule="exact"/>
              <w:ind w:left="199"/>
              <w:rPr>
                <w:sz w:val="24"/>
              </w:rPr>
            </w:pPr>
            <w:r>
              <w:rPr>
                <w:sz w:val="24"/>
              </w:rPr>
              <w:t>Applied</w:t>
            </w:r>
            <w:r>
              <w:rPr>
                <w:spacing w:val="-3"/>
                <w:sz w:val="24"/>
              </w:rPr>
              <w:t> </w:t>
            </w:r>
            <w:r>
              <w:rPr>
                <w:sz w:val="24"/>
              </w:rPr>
              <w:t>Microeconomics Search</w:t>
            </w:r>
            <w:r>
              <w:rPr>
                <w:spacing w:val="-2"/>
                <w:sz w:val="24"/>
              </w:rPr>
              <w:t> </w:t>
            </w:r>
            <w:r>
              <w:rPr>
                <w:sz w:val="24"/>
              </w:rPr>
              <w:t>Committee</w:t>
            </w:r>
            <w:r>
              <w:rPr>
                <w:spacing w:val="-4"/>
                <w:sz w:val="24"/>
              </w:rPr>
              <w:t> Chair</w:t>
            </w:r>
          </w:p>
        </w:tc>
      </w:tr>
    </w:tbl>
    <w:p>
      <w:pPr>
        <w:pStyle w:val="BodyText"/>
        <w:spacing w:before="2"/>
      </w:pPr>
    </w:p>
    <w:p>
      <w:pPr>
        <w:spacing w:before="0"/>
        <w:ind w:left="360" w:right="0" w:firstLine="0"/>
        <w:jc w:val="left"/>
        <w:rPr>
          <w:sz w:val="24"/>
        </w:rPr>
      </w:pPr>
      <w:r>
        <w:rPr>
          <w:spacing w:val="-2"/>
          <w:sz w:val="24"/>
          <w:u w:val="single"/>
        </w:rPr>
        <w:t>SEMINARS</w:t>
      </w:r>
    </w:p>
    <w:p>
      <w:pPr>
        <w:pStyle w:val="BodyText"/>
        <w:ind w:left="360" w:right="355"/>
        <w:jc w:val="both"/>
      </w:pPr>
      <w:r>
        <w:rPr/>
        <w:t>Oregon State University, University of California at Santa Cruz, Carnegie Mellon University – Heinz College, Reed College, Dartmouth College, University</w:t>
      </w:r>
      <w:r>
        <w:rPr>
          <w:spacing w:val="-4"/>
        </w:rPr>
        <w:t> </w:t>
      </w:r>
      <w:r>
        <w:rPr/>
        <w:t>of Pennsylvania Wharton School – Business Economics and Public Policy, Haverford College, Stanford University, Haverford College Forum on Education and Social Mobility, California State University – East Bay, California Polytechnic State University, National Tax Association – 107</w:t>
      </w:r>
      <w:r>
        <w:rPr>
          <w:vertAlign w:val="superscript"/>
        </w:rPr>
        <w:t>th</w:t>
      </w:r>
      <w:r>
        <w:rPr>
          <w:vertAlign w:val="baseline"/>
        </w:rPr>
        <w:t> Annual Conference on Taxation, UCSC Research Review Day: Data Science for Social Good, Graduate School of Business and Public Policy at the Naval Postgraduate School, Public Policy Forum at Haverford College, 2016 All California Labor Conference, University of Illinois Conference on the Economics of Education, National Tax Association – 109</w:t>
      </w:r>
      <w:r>
        <w:rPr>
          <w:vertAlign w:val="superscript"/>
        </w:rPr>
        <w:t>th</w:t>
      </w:r>
      <w:r>
        <w:rPr>
          <w:vertAlign w:val="baseline"/>
        </w:rPr>
        <w:t> Annual Conference on Taxation, University of Hawaii, Columbia University, 2017 APPAM Conference, 2018 AEA Annual Meetings, University of California at Santa Barbara, 2018 APPAM Conference, 2018 HAMOC Conference, Hawaii Applied Micro Conference, Allegheny College, Purdue University, College Board Forum 2021, Federal Reserve Board of Governors, University of Colorado Boulder, University of California Berkeley, Stanford University</w:t>
      </w:r>
    </w:p>
    <w:p>
      <w:pPr>
        <w:pStyle w:val="BodyText"/>
        <w:spacing w:before="1"/>
      </w:pPr>
    </w:p>
    <w:p>
      <w:pPr>
        <w:pStyle w:val="Heading1"/>
        <w:rPr>
          <w:u w:val="none"/>
        </w:rPr>
      </w:pPr>
      <w:r>
        <w:rPr>
          <w:spacing w:val="-2"/>
          <w:u w:val="single"/>
        </w:rPr>
        <w:t>TEACHING</w:t>
      </w:r>
    </w:p>
    <w:p>
      <w:pPr>
        <w:pStyle w:val="BodyText"/>
        <w:tabs>
          <w:tab w:pos="1800" w:val="left" w:leader="none"/>
        </w:tabs>
        <w:ind w:left="360" w:right="1218"/>
      </w:pPr>
      <w:r>
        <w:rPr>
          <w:spacing w:val="-2"/>
        </w:rPr>
        <w:t>2020-</w:t>
      </w:r>
      <w:r>
        <w:rPr/>
        <w:tab/>
        <w:t>Truth</w:t>
      </w:r>
      <w:r>
        <w:rPr>
          <w:spacing w:val="-4"/>
        </w:rPr>
        <w:t> </w:t>
      </w:r>
      <w:r>
        <w:rPr/>
        <w:t>in</w:t>
      </w:r>
      <w:r>
        <w:rPr>
          <w:spacing w:val="-4"/>
        </w:rPr>
        <w:t> </w:t>
      </w:r>
      <w:r>
        <w:rPr/>
        <w:t>Numbers:</w:t>
      </w:r>
      <w:r>
        <w:rPr>
          <w:spacing w:val="-4"/>
        </w:rPr>
        <w:t> </w:t>
      </w:r>
      <w:r>
        <w:rPr/>
        <w:t>The</w:t>
      </w:r>
      <w:r>
        <w:rPr>
          <w:spacing w:val="-6"/>
        </w:rPr>
        <w:t> </w:t>
      </w:r>
      <w:r>
        <w:rPr/>
        <w:t>Role</w:t>
      </w:r>
      <w:r>
        <w:rPr>
          <w:spacing w:val="-4"/>
        </w:rPr>
        <w:t> </w:t>
      </w:r>
      <w:r>
        <w:rPr/>
        <w:t>of</w:t>
      </w:r>
      <w:r>
        <w:rPr>
          <w:spacing w:val="-6"/>
        </w:rPr>
        <w:t> </w:t>
      </w:r>
      <w:r>
        <w:rPr/>
        <w:t>Statistics</w:t>
      </w:r>
      <w:r>
        <w:rPr>
          <w:spacing w:val="-4"/>
        </w:rPr>
        <w:t> </w:t>
      </w:r>
      <w:r>
        <w:rPr/>
        <w:t>in</w:t>
      </w:r>
      <w:r>
        <w:rPr>
          <w:spacing w:val="-4"/>
        </w:rPr>
        <w:t> </w:t>
      </w:r>
      <w:r>
        <w:rPr/>
        <w:t>Economics</w:t>
      </w:r>
      <w:r>
        <w:rPr>
          <w:spacing w:val="-1"/>
        </w:rPr>
        <w:t> </w:t>
      </w:r>
      <w:r>
        <w:rPr/>
        <w:t>(ECON</w:t>
      </w:r>
      <w:r>
        <w:rPr>
          <w:spacing w:val="-5"/>
        </w:rPr>
        <w:t> </w:t>
      </w:r>
      <w:r>
        <w:rPr/>
        <w:t>104)-</w:t>
      </w:r>
      <w:r>
        <w:rPr>
          <w:spacing w:val="-3"/>
        </w:rPr>
        <w:t> </w:t>
      </w:r>
      <w:r>
        <w:rPr/>
        <w:t>BA </w:t>
      </w:r>
      <w:r>
        <w:rPr>
          <w:spacing w:val="-2"/>
        </w:rPr>
        <w:t>2014-</w:t>
      </w:r>
      <w:r>
        <w:rPr/>
        <w:tab/>
        <w:t>Applied Econometrics (ECON 216) – MA</w:t>
      </w:r>
    </w:p>
    <w:p>
      <w:pPr>
        <w:pStyle w:val="BodyText"/>
        <w:tabs>
          <w:tab w:pos="1800" w:val="left" w:leader="none"/>
        </w:tabs>
        <w:ind w:left="360" w:right="3056"/>
      </w:pPr>
      <w:r>
        <w:rPr>
          <w:spacing w:val="-2"/>
        </w:rPr>
        <w:t>2013-</w:t>
      </w:r>
      <w:r>
        <w:rPr/>
        <w:tab/>
        <w:t>Public</w:t>
      </w:r>
      <w:r>
        <w:rPr>
          <w:spacing w:val="-7"/>
        </w:rPr>
        <w:t> </w:t>
      </w:r>
      <w:r>
        <w:rPr/>
        <w:t>and</w:t>
      </w:r>
      <w:r>
        <w:rPr>
          <w:spacing w:val="-6"/>
        </w:rPr>
        <w:t> </w:t>
      </w:r>
      <w:r>
        <w:rPr/>
        <w:t>Applied</w:t>
      </w:r>
      <w:r>
        <w:rPr>
          <w:spacing w:val="-6"/>
        </w:rPr>
        <w:t> </w:t>
      </w:r>
      <w:r>
        <w:rPr/>
        <w:t>Economics</w:t>
      </w:r>
      <w:r>
        <w:rPr>
          <w:spacing w:val="-4"/>
        </w:rPr>
        <w:t> </w:t>
      </w:r>
      <w:r>
        <w:rPr/>
        <w:t>(ECON</w:t>
      </w:r>
      <w:r>
        <w:rPr>
          <w:spacing w:val="-6"/>
        </w:rPr>
        <w:t> </w:t>
      </w:r>
      <w:r>
        <w:rPr/>
        <w:t>250B)</w:t>
      </w:r>
      <w:r>
        <w:rPr>
          <w:spacing w:val="-7"/>
        </w:rPr>
        <w:t> </w:t>
      </w:r>
      <w:r>
        <w:rPr/>
        <w:t>–</w:t>
      </w:r>
      <w:r>
        <w:rPr>
          <w:spacing w:val="-6"/>
        </w:rPr>
        <w:t> </w:t>
      </w:r>
      <w:r>
        <w:rPr/>
        <w:t>Ph.D. </w:t>
      </w:r>
      <w:r>
        <w:rPr>
          <w:spacing w:val="-2"/>
        </w:rPr>
        <w:t>2013-2020</w:t>
      </w:r>
      <w:r>
        <w:rPr/>
        <w:tab/>
        <w:t>Introduction to Econometrics (ECON 113) – BA</w:t>
      </w:r>
    </w:p>
    <w:p>
      <w:pPr>
        <w:pStyle w:val="BodyText"/>
      </w:pPr>
    </w:p>
    <w:p>
      <w:pPr>
        <w:pStyle w:val="Heading1"/>
        <w:spacing w:before="1"/>
        <w:rPr>
          <w:u w:val="none"/>
        </w:rPr>
      </w:pPr>
      <w:r>
        <w:rPr>
          <w:u w:val="single"/>
        </w:rPr>
        <w:t>DISSERTATION</w:t>
      </w:r>
      <w:r>
        <w:rPr>
          <w:spacing w:val="-7"/>
          <w:u w:val="single"/>
        </w:rPr>
        <w:t> </w:t>
      </w:r>
      <w:r>
        <w:rPr>
          <w:spacing w:val="-2"/>
          <w:u w:val="single"/>
        </w:rPr>
        <w:t>COMMITTEES</w:t>
      </w:r>
    </w:p>
    <w:p>
      <w:pPr>
        <w:pStyle w:val="BodyText"/>
        <w:ind w:left="360" w:right="3056"/>
      </w:pPr>
      <w:r>
        <w:rPr/>
        <w:t>Brandon</w:t>
      </w:r>
      <w:r>
        <w:rPr>
          <w:spacing w:val="-6"/>
        </w:rPr>
        <w:t> </w:t>
      </w:r>
      <w:r>
        <w:rPr/>
        <w:t>Heck</w:t>
      </w:r>
      <w:r>
        <w:rPr>
          <w:spacing w:val="-6"/>
        </w:rPr>
        <w:t> </w:t>
      </w:r>
      <w:r>
        <w:rPr/>
        <w:t>(2016)</w:t>
      </w:r>
      <w:r>
        <w:rPr>
          <w:spacing w:val="-8"/>
        </w:rPr>
        <w:t> </w:t>
      </w:r>
      <w:r>
        <w:rPr/>
        <w:t>–</w:t>
      </w:r>
      <w:r>
        <w:rPr>
          <w:spacing w:val="-6"/>
        </w:rPr>
        <w:t> </w:t>
      </w:r>
      <w:r>
        <w:rPr/>
        <w:t>Research</w:t>
      </w:r>
      <w:r>
        <w:rPr>
          <w:spacing w:val="-6"/>
        </w:rPr>
        <w:t> </w:t>
      </w:r>
      <w:r>
        <w:rPr/>
        <w:t>Associate,</w:t>
      </w:r>
      <w:r>
        <w:rPr>
          <w:spacing w:val="-3"/>
        </w:rPr>
        <w:t> </w:t>
      </w:r>
      <w:r>
        <w:rPr/>
        <w:t>IMPAQ</w:t>
      </w:r>
      <w:r>
        <w:rPr>
          <w:spacing w:val="-7"/>
        </w:rPr>
        <w:t> </w:t>
      </w:r>
      <w:r>
        <w:rPr/>
        <w:t>International Valentina Brailovskaya (2018) – Economist, IDinsight</w:t>
      </w:r>
    </w:p>
    <w:p>
      <w:pPr>
        <w:pStyle w:val="BodyText"/>
        <w:ind w:left="360" w:right="3629"/>
      </w:pPr>
      <w:r>
        <w:rPr/>
        <w:t>Baizhu</w:t>
      </w:r>
      <w:r>
        <w:rPr>
          <w:spacing w:val="-7"/>
        </w:rPr>
        <w:t> </w:t>
      </w:r>
      <w:r>
        <w:rPr/>
        <w:t>Chen</w:t>
      </w:r>
      <w:r>
        <w:rPr>
          <w:spacing w:val="-7"/>
        </w:rPr>
        <w:t> </w:t>
      </w:r>
      <w:r>
        <w:rPr/>
        <w:t>(2018)</w:t>
      </w:r>
      <w:r>
        <w:rPr>
          <w:spacing w:val="-8"/>
        </w:rPr>
        <w:t> </w:t>
      </w:r>
      <w:r>
        <w:rPr/>
        <w:t>–</w:t>
      </w:r>
      <w:r>
        <w:rPr>
          <w:spacing w:val="-7"/>
        </w:rPr>
        <w:t> </w:t>
      </w:r>
      <w:r>
        <w:rPr/>
        <w:t>Quantitative</w:t>
      </w:r>
      <w:r>
        <w:rPr>
          <w:spacing w:val="-7"/>
        </w:rPr>
        <w:t> </w:t>
      </w:r>
      <w:r>
        <w:rPr/>
        <w:t>Researcher,</w:t>
      </w:r>
      <w:r>
        <w:rPr>
          <w:spacing w:val="-5"/>
        </w:rPr>
        <w:t> </w:t>
      </w:r>
      <w:r>
        <w:rPr/>
        <w:t>BlackRock Kyle Neering (2018) – Research Analyst, CNA</w:t>
      </w:r>
    </w:p>
    <w:p>
      <w:pPr>
        <w:pStyle w:val="BodyText"/>
        <w:ind w:left="360" w:right="1923"/>
      </w:pPr>
      <w:r>
        <w:rPr/>
        <w:t>Liam</w:t>
      </w:r>
      <w:r>
        <w:rPr>
          <w:spacing w:val="-4"/>
        </w:rPr>
        <w:t> </w:t>
      </w:r>
      <w:r>
        <w:rPr/>
        <w:t>Rose</w:t>
      </w:r>
      <w:r>
        <w:rPr>
          <w:spacing w:val="-5"/>
        </w:rPr>
        <w:t> </w:t>
      </w:r>
      <w:r>
        <w:rPr/>
        <w:t>(2018)</w:t>
      </w:r>
      <w:r>
        <w:rPr>
          <w:spacing w:val="-5"/>
        </w:rPr>
        <w:t> </w:t>
      </w:r>
      <w:r>
        <w:rPr/>
        <w:t>–</w:t>
      </w:r>
      <w:r>
        <w:rPr>
          <w:spacing w:val="-4"/>
        </w:rPr>
        <w:t> </w:t>
      </w:r>
      <w:r>
        <w:rPr/>
        <w:t>Health</w:t>
      </w:r>
      <w:r>
        <w:rPr>
          <w:spacing w:val="-4"/>
        </w:rPr>
        <w:t> </w:t>
      </w:r>
      <w:r>
        <w:rPr/>
        <w:t>Economist,</w:t>
      </w:r>
      <w:r>
        <w:rPr>
          <w:spacing w:val="-4"/>
        </w:rPr>
        <w:t> </w:t>
      </w:r>
      <w:r>
        <w:rPr/>
        <w:t>U.S.</w:t>
      </w:r>
      <w:r>
        <w:rPr>
          <w:spacing w:val="-4"/>
        </w:rPr>
        <w:t> </w:t>
      </w:r>
      <w:r>
        <w:rPr/>
        <w:t>Department</w:t>
      </w:r>
      <w:r>
        <w:rPr>
          <w:spacing w:val="-4"/>
        </w:rPr>
        <w:t> </w:t>
      </w:r>
      <w:r>
        <w:rPr/>
        <w:t>of</w:t>
      </w:r>
      <w:r>
        <w:rPr>
          <w:spacing w:val="-3"/>
        </w:rPr>
        <w:t> </w:t>
      </w:r>
      <w:r>
        <w:rPr/>
        <w:t>Veterans</w:t>
      </w:r>
      <w:r>
        <w:rPr>
          <w:spacing w:val="-4"/>
        </w:rPr>
        <w:t> </w:t>
      </w:r>
      <w:r>
        <w:rPr/>
        <w:t>Affairs Asha Shepard (2018) – Assistant Professor, Goucher College</w:t>
      </w:r>
    </w:p>
    <w:p>
      <w:pPr>
        <w:pStyle w:val="BodyText"/>
        <w:ind w:left="360" w:right="355"/>
      </w:pPr>
      <w:r>
        <w:rPr/>
        <w:t>Daniel</w:t>
      </w:r>
      <w:r>
        <w:rPr>
          <w:spacing w:val="-4"/>
        </w:rPr>
        <w:t> </w:t>
      </w:r>
      <w:r>
        <w:rPr/>
        <w:t>Oliver</w:t>
      </w:r>
      <w:r>
        <w:rPr>
          <w:spacing w:val="-6"/>
        </w:rPr>
        <w:t> </w:t>
      </w:r>
      <w:r>
        <w:rPr/>
        <w:t>(2019)</w:t>
      </w:r>
      <w:r>
        <w:rPr>
          <w:spacing w:val="-5"/>
        </w:rPr>
        <w:t> </w:t>
      </w:r>
      <w:r>
        <w:rPr/>
        <w:t>–</w:t>
      </w:r>
      <w:r>
        <w:rPr>
          <w:spacing w:val="-4"/>
        </w:rPr>
        <w:t> </w:t>
      </w:r>
      <w:r>
        <w:rPr/>
        <w:t>Senior</w:t>
      </w:r>
      <w:r>
        <w:rPr>
          <w:spacing w:val="-4"/>
        </w:rPr>
        <w:t> </w:t>
      </w:r>
      <w:r>
        <w:rPr/>
        <w:t>Research</w:t>
      </w:r>
      <w:r>
        <w:rPr>
          <w:spacing w:val="-2"/>
        </w:rPr>
        <w:t> </w:t>
      </w:r>
      <w:r>
        <w:rPr/>
        <w:t>Fellow,</w:t>
      </w:r>
      <w:r>
        <w:rPr>
          <w:spacing w:val="-3"/>
        </w:rPr>
        <w:t> </w:t>
      </w:r>
      <w:r>
        <w:rPr/>
        <w:t>Education</w:t>
      </w:r>
      <w:r>
        <w:rPr>
          <w:spacing w:val="-4"/>
        </w:rPr>
        <w:t> </w:t>
      </w:r>
      <w:r>
        <w:rPr/>
        <w:t>Research</w:t>
      </w:r>
      <w:r>
        <w:rPr>
          <w:spacing w:val="-4"/>
        </w:rPr>
        <w:t> </w:t>
      </w:r>
      <w:r>
        <w:rPr/>
        <w:t>Alliance</w:t>
      </w:r>
      <w:r>
        <w:rPr>
          <w:spacing w:val="-5"/>
        </w:rPr>
        <w:t> </w:t>
      </w:r>
      <w:r>
        <w:rPr/>
        <w:t>for</w:t>
      </w:r>
      <w:r>
        <w:rPr>
          <w:spacing w:val="-4"/>
        </w:rPr>
        <w:t> </w:t>
      </w:r>
      <w:r>
        <w:rPr/>
        <w:t>New</w:t>
      </w:r>
      <w:r>
        <w:rPr>
          <w:spacing w:val="-4"/>
        </w:rPr>
        <w:t> </w:t>
      </w:r>
      <w:r>
        <w:rPr/>
        <w:t>Orleans Bryan Pratt (2019) – Research Economist, U.S. Department of Agriculture</w:t>
      </w:r>
    </w:p>
    <w:p>
      <w:pPr>
        <w:pStyle w:val="BodyText"/>
        <w:spacing w:after="0"/>
        <w:sectPr>
          <w:pgSz w:w="12240" w:h="15840"/>
          <w:pgMar w:top="1220" w:bottom="280" w:left="1080" w:right="1080"/>
        </w:sectPr>
      </w:pPr>
    </w:p>
    <w:p>
      <w:pPr>
        <w:pStyle w:val="BodyText"/>
        <w:spacing w:before="75"/>
        <w:ind w:left="360" w:right="3629"/>
      </w:pPr>
      <w:r>
        <w:rPr/>
        <w:t>Jijian</w:t>
      </w:r>
      <w:r>
        <w:rPr>
          <w:spacing w:val="-6"/>
        </w:rPr>
        <w:t> </w:t>
      </w:r>
      <w:r>
        <w:rPr/>
        <w:t>Fan</w:t>
      </w:r>
      <w:r>
        <w:rPr>
          <w:spacing w:val="-6"/>
        </w:rPr>
        <w:t> </w:t>
      </w:r>
      <w:r>
        <w:rPr/>
        <w:t>(2019)</w:t>
      </w:r>
      <w:r>
        <w:rPr>
          <w:spacing w:val="-7"/>
        </w:rPr>
        <w:t> </w:t>
      </w:r>
      <w:r>
        <w:rPr/>
        <w:t>–</w:t>
      </w:r>
      <w:r>
        <w:rPr>
          <w:spacing w:val="-3"/>
        </w:rPr>
        <w:t> </w:t>
      </w:r>
      <w:r>
        <w:rPr/>
        <w:t>Assistant</w:t>
      </w:r>
      <w:r>
        <w:rPr>
          <w:spacing w:val="-6"/>
        </w:rPr>
        <w:t> </w:t>
      </w:r>
      <w:r>
        <w:rPr/>
        <w:t>Professor,</w:t>
      </w:r>
      <w:r>
        <w:rPr>
          <w:spacing w:val="-5"/>
        </w:rPr>
        <w:t> </w:t>
      </w:r>
      <w:r>
        <w:rPr/>
        <w:t>Zhejiang</w:t>
      </w:r>
      <w:r>
        <w:rPr>
          <w:spacing w:val="-7"/>
        </w:rPr>
        <w:t> </w:t>
      </w:r>
      <w:r>
        <w:rPr/>
        <w:t>University Jiayi Xu (2021) – Economist, Realtor.com</w:t>
      </w:r>
    </w:p>
    <w:p>
      <w:pPr>
        <w:pStyle w:val="BodyText"/>
        <w:ind w:left="360" w:right="3629"/>
      </w:pPr>
      <w:r>
        <w:rPr/>
        <w:t>Luka</w:t>
      </w:r>
      <w:r>
        <w:rPr>
          <w:spacing w:val="-6"/>
        </w:rPr>
        <w:t> </w:t>
      </w:r>
      <w:r>
        <w:rPr/>
        <w:t>Kocic</w:t>
      </w:r>
      <w:r>
        <w:rPr>
          <w:spacing w:val="-6"/>
        </w:rPr>
        <w:t> </w:t>
      </w:r>
      <w:r>
        <w:rPr/>
        <w:t>(2022)</w:t>
      </w:r>
      <w:r>
        <w:rPr>
          <w:spacing w:val="-8"/>
        </w:rPr>
        <w:t> </w:t>
      </w:r>
      <w:r>
        <w:rPr/>
        <w:t>–</w:t>
      </w:r>
      <w:r>
        <w:rPr>
          <w:spacing w:val="-7"/>
        </w:rPr>
        <w:t> </w:t>
      </w:r>
      <w:r>
        <w:rPr/>
        <w:t>Research</w:t>
      </w:r>
      <w:r>
        <w:rPr>
          <w:spacing w:val="-5"/>
        </w:rPr>
        <w:t> </w:t>
      </w:r>
      <w:r>
        <w:rPr/>
        <w:t>Associate,</w:t>
      </w:r>
      <w:r>
        <w:rPr>
          <w:spacing w:val="-5"/>
        </w:rPr>
        <w:t> </w:t>
      </w:r>
      <w:r>
        <w:rPr/>
        <w:t>Analysis</w:t>
      </w:r>
      <w:r>
        <w:rPr>
          <w:spacing w:val="-7"/>
        </w:rPr>
        <w:t> </w:t>
      </w:r>
      <w:r>
        <w:rPr/>
        <w:t>Group Jianan Liu (2022) –</w:t>
      </w:r>
    </w:p>
    <w:sectPr>
      <w:pgSz w:w="12240" w:h="15840"/>
      <w:pgMar w:top="122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360"/>
      <w:outlineLvl w:val="1"/>
    </w:pPr>
    <w:rPr>
      <w:rFonts w:ascii="Times New Roman" w:hAnsi="Times New Roman" w:eastAsia="Times New Roman" w:cs="Times New Roman"/>
      <w:sz w:val="24"/>
      <w:szCs w:val="24"/>
      <w:u w:val="single" w:color="000000"/>
      <w:lang w:val="en-US" w:eastAsia="en-US" w:bidi="ar-SA"/>
    </w:rPr>
  </w:style>
  <w:style w:styleId="Title" w:type="paragraph">
    <w:name w:val="Title"/>
    <w:basedOn w:val="Normal"/>
    <w:uiPriority w:val="1"/>
    <w:qFormat/>
    <w:pPr>
      <w:spacing w:before="75"/>
      <w:jc w:val="center"/>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line="256" w:lineRule="exact"/>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gbulman@ucs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gbulman</dc:creator>
  <dcterms:created xsi:type="dcterms:W3CDTF">2026-01-29T09:16:51Z</dcterms:created>
  <dcterms:modified xsi:type="dcterms:W3CDTF">2026-01-29T09:16:51Z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2022-08-16T00:00:00Z</vt:filetime>
  </property>
  <property fmtid="{D5CDD505-2E9C-101B-9397-08002B2CF9AE}" pid="3" name="Creator">
    <vt:lpwstr>Microsoft® Word 2019</vt:lpwstr>
  </property>
  <property fmtid="{D5CDD505-2E9C-101B-9397-08002B2CF9AE}" pid="4" name="LastSaved">
    <vt:filetime>2026-01-29T00:00:00Z</vt:filetime>
  </property>
  <property fmtid="{D5CDD505-2E9C-101B-9397-08002B2CF9AE}" pid="5" name="Producer">
    <vt:lpwstr>Microsoft® Word 2019</vt:lpwstr>
  </property>
</Properties>
</file>