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Pablo</w:t>
      </w:r>
      <w:r>
        <w:rPr>
          <w:spacing w:val="-6"/>
        </w:rPr>
        <w:t> </w:t>
      </w:r>
      <w:r>
        <w:rPr>
          <w:spacing w:val="-2"/>
        </w:rPr>
        <w:t>Kurlat</w:t>
      </w:r>
    </w:p>
    <w:p>
      <w:pPr>
        <w:pStyle w:val="BodyText"/>
        <w:spacing w:before="179"/>
        <w:ind w:left="0"/>
        <w:rPr>
          <w:b/>
          <w:sz w:val="32"/>
        </w:rPr>
      </w:pPr>
    </w:p>
    <w:p>
      <w:pPr>
        <w:pStyle w:val="BodyText"/>
        <w:ind w:right="3631"/>
      </w:pPr>
      <w:r>
        <w:rPr/>
        <w:t>USC Department of Economics </w:t>
      </w:r>
      <w:hyperlink r:id="rId5">
        <w:r>
          <w:rPr>
            <w:rFonts w:ascii="Cambria"/>
            <w:spacing w:val="-2"/>
          </w:rPr>
          <w:t>pkurlat@gmail.com</w:t>
        </w:r>
      </w:hyperlink>
      <w:r>
        <w:rPr>
          <w:rFonts w:ascii="Cambria"/>
          <w:spacing w:val="-2"/>
        </w:rPr>
        <w:t> </w:t>
      </w:r>
      <w:r>
        <w:rPr>
          <w:spacing w:val="-2"/>
        </w:rPr>
        <w:t>https://sites.google.com/view/pkurlat</w:t>
      </w:r>
    </w:p>
    <w:p>
      <w:pPr>
        <w:pStyle w:val="Heading1"/>
        <w:spacing w:before="276"/>
      </w:pPr>
      <w:r>
        <w:rPr>
          <w:spacing w:val="-2"/>
        </w:rPr>
        <w:t>Employment</w:t>
      </w:r>
    </w:p>
    <w:p>
      <w:pPr>
        <w:pStyle w:val="BodyText"/>
        <w:tabs>
          <w:tab w:pos="1799" w:val="left" w:leader="none"/>
        </w:tabs>
        <w:spacing w:line="275" w:lineRule="exact"/>
      </w:pPr>
      <w:r>
        <w:rPr/>
        <w:t>2024 </w:t>
      </w:r>
      <w:r>
        <w:rPr>
          <w:spacing w:val="-10"/>
        </w:rPr>
        <w:t>-</w:t>
      </w:r>
      <w:r>
        <w:rPr/>
        <w:tab/>
        <w:t>Professor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Southern</w:t>
      </w:r>
      <w:r>
        <w:rPr>
          <w:spacing w:val="-1"/>
        </w:rPr>
        <w:t> </w:t>
      </w:r>
      <w:r>
        <w:rPr>
          <w:spacing w:val="-2"/>
        </w:rPr>
        <w:t>California</w:t>
      </w:r>
    </w:p>
    <w:p>
      <w:pPr>
        <w:pStyle w:val="BodyText"/>
        <w:tabs>
          <w:tab w:pos="1799" w:val="left" w:leader="none"/>
        </w:tabs>
        <w:spacing w:line="237" w:lineRule="auto" w:before="4"/>
        <w:ind w:right="558"/>
      </w:pPr>
      <w:r>
        <w:rPr/>
        <w:t>2019 - 2024</w:t>
        <w:tab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California 2010 - 2018</w:t>
        <w:tab/>
        <w:t>Assistant Professor of Economics, Stanford University.</w:t>
      </w:r>
    </w:p>
    <w:p>
      <w:pPr>
        <w:pStyle w:val="BodyText"/>
        <w:tabs>
          <w:tab w:pos="1799" w:val="left" w:leader="none"/>
        </w:tabs>
        <w:spacing w:before="4"/>
      </w:pPr>
      <w:r>
        <w:rPr>
          <w:spacing w:val="-4"/>
        </w:rPr>
        <w:t>2014</w:t>
      </w:r>
      <w:r>
        <w:rPr/>
        <w:tab/>
        <w:t>Visiting</w:t>
      </w:r>
      <w:r>
        <w:rPr>
          <w:spacing w:val="-2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Becker</w:t>
      </w:r>
      <w:r>
        <w:rPr>
          <w:spacing w:val="-2"/>
        </w:rPr>
        <w:t> </w:t>
      </w:r>
      <w:r>
        <w:rPr/>
        <w:t>Friedman</w:t>
      </w:r>
      <w:r>
        <w:rPr>
          <w:spacing w:val="-1"/>
        </w:rPr>
        <w:t> </w:t>
      </w:r>
      <w:r>
        <w:rPr/>
        <w:t>Institute,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Chicago.</w:t>
      </w:r>
    </w:p>
    <w:p>
      <w:pPr>
        <w:pStyle w:val="Heading1"/>
        <w:spacing w:before="276"/>
      </w:pPr>
      <w:r>
        <w:rPr>
          <w:spacing w:val="-2"/>
        </w:rPr>
        <w:t>Education</w:t>
      </w:r>
    </w:p>
    <w:p>
      <w:pPr>
        <w:pStyle w:val="BodyText"/>
        <w:tabs>
          <w:tab w:pos="1799" w:val="left" w:leader="none"/>
        </w:tabs>
        <w:spacing w:line="242" w:lineRule="auto"/>
        <w:ind w:right="1398"/>
      </w:pPr>
      <w:r>
        <w:rPr>
          <w:spacing w:val="-2"/>
        </w:rPr>
        <w:t>2005-2010</w:t>
      </w:r>
      <w:r>
        <w:rPr/>
        <w:tab/>
        <w:t>Ph.D.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Massachusetts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Technology. </w:t>
      </w:r>
      <w:r>
        <w:rPr>
          <w:spacing w:val="-2"/>
        </w:rPr>
        <w:t>1999-2002</w:t>
      </w:r>
      <w:r>
        <w:rPr/>
        <w:tab/>
        <w:t>Licenciatura en Economía, Universidad Torcuato Di Tella.</w:t>
      </w:r>
    </w:p>
    <w:p>
      <w:pPr>
        <w:pStyle w:val="Heading1"/>
        <w:spacing w:before="271"/>
      </w:pPr>
      <w:r>
        <w:rPr>
          <w:spacing w:val="-2"/>
        </w:rPr>
        <w:t>Publications</w:t>
      </w:r>
    </w:p>
    <w:p>
      <w:pPr>
        <w:pStyle w:val="BodyText"/>
        <w:tabs>
          <w:tab w:pos="1079" w:val="left" w:leader="none"/>
        </w:tabs>
        <w:spacing w:line="275" w:lineRule="exact"/>
      </w:pPr>
      <w:r>
        <w:rPr>
          <w:spacing w:val="-4"/>
        </w:rPr>
        <w:t>[1].</w:t>
      </w:r>
      <w:r>
        <w:rPr/>
        <w:tab/>
        <w:t>“The</w:t>
      </w:r>
      <w:r>
        <w:rPr>
          <w:spacing w:val="-3"/>
        </w:rPr>
        <w:t> </w:t>
      </w:r>
      <w:r>
        <w:rPr/>
        <w:t>Zero-Beta</w:t>
      </w:r>
      <w:r>
        <w:rPr>
          <w:spacing w:val="-2"/>
        </w:rPr>
        <w:t> </w:t>
      </w:r>
      <w:r>
        <w:rPr/>
        <w:t>Rate”,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Sebastian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Tella,</w:t>
      </w:r>
      <w:r>
        <w:rPr>
          <w:spacing w:val="-1"/>
        </w:rPr>
        <w:t> </w:t>
      </w:r>
      <w:r>
        <w:rPr/>
        <w:t>Ben</w:t>
      </w:r>
      <w:r>
        <w:rPr>
          <w:spacing w:val="-1"/>
        </w:rPr>
        <w:t> </w:t>
      </w:r>
      <w:r>
        <w:rPr/>
        <w:t>Hébert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Qitong</w:t>
      </w:r>
      <w:r>
        <w:rPr>
          <w:spacing w:val="-1"/>
        </w:rPr>
        <w:t> </w:t>
      </w:r>
      <w:r>
        <w:rPr>
          <w:spacing w:val="-2"/>
        </w:rPr>
        <w:t>Wang.</w:t>
      </w:r>
    </w:p>
    <w:p>
      <w:pPr>
        <w:spacing w:line="275" w:lineRule="exact" w:before="3"/>
        <w:ind w:left="108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forthcoming.</w:t>
      </w:r>
    </w:p>
    <w:p>
      <w:pPr>
        <w:pStyle w:val="BodyText"/>
        <w:tabs>
          <w:tab w:pos="1079" w:val="left" w:leader="none"/>
        </w:tabs>
        <w:spacing w:line="275" w:lineRule="exact"/>
      </w:pPr>
      <w:r>
        <w:rPr>
          <w:spacing w:val="-4"/>
        </w:rPr>
        <w:t>[2].</w:t>
      </w:r>
      <w:r>
        <w:rPr/>
        <w:tab/>
        <w:t>“Why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Banks</w:t>
      </w:r>
      <w:r>
        <w:rPr>
          <w:spacing w:val="-1"/>
        </w:rPr>
        <w:t> </w:t>
      </w:r>
      <w:r>
        <w:rPr/>
        <w:t>Exposed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Policy”,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Sebastian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>
          <w:spacing w:val="-2"/>
        </w:rPr>
        <w:t>Tella,</w:t>
      </w:r>
    </w:p>
    <w:p>
      <w:pPr>
        <w:spacing w:line="275" w:lineRule="exact" w:before="2"/>
        <w:ind w:left="108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2021.</w:t>
      </w:r>
    </w:p>
    <w:p>
      <w:pPr>
        <w:tabs>
          <w:tab w:pos="1079" w:val="left" w:leader="none"/>
        </w:tabs>
        <w:spacing w:line="242" w:lineRule="auto" w:before="0"/>
        <w:ind w:left="1080" w:right="959" w:hanging="720"/>
        <w:jc w:val="left"/>
        <w:rPr>
          <w:sz w:val="24"/>
        </w:rPr>
      </w:pPr>
      <w:r>
        <w:rPr>
          <w:spacing w:val="-4"/>
          <w:sz w:val="24"/>
        </w:rPr>
        <w:t>[3].</w:t>
      </w:r>
      <w:r>
        <w:rPr>
          <w:sz w:val="24"/>
        </w:rPr>
        <w:tab/>
        <w:t>“Investment</w:t>
      </w:r>
      <w:r>
        <w:rPr>
          <w:spacing w:val="-4"/>
          <w:sz w:val="24"/>
        </w:rPr>
        <w:t> </w:t>
      </w:r>
      <w:r>
        <w:rPr>
          <w:sz w:val="24"/>
        </w:rPr>
        <w:t>Externalities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Fire</w:t>
      </w:r>
      <w:r>
        <w:rPr>
          <w:spacing w:val="-5"/>
          <w:sz w:val="24"/>
        </w:rPr>
        <w:t> </w:t>
      </w:r>
      <w:r>
        <w:rPr>
          <w:sz w:val="24"/>
        </w:rPr>
        <w:t>Sales”,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 Economics</w:t>
      </w:r>
      <w:r>
        <w:rPr>
          <w:sz w:val="24"/>
        </w:rPr>
        <w:t>, September 2021</w:t>
      </w:r>
    </w:p>
    <w:p>
      <w:pPr>
        <w:tabs>
          <w:tab w:pos="1079" w:val="left" w:leader="none"/>
        </w:tabs>
        <w:spacing w:line="242" w:lineRule="auto" w:before="0"/>
        <w:ind w:left="1080" w:right="33" w:hanging="720"/>
        <w:jc w:val="left"/>
        <w:rPr>
          <w:sz w:val="24"/>
        </w:rPr>
      </w:pPr>
      <w:r>
        <w:rPr>
          <w:spacing w:val="-4"/>
          <w:sz w:val="24"/>
        </w:rPr>
        <w:t>[4].</w:t>
      </w:r>
      <w:r>
        <w:rPr>
          <w:sz w:val="24"/>
        </w:rPr>
        <w:tab/>
        <w:t>“Signaling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Experts”,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Florian</w:t>
      </w:r>
      <w:r>
        <w:rPr>
          <w:spacing w:val="-4"/>
          <w:sz w:val="24"/>
        </w:rPr>
        <w:t> </w:t>
      </w:r>
      <w:r>
        <w:rPr>
          <w:sz w:val="24"/>
        </w:rPr>
        <w:t>Scheuer,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March </w:t>
      </w:r>
      <w:r>
        <w:rPr>
          <w:spacing w:val="-4"/>
          <w:sz w:val="24"/>
        </w:rPr>
        <w:t>2021</w:t>
      </w:r>
    </w:p>
    <w:p>
      <w:pPr>
        <w:tabs>
          <w:tab w:pos="1079" w:val="left" w:leader="none"/>
        </w:tabs>
        <w:spacing w:line="242" w:lineRule="auto" w:before="0"/>
        <w:ind w:left="1080" w:right="793" w:hanging="720"/>
        <w:jc w:val="left"/>
        <w:rPr>
          <w:sz w:val="24"/>
        </w:rPr>
      </w:pPr>
      <w:r>
        <w:rPr>
          <w:spacing w:val="-4"/>
          <w:sz w:val="24"/>
        </w:rPr>
        <w:t>[5].</w:t>
      </w:r>
      <w:r>
        <w:rPr>
          <w:sz w:val="24"/>
        </w:rPr>
        <w:tab/>
        <w:t>“Deposit</w:t>
      </w:r>
      <w:r>
        <w:rPr>
          <w:spacing w:val="-4"/>
          <w:sz w:val="24"/>
        </w:rPr>
        <w:t> </w:t>
      </w:r>
      <w:r>
        <w:rPr>
          <w:sz w:val="24"/>
        </w:rPr>
        <w:t>Spreads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Welfare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Inflation”,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 Economics, </w:t>
      </w:r>
      <w:r>
        <w:rPr>
          <w:sz w:val="24"/>
        </w:rPr>
        <w:t>October 2019.</w:t>
      </w:r>
    </w:p>
    <w:p>
      <w:pPr>
        <w:tabs>
          <w:tab w:pos="1079" w:val="left" w:leader="none"/>
        </w:tabs>
        <w:spacing w:line="242" w:lineRule="auto" w:before="0"/>
        <w:ind w:left="1080" w:right="47" w:hanging="720"/>
        <w:jc w:val="left"/>
        <w:rPr>
          <w:sz w:val="24"/>
        </w:rPr>
      </w:pPr>
      <w:r>
        <w:rPr>
          <w:spacing w:val="-4"/>
          <w:sz w:val="24"/>
        </w:rPr>
        <w:t>[6].</w:t>
      </w:r>
      <w:r>
        <w:rPr>
          <w:sz w:val="24"/>
        </w:rPr>
        <w:tab/>
        <w:t>“The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Expertise”,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sz w:val="24"/>
        </w:rPr>
        <w:t>February </w:t>
      </w:r>
      <w:r>
        <w:rPr>
          <w:spacing w:val="-2"/>
          <w:sz w:val="24"/>
        </w:rPr>
        <w:t>2019.</w:t>
      </w:r>
    </w:p>
    <w:p>
      <w:pPr>
        <w:tabs>
          <w:tab w:pos="1139" w:val="left" w:leader="none"/>
        </w:tabs>
        <w:spacing w:line="271" w:lineRule="exact" w:before="0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[7].</w:t>
      </w:r>
      <w:r>
        <w:rPr>
          <w:sz w:val="24"/>
        </w:rPr>
        <w:tab/>
        <w:t>“Liquidity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Social</w:t>
      </w:r>
      <w:r>
        <w:rPr>
          <w:spacing w:val="-2"/>
          <w:sz w:val="24"/>
        </w:rPr>
        <w:t> </w:t>
      </w:r>
      <w:r>
        <w:rPr>
          <w:sz w:val="24"/>
        </w:rPr>
        <w:t>Expertise”,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2018.</w:t>
      </w:r>
    </w:p>
    <w:p>
      <w:pPr>
        <w:pStyle w:val="BodyText"/>
        <w:tabs>
          <w:tab w:pos="1079" w:val="left" w:leader="none"/>
          <w:tab w:pos="1139" w:val="left" w:leader="none"/>
        </w:tabs>
        <w:spacing w:line="237" w:lineRule="auto"/>
        <w:ind w:right="200"/>
      </w:pPr>
      <w:r>
        <w:rPr>
          <w:spacing w:val="-4"/>
        </w:rPr>
        <w:t>[8].</w:t>
      </w:r>
      <w:r>
        <w:rPr/>
        <w:tab/>
        <w:t>“Asset</w:t>
      </w:r>
      <w:r>
        <w:rPr>
          <w:spacing w:val="-6"/>
        </w:rPr>
        <w:t> </w:t>
      </w:r>
      <w:r>
        <w:rPr/>
        <w:t>Markets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Heterogeneous</w:t>
      </w:r>
      <w:r>
        <w:rPr>
          <w:spacing w:val="-6"/>
        </w:rPr>
        <w:t> </w:t>
      </w:r>
      <w:r>
        <w:rPr/>
        <w:t>Information”,</w:t>
      </w:r>
      <w:r>
        <w:rPr>
          <w:spacing w:val="-6"/>
        </w:rPr>
        <w:t> </w:t>
      </w:r>
      <w:r>
        <w:rPr>
          <w:i/>
        </w:rPr>
        <w:t>Econometrica,</w:t>
      </w:r>
      <w:r>
        <w:rPr>
          <w:i/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2016. </w:t>
      </w:r>
      <w:r>
        <w:rPr>
          <w:spacing w:val="-4"/>
        </w:rPr>
        <w:t>[9].</w:t>
      </w:r>
      <w:r>
        <w:rPr/>
        <w:tab/>
        <w:tab/>
        <w:t>“Testing for Information Asymmetries in Real Estate Markets”, with Johannes</w:t>
      </w:r>
    </w:p>
    <w:p>
      <w:pPr>
        <w:spacing w:line="275" w:lineRule="exact" w:before="0"/>
        <w:ind w:left="1080" w:right="0" w:firstLine="0"/>
        <w:jc w:val="left"/>
        <w:rPr>
          <w:sz w:val="24"/>
        </w:rPr>
      </w:pPr>
      <w:r>
        <w:rPr>
          <w:sz w:val="24"/>
        </w:rPr>
        <w:t>Stroebel.</w:t>
      </w:r>
      <w:r>
        <w:rPr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2015.</w:t>
      </w:r>
    </w:p>
    <w:p>
      <w:pPr>
        <w:tabs>
          <w:tab w:pos="1079" w:val="left" w:leader="none"/>
        </w:tabs>
        <w:spacing w:line="242" w:lineRule="auto" w:before="0"/>
        <w:ind w:left="1080" w:right="226" w:hanging="720"/>
        <w:jc w:val="left"/>
        <w:rPr>
          <w:sz w:val="24"/>
        </w:rPr>
      </w:pPr>
      <w:r>
        <w:rPr>
          <w:spacing w:val="-2"/>
          <w:sz w:val="24"/>
        </w:rPr>
        <w:t>[10].</w:t>
      </w:r>
      <w:r>
        <w:rPr>
          <w:sz w:val="24"/>
        </w:rPr>
        <w:tab/>
        <w:t>“Should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Regulate</w:t>
      </w:r>
      <w:r>
        <w:rPr>
          <w:spacing w:val="-5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Information?”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Laura</w:t>
      </w:r>
      <w:r>
        <w:rPr>
          <w:spacing w:val="-5"/>
          <w:sz w:val="24"/>
        </w:rPr>
        <w:t> </w:t>
      </w:r>
      <w:r>
        <w:rPr>
          <w:sz w:val="24"/>
        </w:rPr>
        <w:t>Veldkamp,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Theory</w:t>
      </w:r>
      <w:r>
        <w:rPr>
          <w:sz w:val="24"/>
        </w:rPr>
        <w:t>, July 2015.</w:t>
      </w:r>
    </w:p>
    <w:p>
      <w:pPr>
        <w:tabs>
          <w:tab w:pos="1079" w:val="left" w:leader="none"/>
        </w:tabs>
        <w:spacing w:line="242" w:lineRule="auto" w:before="0"/>
        <w:ind w:left="1080" w:right="581" w:hanging="720"/>
        <w:jc w:val="left"/>
        <w:rPr>
          <w:sz w:val="24"/>
        </w:rPr>
      </w:pPr>
      <w:r>
        <w:rPr>
          <w:spacing w:val="-2"/>
          <w:sz w:val="24"/>
        </w:rPr>
        <w:t>[11].</w:t>
      </w:r>
      <w:r>
        <w:rPr>
          <w:sz w:val="24"/>
        </w:rPr>
        <w:tab/>
        <w:t>“Optimal</w:t>
      </w:r>
      <w:r>
        <w:rPr>
          <w:spacing w:val="-4"/>
          <w:sz w:val="24"/>
        </w:rPr>
        <w:t> </w:t>
      </w:r>
      <w:r>
        <w:rPr>
          <w:sz w:val="24"/>
        </w:rPr>
        <w:t>Stopping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Speculative</w:t>
      </w:r>
      <w:r>
        <w:rPr>
          <w:spacing w:val="-5"/>
          <w:sz w:val="24"/>
        </w:rPr>
        <w:t> </w:t>
      </w:r>
      <w:r>
        <w:rPr>
          <w:sz w:val="24"/>
        </w:rPr>
        <w:t>Attacks”,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Dynamics</w:t>
      </w:r>
      <w:r>
        <w:rPr>
          <w:sz w:val="24"/>
        </w:rPr>
        <w:t>, April 2015.</w:t>
      </w:r>
    </w:p>
    <w:p>
      <w:pPr>
        <w:tabs>
          <w:tab w:pos="1079" w:val="left" w:leader="none"/>
        </w:tabs>
        <w:spacing w:line="242" w:lineRule="auto" w:before="0"/>
        <w:ind w:left="1080" w:right="846" w:hanging="720"/>
        <w:jc w:val="left"/>
        <w:rPr>
          <w:sz w:val="24"/>
        </w:rPr>
      </w:pPr>
      <w:r>
        <w:rPr>
          <w:spacing w:val="-2"/>
          <w:sz w:val="24"/>
        </w:rPr>
        <w:t>[12].</w:t>
      </w:r>
      <w:r>
        <w:rPr>
          <w:sz w:val="24"/>
        </w:rPr>
        <w:tab/>
        <w:t>“Lemons</w:t>
      </w:r>
      <w:r>
        <w:rPr>
          <w:spacing w:val="-5"/>
          <w:sz w:val="24"/>
        </w:rPr>
        <w:t> </w:t>
      </w:r>
      <w:r>
        <w:rPr>
          <w:sz w:val="24"/>
        </w:rPr>
        <w:t>Markets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Transmission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Aggregate</w:t>
      </w:r>
      <w:r>
        <w:rPr>
          <w:spacing w:val="-6"/>
          <w:sz w:val="24"/>
        </w:rPr>
        <w:t> </w:t>
      </w:r>
      <w:r>
        <w:rPr>
          <w:sz w:val="24"/>
        </w:rPr>
        <w:t>Shocks”,</w:t>
      </w:r>
      <w:r>
        <w:rPr>
          <w:spacing w:val="-6"/>
          <w:sz w:val="24"/>
        </w:rPr>
        <w:t> </w:t>
      </w:r>
      <w:r>
        <w:rPr>
          <w:i/>
          <w:sz w:val="24"/>
        </w:rPr>
        <w:t>American Economic Review</w:t>
      </w:r>
      <w:r>
        <w:rPr>
          <w:sz w:val="24"/>
        </w:rPr>
        <w:t>, June 2013.</w:t>
      </w:r>
    </w:p>
    <w:p>
      <w:pPr>
        <w:pStyle w:val="Heading1"/>
        <w:spacing w:before="251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tabs>
          <w:tab w:pos="1079" w:val="left" w:leader="none"/>
        </w:tabs>
        <w:spacing w:line="242" w:lineRule="auto"/>
        <w:ind w:left="1080" w:right="592" w:hanging="720"/>
      </w:pPr>
      <w:r>
        <w:rPr>
          <w:spacing w:val="-2"/>
        </w:rPr>
        <w:t>[13].</w:t>
      </w:r>
      <w:r>
        <w:rPr/>
        <w:tab/>
        <w:t>Aggregation,</w:t>
      </w:r>
      <w:r>
        <w:rPr>
          <w:spacing w:val="-4"/>
        </w:rPr>
        <w:t> </w:t>
      </w:r>
      <w:r>
        <w:rPr/>
        <w:t>Liquidity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Asset</w:t>
      </w:r>
      <w:r>
        <w:rPr>
          <w:spacing w:val="-5"/>
        </w:rPr>
        <w:t> </w:t>
      </w:r>
      <w:r>
        <w:rPr/>
        <w:t>Prices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Incomplete</w:t>
      </w:r>
      <w:r>
        <w:rPr>
          <w:spacing w:val="-5"/>
        </w:rPr>
        <w:t> </w:t>
      </w:r>
      <w:r>
        <w:rPr/>
        <w:t>Markets,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Ben Hébert and Sebastian Di Tella.</w:t>
      </w:r>
    </w:p>
    <w:p>
      <w:pPr>
        <w:pStyle w:val="BodyText"/>
        <w:tabs>
          <w:tab w:pos="1079" w:val="left" w:leader="none"/>
        </w:tabs>
        <w:spacing w:line="242" w:lineRule="auto"/>
        <w:ind w:right="478"/>
      </w:pPr>
      <w:r>
        <w:rPr>
          <w:spacing w:val="-2"/>
        </w:rPr>
        <w:t>[14].</w:t>
      </w:r>
      <w:r>
        <w:rPr/>
        <w:tab/>
        <w:t>Equilibrium</w:t>
      </w:r>
      <w:r>
        <w:rPr>
          <w:spacing w:val="-4"/>
        </w:rPr>
        <w:t> </w:t>
      </w:r>
      <w:r>
        <w:rPr/>
        <w:t>Spillover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Big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Maryam</w:t>
      </w:r>
      <w:r>
        <w:rPr>
          <w:spacing w:val="-4"/>
        </w:rPr>
        <w:t> </w:t>
      </w:r>
      <w:r>
        <w:rPr/>
        <w:t>Farboodi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Peter</w:t>
      </w:r>
      <w:r>
        <w:rPr>
          <w:spacing w:val="-4"/>
        </w:rPr>
        <w:t> </w:t>
      </w:r>
      <w:r>
        <w:rPr/>
        <w:t>Kondor. </w:t>
      </w:r>
      <w:r>
        <w:rPr>
          <w:spacing w:val="-2"/>
        </w:rPr>
        <w:t>[15].</w:t>
      </w:r>
      <w:r>
        <w:rPr/>
        <w:tab/>
        <w:t>“Efficient Bullshit in Search Markets”.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380" w:bottom="280" w:left="1440" w:right="1800"/>
        </w:sectPr>
      </w:pPr>
    </w:p>
    <w:p>
      <w:pPr>
        <w:pStyle w:val="BodyText"/>
        <w:tabs>
          <w:tab w:pos="1079" w:val="left" w:leader="none"/>
        </w:tabs>
        <w:spacing w:line="237" w:lineRule="auto" w:before="79"/>
        <w:ind w:right="1573"/>
      </w:pPr>
      <w:r>
        <w:rPr>
          <w:spacing w:val="-2"/>
        </w:rPr>
        <w:t>[16].</w:t>
      </w:r>
      <w:r>
        <w:rPr/>
        <w:tab/>
        <w:t>“Job</w:t>
      </w:r>
      <w:r>
        <w:rPr>
          <w:spacing w:val="-5"/>
        </w:rPr>
        <w:t> </w:t>
      </w:r>
      <w:r>
        <w:rPr/>
        <w:t>Interviews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Equilibrium”,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Sebastian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Tella. </w:t>
      </w:r>
      <w:r>
        <w:rPr>
          <w:spacing w:val="-2"/>
        </w:rPr>
        <w:t>[17].</w:t>
      </w:r>
      <w:r>
        <w:rPr/>
        <w:tab/>
        <w:t>“Optimal Financial Fragility”.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Heading1"/>
      </w:pPr>
      <w:r>
        <w:rPr/>
        <w:t>Policy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tabs>
          <w:tab w:pos="1079" w:val="left" w:leader="none"/>
        </w:tabs>
        <w:spacing w:line="242" w:lineRule="auto"/>
        <w:ind w:left="1080" w:right="26" w:hanging="720"/>
      </w:pPr>
      <w:r>
        <w:rPr>
          <w:spacing w:val="-2"/>
        </w:rPr>
        <w:t>[18].</w:t>
      </w:r>
      <w:r>
        <w:rPr/>
        <w:tab/>
        <w:t>“Unemployment</w:t>
      </w:r>
      <w:r>
        <w:rPr>
          <w:spacing w:val="-4"/>
        </w:rPr>
        <w:t> </w:t>
      </w:r>
      <w:r>
        <w:rPr/>
        <w:t>Insurance,”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Nirupama</w:t>
      </w:r>
      <w:r>
        <w:rPr>
          <w:spacing w:val="-5"/>
        </w:rPr>
        <w:t> </w:t>
      </w:r>
      <w:r>
        <w:rPr/>
        <w:t>Rao)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Cunion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Paul Quirk, eds., Governing America, Facts on File, New York, 2011.</w:t>
      </w:r>
    </w:p>
    <w:p>
      <w:pPr>
        <w:pStyle w:val="BodyText"/>
        <w:tabs>
          <w:tab w:pos="1139" w:val="left" w:leader="none"/>
        </w:tabs>
        <w:ind w:left="1080" w:right="559" w:hanging="720"/>
      </w:pPr>
      <w:r>
        <w:rPr>
          <w:spacing w:val="-2"/>
        </w:rPr>
        <w:t>[19].</w:t>
      </w:r>
      <w:r>
        <w:rPr/>
        <w:tab/>
        <w:tab/>
        <w:t>“The</w:t>
      </w:r>
      <w:r>
        <w:rPr>
          <w:spacing w:val="-5"/>
        </w:rPr>
        <w:t> </w:t>
      </w:r>
      <w:r>
        <w:rPr/>
        <w:t>‘Surprising’</w:t>
      </w:r>
      <w:r>
        <w:rPr>
          <w:spacing w:val="-4"/>
        </w:rPr>
        <w:t> </w:t>
      </w:r>
      <w:r>
        <w:rPr/>
        <w:t>Origin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Crises: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Macroeconomic Policy Proposal,” (with Ricardo Caballero) in Financial Stability and Macroeconomic Policy, Federal Reserve Bank of Kansas City, 2009.</w:t>
      </w:r>
    </w:p>
    <w:p>
      <w:pPr>
        <w:pStyle w:val="BodyText"/>
        <w:tabs>
          <w:tab w:pos="1079" w:val="left" w:leader="none"/>
        </w:tabs>
        <w:spacing w:line="237" w:lineRule="auto"/>
        <w:ind w:left="1080" w:right="292" w:hanging="720"/>
      </w:pPr>
      <w:r>
        <w:rPr>
          <w:spacing w:val="-2"/>
        </w:rPr>
        <w:t>[20].</w:t>
      </w:r>
      <w:r>
        <w:rPr/>
        <w:tab/>
        <w:t>“Public-Private</w:t>
      </w:r>
      <w:r>
        <w:rPr>
          <w:spacing w:val="-6"/>
        </w:rPr>
        <w:t> </w:t>
      </w:r>
      <w:r>
        <w:rPr/>
        <w:t>Partnerships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Liquidity</w:t>
      </w:r>
      <w:r>
        <w:rPr>
          <w:spacing w:val="-5"/>
        </w:rPr>
        <w:t> </w:t>
      </w:r>
      <w:r>
        <w:rPr/>
        <w:t>Provision”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Ricardo</w:t>
      </w:r>
      <w:r>
        <w:rPr>
          <w:spacing w:val="-5"/>
        </w:rPr>
        <w:t> </w:t>
      </w:r>
      <w:r>
        <w:rPr/>
        <w:t>Caballero), March 2009.</w:t>
      </w:r>
    </w:p>
    <w:p>
      <w:pPr>
        <w:pStyle w:val="BodyText"/>
        <w:tabs>
          <w:tab w:pos="1139" w:val="left" w:leader="none"/>
        </w:tabs>
        <w:spacing w:line="237" w:lineRule="auto" w:before="4"/>
        <w:ind w:left="1080" w:right="186" w:hanging="720"/>
      </w:pPr>
      <w:r>
        <w:rPr>
          <w:spacing w:val="-2"/>
        </w:rPr>
        <w:t>[21].</w:t>
      </w:r>
      <w:r>
        <w:rPr/>
        <w:tab/>
        <w:tab/>
        <w:t>“Flight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Bailouts: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Remarks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Review”</w:t>
      </w:r>
      <w:r>
        <w:rPr>
          <w:spacing w:val="-5"/>
        </w:rPr>
        <w:t> </w:t>
      </w:r>
      <w:r>
        <w:rPr/>
        <w:t>(with Ricardo Caballero), October 2008.</w:t>
      </w:r>
    </w:p>
    <w:p>
      <w:pPr>
        <w:pStyle w:val="BodyText"/>
        <w:ind w:left="0"/>
      </w:pPr>
    </w:p>
    <w:p>
      <w:pPr>
        <w:pStyle w:val="Heading1"/>
        <w:spacing w:line="240" w:lineRule="auto" w:before="1"/>
      </w:pPr>
      <w:r>
        <w:rPr/>
        <w:t>Professional</w:t>
      </w:r>
      <w:r>
        <w:rPr>
          <w:spacing w:val="-2"/>
        </w:rPr>
        <w:t> </w:t>
      </w:r>
      <w:r>
        <w:rPr/>
        <w:t>Affiliations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Service</w:t>
      </w:r>
    </w:p>
    <w:p>
      <w:pPr>
        <w:tabs>
          <w:tab w:pos="1799" w:val="left" w:leader="none"/>
        </w:tabs>
        <w:spacing w:line="275" w:lineRule="exact" w:before="2"/>
        <w:ind w:left="360" w:right="0" w:firstLine="0"/>
        <w:jc w:val="left"/>
        <w:rPr>
          <w:i/>
          <w:sz w:val="24"/>
        </w:rPr>
      </w:pPr>
      <w:r>
        <w:rPr>
          <w:sz w:val="24"/>
        </w:rPr>
        <w:t>2025 </w:t>
      </w:r>
      <w:r>
        <w:rPr>
          <w:spacing w:val="-10"/>
          <w:sz w:val="24"/>
        </w:rPr>
        <w:t>-</w:t>
      </w:r>
      <w:r>
        <w:rPr>
          <w:sz w:val="24"/>
        </w:rPr>
        <w:tab/>
        <w:t>Coeditor,</w:t>
      </w:r>
      <w:r>
        <w:rPr>
          <w:spacing w:val="-3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tabs>
          <w:tab w:pos="1799" w:val="left" w:leader="none"/>
        </w:tabs>
        <w:spacing w:line="240" w:lineRule="auto" w:before="0"/>
        <w:ind w:left="360" w:right="2766" w:firstLine="0"/>
        <w:jc w:val="left"/>
        <w:rPr>
          <w:i/>
          <w:sz w:val="24"/>
        </w:rPr>
      </w:pPr>
      <w:r>
        <w:rPr>
          <w:sz w:val="24"/>
        </w:rPr>
        <w:t>2024 -</w:t>
        <w:tab/>
        <w:t>Associate</w:t>
      </w:r>
      <w:r>
        <w:rPr>
          <w:spacing w:val="-7"/>
          <w:sz w:val="24"/>
        </w:rPr>
        <w:t> </w:t>
      </w:r>
      <w:r>
        <w:rPr>
          <w:sz w:val="24"/>
        </w:rPr>
        <w:t>Editor,</w:t>
      </w:r>
      <w:r>
        <w:rPr>
          <w:spacing w:val="-7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 </w:t>
      </w:r>
      <w:r>
        <w:rPr>
          <w:sz w:val="24"/>
        </w:rPr>
        <w:t>2019 – 2025</w:t>
        <w:tab/>
        <w:t>Associate Editor, </w:t>
      </w:r>
      <w:r>
        <w:rPr>
          <w:i/>
          <w:sz w:val="24"/>
        </w:rPr>
        <w:t>Theoretical Economics</w:t>
      </w:r>
      <w:r>
        <w:rPr>
          <w:i/>
          <w:spacing w:val="40"/>
          <w:sz w:val="24"/>
        </w:rPr>
        <w:t> </w:t>
      </w:r>
      <w:r>
        <w:rPr>
          <w:sz w:val="24"/>
        </w:rPr>
        <w:t>2019 – 2025</w:t>
        <w:tab/>
        <w:t>Member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Board,</w:t>
      </w:r>
      <w:r>
        <w:rPr>
          <w:spacing w:val="-6"/>
          <w:sz w:val="24"/>
        </w:rPr>
        <w:t> </w:t>
      </w:r>
      <w:r>
        <w:rPr>
          <w:i/>
          <w:sz w:val="24"/>
        </w:rPr>
        <w:t>Macro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Society</w:t>
      </w:r>
    </w:p>
    <w:p>
      <w:pPr>
        <w:pStyle w:val="BodyText"/>
        <w:spacing w:before="1"/>
      </w:pPr>
      <w:r>
        <w:rPr/>
        <w:t>NBER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Fluctuations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Growth</w:t>
      </w:r>
    </w:p>
    <w:p>
      <w:pPr>
        <w:pStyle w:val="BodyText"/>
        <w:spacing w:before="274"/>
        <w:ind w:left="0"/>
      </w:pPr>
    </w:p>
    <w:p>
      <w:pPr>
        <w:spacing w:before="0" w:after="1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Fellowships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Awards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6951"/>
      </w:tblGrid>
      <w:tr>
        <w:trPr>
          <w:trHeight w:val="269" w:hRule="atLeast"/>
        </w:trPr>
        <w:tc>
          <w:tcPr>
            <w:tcW w:w="132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6951" w:type="dxa"/>
          </w:tcPr>
          <w:p>
            <w:pPr>
              <w:pStyle w:val="TableParagraph"/>
              <w:spacing w:line="250" w:lineRule="exact"/>
              <w:ind w:left="170"/>
              <w:rPr>
                <w:sz w:val="24"/>
              </w:rPr>
            </w:pPr>
            <w:r>
              <w:rPr>
                <w:sz w:val="24"/>
              </w:rPr>
              <w:t>NSF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#1558970: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Expertise”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2011-</w:t>
            </w:r>
            <w:r>
              <w:rPr>
                <w:spacing w:val="-2"/>
                <w:sz w:val="24"/>
              </w:rPr>
              <w:t>14,16</w:t>
            </w:r>
          </w:p>
        </w:tc>
        <w:tc>
          <w:tcPr>
            <w:tcW w:w="6951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Excellence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Refereeing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American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Review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6951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Tour.</w:t>
            </w:r>
          </w:p>
        </w:tc>
      </w:tr>
      <w:tr>
        <w:trPr>
          <w:trHeight w:val="275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6951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MIT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Robert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Solow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excellence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research.</w:t>
            </w:r>
          </w:p>
        </w:tc>
      </w:tr>
      <w:tr>
        <w:trPr>
          <w:trHeight w:val="276" w:hRule="atLeast"/>
        </w:trPr>
        <w:tc>
          <w:tcPr>
            <w:tcW w:w="13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2005-</w:t>
            </w: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6951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MIT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Presidential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2005-</w:t>
            </w:r>
            <w:r>
              <w:rPr>
                <w:spacing w:val="-2"/>
                <w:sz w:val="24"/>
              </w:rPr>
              <w:t>2010.</w:t>
            </w:r>
          </w:p>
        </w:tc>
      </w:tr>
      <w:tr>
        <w:trPr>
          <w:trHeight w:val="269" w:hRule="atLeast"/>
        </w:trPr>
        <w:tc>
          <w:tcPr>
            <w:tcW w:w="132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6951" w:type="dxa"/>
          </w:tcPr>
          <w:p>
            <w:pPr>
              <w:pStyle w:val="TableParagraph"/>
              <w:spacing w:line="250" w:lineRule="exact"/>
              <w:ind w:left="170"/>
              <w:rPr>
                <w:sz w:val="24"/>
              </w:rPr>
            </w:pPr>
            <w:r>
              <w:rPr>
                <w:sz w:val="24"/>
              </w:rPr>
              <w:t>MIT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Laboratory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Fellowship.</w:t>
            </w:r>
          </w:p>
        </w:tc>
      </w:tr>
    </w:tbl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5" w:lineRule="exact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36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kurlat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2026-01-29T09:43:02Z</dcterms:created>
  <dcterms:modified xsi:type="dcterms:W3CDTF">2026-01-29T09:43:02Z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13.5 (Build 22G74) Quartz PDFContext</vt:lpwstr>
  </property>
</Properties>
</file>