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500" w:val="left" w:leader="none"/>
        </w:tabs>
        <w:spacing w:line="360" w:lineRule="auto" w:before="61"/>
      </w:pPr>
      <w:r>
        <w:rPr/>
        <w:t>Department of Economics, Virginia Tech Pamplin Hall (0316), Blacksburg, VA, 24061 Email: </w:t>
      </w:r>
      <w:hyperlink r:id="rId6">
        <w:r>
          <w:rPr/>
          <w:t>byront@vt.edu</w:t>
        </w:r>
      </w:hyperlink>
      <w:r>
        <w:rPr/>
        <w:tab/>
        <w:t>Office:</w:t>
      </w:r>
      <w:r>
        <w:rPr>
          <w:spacing w:val="-6"/>
        </w:rPr>
        <w:t> </w:t>
      </w:r>
      <w:r>
        <w:rPr/>
        <w:t>540.231.5942 Website:</w:t>
      </w:r>
      <w:r>
        <w:rPr>
          <w:spacing w:val="-4"/>
        </w:rPr>
        <w:t> </w:t>
      </w:r>
      <w:r>
        <w:rPr>
          <w:spacing w:val="-2"/>
        </w:rPr>
        <w:t>https://sites.google.com/site/byrontkp/</w:t>
      </w:r>
    </w:p>
    <w:p>
      <w:pPr>
        <w:spacing w:line="360" w:lineRule="auto" w:before="61"/>
        <w:ind w:left="447" w:right="356" w:hanging="448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Kwok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Tsang October</w:t>
      </w:r>
      <w:r>
        <w:rPr>
          <w:b/>
          <w:spacing w:val="-4"/>
          <w:sz w:val="24"/>
        </w:rPr>
        <w:t> 2025</w:t>
      </w:r>
    </w:p>
    <w:p>
      <w:pPr>
        <w:spacing w:after="0" w:line="360" w:lineRule="auto"/>
        <w:jc w:val="left"/>
        <w:rPr>
          <w:b/>
          <w:sz w:val="24"/>
        </w:rPr>
        <w:sectPr>
          <w:footerReference w:type="default" r:id="rId5"/>
          <w:type w:val="continuous"/>
          <w:pgSz w:w="12240" w:h="15840"/>
          <w:pgMar w:header="0" w:footer="1038" w:top="1380" w:bottom="1220" w:left="1440" w:right="1080"/>
          <w:pgNumType w:start="1"/>
          <w:cols w:num="2" w:equalWidth="0">
            <w:col w:w="4594" w:space="2940"/>
            <w:col w:w="2186"/>
          </w:cols>
        </w:sectPr>
      </w:pPr>
    </w:p>
    <w:p>
      <w:pPr>
        <w:pStyle w:val="BodyText"/>
        <w:spacing w:line="20" w:lineRule="exact"/>
        <w:ind w:left="-12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93460" cy="1270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93460" cy="12700"/>
                          <a:chExt cx="6093460" cy="12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934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3460" h="12700">
                                <a:moveTo>
                                  <a:pt x="6092952" y="0"/>
                                </a:moveTo>
                                <a:lnTo>
                                  <a:pt x="4230624" y="0"/>
                                </a:lnTo>
                                <a:lnTo>
                                  <a:pt x="4227576" y="0"/>
                                </a:lnTo>
                                <a:lnTo>
                                  <a:pt x="4218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4218432" y="12192"/>
                                </a:lnTo>
                                <a:lnTo>
                                  <a:pt x="4227576" y="12192"/>
                                </a:lnTo>
                                <a:lnTo>
                                  <a:pt x="4230624" y="12192"/>
                                </a:lnTo>
                                <a:lnTo>
                                  <a:pt x="6092952" y="12192"/>
                                </a:lnTo>
                                <a:lnTo>
                                  <a:pt x="609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8pt;height:1pt;mso-position-horizontal-relative:char;mso-position-vertical-relative:line" id="docshapegroup2" coordorigin="0,0" coordsize="9596,20">
                <v:shape style="position:absolute;left:0;top:0;width:9596;height:20" id="docshape3" coordorigin="0,0" coordsize="9596,20" path="m9595,0l6662,0,6658,0,6643,0,0,0,0,19,6643,19,6658,19,6662,19,9595,19,959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6"/>
        <w:rPr>
          <w:b/>
        </w:rPr>
      </w:pPr>
    </w:p>
    <w:p>
      <w:pPr>
        <w:pStyle w:val="Heading1"/>
        <w:rPr>
          <w:u w:val="none"/>
        </w:rPr>
      </w:pPr>
      <w:r>
        <w:rPr>
          <w:u w:val="thick"/>
        </w:rPr>
        <w:t>Positions</w:t>
      </w:r>
      <w:r>
        <w:rPr>
          <w:spacing w:val="-2"/>
          <w:u w:val="thick"/>
        </w:rPr>
        <w:t> </w:t>
      </w:r>
      <w:r>
        <w:rPr>
          <w:spacing w:val="-4"/>
          <w:u w:val="thick"/>
        </w:rPr>
        <w:t>Held</w:t>
      </w:r>
    </w:p>
    <w:p>
      <w:pPr>
        <w:pStyle w:val="BodyText"/>
        <w:spacing w:line="360" w:lineRule="auto" w:before="142"/>
      </w:pP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tenure),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Virginia</w:t>
      </w:r>
      <w:r>
        <w:rPr>
          <w:spacing w:val="-4"/>
        </w:rPr>
        <w:t> </w:t>
      </w:r>
      <w:r>
        <w:rPr/>
        <w:t>Tech</w:t>
      </w:r>
      <w:r>
        <w:rPr>
          <w:spacing w:val="-3"/>
        </w:rPr>
        <w:t> </w:t>
      </w:r>
      <w:r>
        <w:rPr/>
        <w:t>(August</w:t>
      </w:r>
      <w:r>
        <w:rPr>
          <w:spacing w:val="-3"/>
        </w:rPr>
        <w:t> </w:t>
      </w:r>
      <w:r>
        <w:rPr/>
        <w:t>2014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). Assistant Professor, Department of Economics, Virginia Tech (August 2008 – July 2014).</w:t>
      </w:r>
    </w:p>
    <w:p>
      <w:pPr>
        <w:pStyle w:val="BodyText"/>
        <w:spacing w:line="274" w:lineRule="exact"/>
      </w:pPr>
      <w:r>
        <w:rPr/>
        <w:t>Affiliated</w:t>
      </w:r>
      <w:r>
        <w:rPr>
          <w:spacing w:val="-1"/>
        </w:rPr>
        <w:t> </w:t>
      </w:r>
      <w:r>
        <w:rPr/>
        <w:t>Faculty,</w:t>
      </w:r>
      <w:r>
        <w:rPr>
          <w:spacing w:val="-1"/>
        </w:rPr>
        <w:t> </w:t>
      </w:r>
      <w:r>
        <w:rPr/>
        <w:t>PPE</w:t>
      </w:r>
      <w:r>
        <w:rPr>
          <w:spacing w:val="-1"/>
        </w:rPr>
        <w:t> </w:t>
      </w:r>
      <w:r>
        <w:rPr/>
        <w:t>Program,</w:t>
      </w:r>
      <w:r>
        <w:rPr>
          <w:spacing w:val="-1"/>
        </w:rPr>
        <w:t> </w:t>
      </w:r>
      <w:r>
        <w:rPr/>
        <w:t>Virginia</w:t>
      </w:r>
      <w:r>
        <w:rPr>
          <w:spacing w:val="-2"/>
        </w:rPr>
        <w:t> </w:t>
      </w:r>
      <w:r>
        <w:rPr/>
        <w:t>Tech</w:t>
      </w:r>
      <w:r>
        <w:rPr>
          <w:spacing w:val="-1"/>
        </w:rPr>
        <w:t> </w:t>
      </w:r>
      <w:r>
        <w:rPr/>
        <w:t>(July</w:t>
      </w:r>
      <w:r>
        <w:rPr>
          <w:spacing w:val="-1"/>
        </w:rPr>
        <w:t> </w:t>
      </w:r>
      <w:r>
        <w:rPr/>
        <w:t>2020</w:t>
      </w:r>
      <w:r>
        <w:rPr>
          <w:spacing w:val="-2"/>
        </w:rPr>
        <w:t> </w:t>
      </w:r>
      <w:r>
        <w:rPr/>
        <w:t>– </w:t>
      </w:r>
      <w:r>
        <w:rPr>
          <w:spacing w:val="-5"/>
        </w:rPr>
        <w:t>).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rPr>
          <w:u w:val="none"/>
        </w:rPr>
      </w:pPr>
      <w:r>
        <w:rPr>
          <w:spacing w:val="-2"/>
          <w:u w:val="thick"/>
        </w:rPr>
        <w:t>Education</w:t>
      </w:r>
    </w:p>
    <w:p>
      <w:pPr>
        <w:pStyle w:val="BodyText"/>
        <w:spacing w:line="360" w:lineRule="auto" w:before="137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Seattle,</w:t>
      </w:r>
      <w:r>
        <w:rPr>
          <w:spacing w:val="-4"/>
        </w:rPr>
        <w:t> </w:t>
      </w:r>
      <w:r>
        <w:rPr/>
        <w:t>WA:</w:t>
      </w:r>
      <w:r>
        <w:rPr>
          <w:spacing w:val="-4"/>
        </w:rPr>
        <w:t> </w:t>
      </w:r>
      <w:r>
        <w:rPr/>
        <w:t>Ph.D.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2008.</w:t>
      </w:r>
      <w:r>
        <w:rPr>
          <w:spacing w:val="40"/>
        </w:rPr>
        <w:t> </w:t>
      </w:r>
      <w:r>
        <w:rPr/>
        <w:t>(Chair:</w:t>
      </w:r>
      <w:r>
        <w:rPr>
          <w:spacing w:val="-4"/>
        </w:rPr>
        <w:t> </w:t>
      </w:r>
      <w:r>
        <w:rPr/>
        <w:t>Richard</w:t>
      </w:r>
      <w:r>
        <w:rPr>
          <w:spacing w:val="-4"/>
        </w:rPr>
        <w:t> </w:t>
      </w:r>
      <w:r>
        <w:rPr/>
        <w:t>Startz). University of Hong Kong, Hong Kong: Bachelor of Economics and Finance, 2003.</w:t>
      </w:r>
    </w:p>
    <w:p>
      <w:pPr>
        <w:pStyle w:val="BodyText"/>
        <w:spacing w:before="139"/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Research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Interests</w:t>
      </w:r>
    </w:p>
    <w:p>
      <w:pPr>
        <w:pStyle w:val="BodyText"/>
        <w:spacing w:before="136"/>
      </w:pPr>
      <w:r>
        <w:rPr/>
        <w:t>Macroeconomics,</w:t>
      </w:r>
      <w:r>
        <w:rPr>
          <w:spacing w:val="-5"/>
        </w:rPr>
        <w:t> </w:t>
      </w:r>
      <w:r>
        <w:rPr/>
        <w:t>Housing</w:t>
      </w:r>
      <w:r>
        <w:rPr>
          <w:spacing w:val="-3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Finance,</w:t>
      </w:r>
      <w:r>
        <w:rPr>
          <w:spacing w:val="-3"/>
        </w:rPr>
        <w:t> </w:t>
      </w:r>
      <w:r>
        <w:rPr/>
        <w:t>Adam</w:t>
      </w:r>
      <w:r>
        <w:rPr>
          <w:spacing w:val="-2"/>
        </w:rPr>
        <w:t> Smith.</w:t>
      </w:r>
    </w:p>
    <w:p>
      <w:pPr>
        <w:pStyle w:val="BodyText"/>
        <w:spacing w:before="274"/>
      </w:pPr>
    </w:p>
    <w:p>
      <w:pPr>
        <w:pStyle w:val="Heading1"/>
        <w:rPr>
          <w:u w:val="none"/>
        </w:rPr>
      </w:pPr>
      <w:r>
        <w:rPr>
          <w:u w:val="thick"/>
        </w:rPr>
        <w:t>Courses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Taught</w:t>
      </w:r>
    </w:p>
    <w:p>
      <w:pPr>
        <w:pStyle w:val="BodyText"/>
        <w:spacing w:line="360" w:lineRule="auto" w:before="142"/>
      </w:pPr>
      <w:r>
        <w:rPr/>
        <w:t>Undergraduate:</w:t>
      </w:r>
      <w:r>
        <w:rPr>
          <w:spacing w:val="-6"/>
        </w:rPr>
        <w:t> </w:t>
      </w:r>
      <w:r>
        <w:rPr/>
        <w:t>Intermediate</w:t>
      </w:r>
      <w:r>
        <w:rPr>
          <w:spacing w:val="-7"/>
        </w:rPr>
        <w:t> </w:t>
      </w:r>
      <w:r>
        <w:rPr/>
        <w:t>Macroeconomics,</w:t>
      </w:r>
      <w:r>
        <w:rPr>
          <w:spacing w:val="-6"/>
        </w:rPr>
        <w:t> </w:t>
      </w:r>
      <w:r>
        <w:rPr/>
        <w:t>Managerial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Money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Banking, Economics and Moral Philosophy of Adam Smith.</w:t>
      </w:r>
    </w:p>
    <w:p>
      <w:pPr>
        <w:pStyle w:val="BodyText"/>
        <w:spacing w:line="274" w:lineRule="exact"/>
      </w:pPr>
      <w:r>
        <w:rPr/>
        <w:t>Graduate:</w:t>
      </w:r>
      <w:r>
        <w:rPr>
          <w:spacing w:val="-5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Theory,</w:t>
      </w:r>
      <w:r>
        <w:rPr>
          <w:spacing w:val="-3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Topics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Macroeconomics,</w:t>
      </w:r>
      <w:r>
        <w:rPr>
          <w:spacing w:val="-3"/>
        </w:rPr>
        <w:t> </w:t>
      </w:r>
      <w:r>
        <w:rPr/>
        <w:t>Monetary</w:t>
      </w:r>
      <w:r>
        <w:rPr>
          <w:spacing w:val="-2"/>
        </w:rPr>
        <w:t> Economics.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rPr>
          <w:u w:val="none"/>
        </w:rPr>
      </w:pPr>
      <w:r>
        <w:rPr>
          <w:u w:val="thick"/>
        </w:rPr>
        <w:t>Peer-Reviewed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Publications</w:t>
      </w:r>
    </w:p>
    <w:p>
      <w:pPr>
        <w:spacing w:line="360" w:lineRule="auto" w:before="137"/>
        <w:ind w:left="0" w:right="702" w:firstLine="0"/>
        <w:jc w:val="left"/>
        <w:rPr>
          <w:sz w:val="24"/>
        </w:rPr>
      </w:pP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Yang,</w:t>
      </w:r>
      <w:r>
        <w:rPr>
          <w:spacing w:val="-3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(forthcoming):</w:t>
      </w:r>
      <w:r>
        <w:rPr>
          <w:spacing w:val="-4"/>
          <w:sz w:val="24"/>
        </w:rPr>
        <w:t> </w:t>
      </w:r>
      <w:r>
        <w:rPr>
          <w:sz w:val="24"/>
        </w:rPr>
        <w:t>“Agree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Disagree:</w:t>
      </w:r>
      <w:r>
        <w:rPr>
          <w:spacing w:val="-3"/>
          <w:sz w:val="24"/>
        </w:rPr>
        <w:t> </w:t>
      </w:r>
      <w:r>
        <w:rPr>
          <w:sz w:val="24"/>
        </w:rPr>
        <w:t>Measuring</w:t>
      </w:r>
      <w:r>
        <w:rPr>
          <w:spacing w:val="-3"/>
          <w:sz w:val="24"/>
        </w:rPr>
        <w:t> </w:t>
      </w:r>
      <w:r>
        <w:rPr>
          <w:sz w:val="24"/>
        </w:rPr>
        <w:t>Hidden</w:t>
      </w:r>
      <w:r>
        <w:rPr>
          <w:spacing w:val="-3"/>
          <w:sz w:val="24"/>
        </w:rPr>
        <w:t> </w:t>
      </w:r>
      <w:r>
        <w:rPr>
          <w:sz w:val="24"/>
        </w:rPr>
        <w:t>Dissents</w:t>
      </w:r>
      <w:r>
        <w:rPr>
          <w:spacing w:val="-3"/>
          <w:sz w:val="24"/>
        </w:rPr>
        <w:t> </w:t>
      </w:r>
      <w:r>
        <w:rPr>
          <w:sz w:val="24"/>
        </w:rPr>
        <w:t>in FOMC Meetings,” </w:t>
      </w:r>
      <w:r>
        <w:rPr>
          <w:i/>
          <w:sz w:val="24"/>
        </w:rPr>
        <w:t>Journal of Economic Dynamics and Control</w:t>
      </w:r>
      <w:r>
        <w:rPr>
          <w:sz w:val="24"/>
        </w:rPr>
        <w:t>.</w:t>
      </w:r>
    </w:p>
    <w:p>
      <w:pPr>
        <w:spacing w:line="360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Lai,</w:t>
      </w:r>
      <w:r>
        <w:rPr>
          <w:spacing w:val="-3"/>
          <w:sz w:val="24"/>
        </w:rPr>
        <w:t> </w:t>
      </w:r>
      <w:r>
        <w:rPr>
          <w:sz w:val="24"/>
        </w:rPr>
        <w:t>T.,</w:t>
      </w:r>
      <w:r>
        <w:rPr>
          <w:spacing w:val="-3"/>
          <w:sz w:val="24"/>
        </w:rPr>
        <w:t> </w:t>
      </w:r>
      <w:r>
        <w:rPr>
          <w:sz w:val="24"/>
        </w:rPr>
        <w:t>Ng,</w:t>
      </w:r>
      <w:r>
        <w:rPr>
          <w:spacing w:val="-3"/>
          <w:sz w:val="24"/>
        </w:rPr>
        <w:t> </w:t>
      </w:r>
      <w:r>
        <w:rPr>
          <w:sz w:val="24"/>
        </w:rPr>
        <w:t>T.,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(forthcoming):</w:t>
      </w:r>
      <w:r>
        <w:rPr>
          <w:spacing w:val="-4"/>
          <w:sz w:val="24"/>
        </w:rPr>
        <w:t> </w:t>
      </w:r>
      <w:r>
        <w:rPr>
          <w:sz w:val="24"/>
        </w:rPr>
        <w:t>“Do</w:t>
      </w:r>
      <w:r>
        <w:rPr>
          <w:spacing w:val="-3"/>
          <w:sz w:val="24"/>
        </w:rPr>
        <w:t> </w:t>
      </w:r>
      <w:r>
        <w:rPr>
          <w:sz w:val="24"/>
        </w:rPr>
        <w:t>Foreign</w:t>
      </w:r>
      <w:r>
        <w:rPr>
          <w:spacing w:val="-3"/>
          <w:sz w:val="24"/>
        </w:rPr>
        <w:t> </w:t>
      </w:r>
      <w:r>
        <w:rPr>
          <w:sz w:val="24"/>
        </w:rPr>
        <w:t>Firms</w:t>
      </w:r>
      <w:r>
        <w:rPr>
          <w:spacing w:val="-3"/>
          <w:sz w:val="24"/>
        </w:rPr>
        <w:t> </w:t>
      </w:r>
      <w:r>
        <w:rPr>
          <w:sz w:val="24"/>
        </w:rPr>
        <w:t>Cater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Investors' Dividend Desires?” </w:t>
      </w:r>
      <w:r>
        <w:rPr>
          <w:i/>
          <w:sz w:val="24"/>
        </w:rPr>
        <w:t>Journal of International Money and Finance</w:t>
      </w:r>
      <w:r>
        <w:rPr>
          <w:sz w:val="24"/>
        </w:rPr>
        <w:t>.</w:t>
      </w:r>
    </w:p>
    <w:p>
      <w:pPr>
        <w:spacing w:line="360" w:lineRule="auto" w:before="0"/>
        <w:ind w:left="0" w:right="702" w:firstLine="0"/>
        <w:jc w:val="left"/>
        <w:rPr>
          <w:sz w:val="24"/>
        </w:rPr>
      </w:pP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(2023):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Rise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'Invisible</w:t>
      </w:r>
      <w:r>
        <w:rPr>
          <w:spacing w:val="-4"/>
          <w:sz w:val="24"/>
        </w:rPr>
        <w:t> </w:t>
      </w:r>
      <w:r>
        <w:rPr>
          <w:sz w:val="24"/>
        </w:rPr>
        <w:t>Hand'</w:t>
      </w:r>
      <w:r>
        <w:rPr>
          <w:spacing w:val="-3"/>
          <w:sz w:val="24"/>
        </w:rPr>
        <w:t> </w:t>
      </w:r>
      <w:r>
        <w:rPr>
          <w:sz w:val="24"/>
        </w:rPr>
        <w:t>Metaphor,”</w:t>
      </w:r>
      <w:r>
        <w:rPr>
          <w:spacing w:val="-3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Ideas</w:t>
      </w:r>
      <w:r>
        <w:rPr>
          <w:sz w:val="24"/>
        </w:rPr>
        <w:t>, Anno XXXI, 2023/1, 67-85.</w:t>
      </w:r>
    </w:p>
    <w:p>
      <w:pPr>
        <w:pStyle w:val="BodyText"/>
        <w:spacing w:line="360" w:lineRule="auto"/>
        <w:ind w:right="402"/>
      </w:pPr>
      <w:r>
        <w:rPr/>
        <w:t>Check,</w:t>
      </w:r>
      <w:r>
        <w:rPr>
          <w:spacing w:val="-3"/>
        </w:rPr>
        <w:t> </w:t>
      </w:r>
      <w:r>
        <w:rPr/>
        <w:t>A.,</w:t>
      </w:r>
      <w:r>
        <w:rPr>
          <w:spacing w:val="-4"/>
        </w:rPr>
        <w:t> </w:t>
      </w:r>
      <w:r>
        <w:rPr/>
        <w:t>Lo,</w:t>
      </w:r>
      <w:r>
        <w:rPr>
          <w:spacing w:val="-3"/>
        </w:rPr>
        <w:t> </w:t>
      </w:r>
      <w:r>
        <w:rPr/>
        <w:t>M.,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(2023):</w:t>
      </w:r>
      <w:r>
        <w:rPr>
          <w:spacing w:val="-3"/>
        </w:rPr>
        <w:t> </w:t>
      </w:r>
      <w:r>
        <w:rPr/>
        <w:t>“Which</w:t>
      </w:r>
      <w:r>
        <w:rPr>
          <w:spacing w:val="-3"/>
        </w:rPr>
        <w:t> </w:t>
      </w:r>
      <w:r>
        <w:rPr/>
        <w:t>Unit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Tests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Better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Univariate Time Series Forecasts?” </w:t>
      </w:r>
      <w:r>
        <w:rPr>
          <w:i/>
        </w:rPr>
        <w:t>Economics Bulletin</w:t>
      </w:r>
      <w:r>
        <w:rPr/>
        <w:t>, vol. 43(1), 203-244.</w:t>
      </w:r>
    </w:p>
    <w:p>
      <w:pPr>
        <w:pStyle w:val="BodyText"/>
        <w:spacing w:after="0" w:line="360" w:lineRule="auto"/>
        <w:sectPr>
          <w:type w:val="continuous"/>
          <w:pgSz w:w="12240" w:h="15840"/>
          <w:pgMar w:header="0" w:footer="1038" w:top="1380" w:bottom="1220" w:left="1440" w:right="1080"/>
        </w:sectPr>
      </w:pPr>
    </w:p>
    <w:p>
      <w:pPr>
        <w:pStyle w:val="BodyText"/>
        <w:spacing w:line="360" w:lineRule="auto" w:before="61"/>
        <w:ind w:right="702"/>
      </w:pPr>
      <w:r>
        <w:rPr/>
        <w:t>Sun,</w:t>
      </w:r>
      <w:r>
        <w:rPr>
          <w:spacing w:val="-3"/>
        </w:rPr>
        <w:t> </w:t>
      </w:r>
      <w:r>
        <w:rPr/>
        <w:t>X.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(2022):</w:t>
      </w:r>
      <w:r>
        <w:rPr>
          <w:spacing w:val="-4"/>
        </w:rPr>
        <w:t> </w:t>
      </w:r>
      <w:r>
        <w:rPr/>
        <w:t>“Yield</w:t>
      </w:r>
      <w:r>
        <w:rPr>
          <w:spacing w:val="-3"/>
        </w:rPr>
        <w:t> </w:t>
      </w:r>
      <w:r>
        <w:rPr/>
        <w:t>Curve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Macroeconomy: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DSGE Model with Housing,” </w:t>
      </w:r>
      <w:r>
        <w:rPr>
          <w:i/>
        </w:rPr>
        <w:t>Journal of Macroeconomics</w:t>
      </w:r>
      <w:r>
        <w:rPr/>
        <w:t>, vol. 75, 103484.</w:t>
      </w:r>
    </w:p>
    <w:p>
      <w:pPr>
        <w:pStyle w:val="BodyText"/>
        <w:spacing w:line="360" w:lineRule="auto"/>
        <w:ind w:right="702"/>
      </w:pPr>
      <w:r>
        <w:rPr/>
        <w:t>Wong, K.M. &amp; Tsang, K.P. (2022) “Inclusions and Exclusions of Stocks in Cross-Border Investments: The Case of Stock Connect,” forthcoming at </w:t>
      </w:r>
      <w:r>
        <w:rPr>
          <w:i/>
        </w:rPr>
        <w:t>Asia-Pacific Financial Markets</w:t>
      </w:r>
      <w:r>
        <w:rPr/>
        <w:t>. Ng,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Y.,</w:t>
      </w:r>
      <w:r>
        <w:rPr>
          <w:spacing w:val="-3"/>
        </w:rPr>
        <w:t> </w:t>
      </w:r>
      <w:r>
        <w:rPr/>
        <w:t>Chan,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H.,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Y.</w:t>
      </w:r>
      <w:r>
        <w:rPr>
          <w:spacing w:val="-3"/>
        </w:rPr>
        <w:t> </w:t>
      </w:r>
      <w:r>
        <w:rPr/>
        <w:t>Leung</w:t>
      </w:r>
      <w:r>
        <w:rPr>
          <w:spacing w:val="-3"/>
        </w:rPr>
        <w:t> </w:t>
      </w:r>
      <w:r>
        <w:rPr/>
        <w:t>(2022):</w:t>
      </w:r>
      <w:r>
        <w:rPr>
          <w:spacing w:val="-3"/>
        </w:rPr>
        <w:t> </w:t>
      </w:r>
      <w:r>
        <w:rPr/>
        <w:t>“Greenfield</w:t>
      </w:r>
      <w:r>
        <w:rPr>
          <w:spacing w:val="-3"/>
        </w:rPr>
        <w:t> </w:t>
      </w:r>
      <w:r>
        <w:rPr/>
        <w:t>Foreign</w:t>
      </w:r>
      <w:r>
        <w:rPr>
          <w:spacing w:val="-3"/>
        </w:rPr>
        <w:t> </w:t>
      </w:r>
      <w:r>
        <w:rPr/>
        <w:t>Direct</w:t>
      </w:r>
    </w:p>
    <w:p>
      <w:pPr>
        <w:spacing w:line="360" w:lineRule="auto" w:before="0"/>
        <w:ind w:left="0" w:right="281" w:firstLine="0"/>
        <w:jc w:val="left"/>
        <w:rPr>
          <w:sz w:val="24"/>
        </w:rPr>
      </w:pPr>
      <w:r>
        <w:rPr>
          <w:sz w:val="24"/>
        </w:rPr>
        <w:t>Investment: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z w:val="24"/>
        </w:rPr>
        <w:t>Drives</w:t>
      </w:r>
      <w:r>
        <w:rPr>
          <w:spacing w:val="-4"/>
          <w:sz w:val="24"/>
        </w:rPr>
        <w:t> </w:t>
      </w:r>
      <w:r>
        <w:rPr>
          <w:sz w:val="24"/>
        </w:rPr>
        <w:t>Persistence,”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 vol. 126, 102641.</w:t>
      </w:r>
    </w:p>
    <w:p>
      <w:pPr>
        <w:pStyle w:val="BodyText"/>
        <w:spacing w:line="360" w:lineRule="auto" w:before="2"/>
        <w:ind w:right="702"/>
      </w:pPr>
      <w:r>
        <w:rPr/>
        <w:t>Leung, T.C., Tsang, K.P. &amp; Kevin K. Tsui (2021): “Collusion in Private Procurement: How Does</w:t>
      </w:r>
      <w:r>
        <w:rPr>
          <w:spacing w:val="-4"/>
        </w:rPr>
        <w:t> </w:t>
      </w:r>
      <w:r>
        <w:rPr/>
        <w:t>Mandatory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Repair</w:t>
      </w:r>
      <w:r>
        <w:rPr>
          <w:spacing w:val="-4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Renovation</w:t>
      </w:r>
      <w:r>
        <w:rPr>
          <w:spacing w:val="-4"/>
        </w:rPr>
        <w:t> </w:t>
      </w:r>
      <w:r>
        <w:rPr/>
        <w:t>Prices?”</w:t>
      </w:r>
      <w:r>
        <w:rPr>
          <w:spacing w:val="-4"/>
        </w:rPr>
        <w:t> </w:t>
      </w:r>
      <w:r>
        <w:rPr>
          <w:i/>
        </w:rPr>
        <w:t>Singapore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Review</w:t>
      </w:r>
      <w:r>
        <w:rPr/>
        <w:t>, 57(5), 1759 – 1779.</w:t>
      </w:r>
    </w:p>
    <w:p>
      <w:pPr>
        <w:spacing w:line="362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Yang,</w:t>
      </w:r>
      <w:r>
        <w:rPr>
          <w:spacing w:val="-3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(2022):</w:t>
      </w:r>
      <w:r>
        <w:rPr>
          <w:spacing w:val="-4"/>
          <w:sz w:val="24"/>
        </w:rPr>
        <w:t> </w:t>
      </w:r>
      <w:r>
        <w:rPr>
          <w:sz w:val="24"/>
        </w:rPr>
        <w:t>“Do</w:t>
      </w:r>
      <w:r>
        <w:rPr>
          <w:spacing w:val="-3"/>
          <w:sz w:val="24"/>
        </w:rPr>
        <w:t> </w:t>
      </w:r>
      <w:r>
        <w:rPr>
          <w:sz w:val="24"/>
        </w:rPr>
        <w:t>Connections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Off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Bitcoin</w:t>
      </w:r>
      <w:r>
        <w:rPr>
          <w:spacing w:val="-3"/>
          <w:sz w:val="24"/>
        </w:rPr>
        <w:t> </w:t>
      </w:r>
      <w:r>
        <w:rPr>
          <w:sz w:val="24"/>
        </w:rPr>
        <w:t>Market?”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Empirical Finance</w:t>
      </w:r>
      <w:r>
        <w:rPr>
          <w:sz w:val="24"/>
        </w:rPr>
        <w:t>, vol. 67, 1-18</w:t>
      </w:r>
    </w:p>
    <w:p>
      <w:pPr>
        <w:spacing w:line="360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Yang,</w:t>
      </w:r>
      <w:r>
        <w:rPr>
          <w:spacing w:val="-3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(2021):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Bitcoin</w:t>
      </w:r>
      <w:r>
        <w:rPr>
          <w:spacing w:val="-3"/>
          <w:sz w:val="24"/>
        </w:rPr>
        <w:t> </w:t>
      </w:r>
      <w:r>
        <w:rPr>
          <w:sz w:val="24"/>
        </w:rPr>
        <w:t>Transactions,”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International Financial Markets, Institutions &amp; Money</w:t>
      </w:r>
      <w:r>
        <w:rPr>
          <w:sz w:val="24"/>
        </w:rPr>
        <w:t>, vol. 71, 101282.</w:t>
      </w:r>
    </w:p>
    <w:p>
      <w:pPr>
        <w:spacing w:line="362" w:lineRule="auto" w:before="0"/>
        <w:ind w:left="0" w:right="0" w:firstLine="0"/>
        <w:jc w:val="left"/>
        <w:rPr>
          <w:i/>
          <w:sz w:val="24"/>
        </w:rPr>
      </w:pPr>
      <w:r>
        <w:rPr>
          <w:sz w:val="24"/>
        </w:rPr>
        <w:t>Solat,</w:t>
      </w:r>
      <w:r>
        <w:rPr>
          <w:spacing w:val="-4"/>
          <w:sz w:val="24"/>
        </w:rPr>
        <w:t> </w:t>
      </w:r>
      <w:r>
        <w:rPr>
          <w:sz w:val="24"/>
        </w:rPr>
        <w:t>Karo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Tsang,</w:t>
      </w:r>
      <w:r>
        <w:rPr>
          <w:spacing w:val="-4"/>
          <w:sz w:val="24"/>
        </w:rPr>
        <w:t> </w:t>
      </w:r>
      <w:r>
        <w:rPr>
          <w:sz w:val="24"/>
        </w:rPr>
        <w:t>K.P.</w:t>
      </w:r>
      <w:r>
        <w:rPr>
          <w:spacing w:val="-4"/>
          <w:sz w:val="24"/>
        </w:rPr>
        <w:t> </w:t>
      </w:r>
      <w:r>
        <w:rPr>
          <w:sz w:val="24"/>
        </w:rPr>
        <w:t>(2020):</w:t>
      </w:r>
      <w:r>
        <w:rPr>
          <w:spacing w:val="-5"/>
          <w:sz w:val="24"/>
        </w:rPr>
        <w:t> </w:t>
      </w:r>
      <w:r>
        <w:rPr>
          <w:sz w:val="24"/>
        </w:rPr>
        <w:t>“Forecasting</w:t>
      </w:r>
      <w:r>
        <w:rPr>
          <w:spacing w:val="-4"/>
          <w:sz w:val="24"/>
        </w:rPr>
        <w:t> </w:t>
      </w:r>
      <w:r>
        <w:rPr>
          <w:sz w:val="24"/>
        </w:rPr>
        <w:t>Exchange</w:t>
      </w:r>
      <w:r>
        <w:rPr>
          <w:spacing w:val="-5"/>
          <w:sz w:val="24"/>
        </w:rPr>
        <w:t> </w:t>
      </w:r>
      <w:r>
        <w:rPr>
          <w:sz w:val="24"/>
        </w:rPr>
        <w:t>Rates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Generalized</w:t>
      </w:r>
      <w:r>
        <w:rPr>
          <w:spacing w:val="-4"/>
          <w:sz w:val="24"/>
        </w:rPr>
        <w:t> </w:t>
      </w:r>
      <w:r>
        <w:rPr>
          <w:sz w:val="24"/>
        </w:rPr>
        <w:t>Principal Components,” </w:t>
      </w:r>
      <w:r>
        <w:rPr>
          <w:i/>
          <w:sz w:val="24"/>
        </w:rPr>
        <w:t>International Journal of Forecasting </w:t>
      </w:r>
      <w:r>
        <w:rPr>
          <w:sz w:val="24"/>
        </w:rPr>
        <w:t>vol. 37(3), 1085-1091</w:t>
      </w:r>
      <w:r>
        <w:rPr>
          <w:i/>
          <w:sz w:val="24"/>
        </w:rPr>
        <w:t>.</w:t>
      </w:r>
    </w:p>
    <w:p>
      <w:pPr>
        <w:pStyle w:val="BodyText"/>
        <w:spacing w:line="360" w:lineRule="auto"/>
        <w:ind w:right="281"/>
      </w:pP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Yang,</w:t>
      </w:r>
      <w:r>
        <w:rPr>
          <w:spacing w:val="-3"/>
        </w:rPr>
        <w:t> </w:t>
      </w:r>
      <w:r>
        <w:rPr/>
        <w:t>Z.</w:t>
      </w:r>
      <w:r>
        <w:rPr>
          <w:spacing w:val="-3"/>
        </w:rPr>
        <w:t> </w:t>
      </w:r>
      <w:r>
        <w:rPr/>
        <w:t>(2020):</w:t>
      </w:r>
      <w:r>
        <w:rPr>
          <w:spacing w:val="-4"/>
        </w:rPr>
        <w:t> </w:t>
      </w:r>
      <w:r>
        <w:rPr/>
        <w:t>“Price</w:t>
      </w:r>
      <w:r>
        <w:rPr>
          <w:spacing w:val="-3"/>
        </w:rPr>
        <w:t> </w:t>
      </w:r>
      <w:r>
        <w:rPr/>
        <w:t>Dispersion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Bitcoin</w:t>
      </w:r>
      <w:r>
        <w:rPr>
          <w:spacing w:val="-3"/>
        </w:rPr>
        <w:t> </w:t>
      </w:r>
      <w:r>
        <w:rPr/>
        <w:t>Exchanges,”</w:t>
      </w:r>
      <w:r>
        <w:rPr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Letters</w:t>
      </w:r>
      <w:r>
        <w:rPr/>
        <w:t>,</w:t>
      </w:r>
      <w:r>
        <w:rPr>
          <w:spacing w:val="-3"/>
        </w:rPr>
        <w:t> </w:t>
      </w:r>
      <w:r>
        <w:rPr/>
        <w:t>vol. 194 Article 109379.</w:t>
      </w:r>
    </w:p>
    <w:p>
      <w:pPr>
        <w:pStyle w:val="BodyText"/>
        <w:spacing w:line="274" w:lineRule="exact"/>
      </w:pPr>
      <w:r>
        <w:rPr/>
        <w:t>Luo,</w:t>
      </w:r>
      <w:r>
        <w:rPr>
          <w:spacing w:val="-3"/>
        </w:rPr>
        <w:t> </w:t>
      </w:r>
      <w:r>
        <w:rPr/>
        <w:t>S.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Tsang, K.P.</w:t>
      </w:r>
      <w:r>
        <w:rPr>
          <w:spacing w:val="-1"/>
        </w:rPr>
        <w:t> </w:t>
      </w:r>
      <w:r>
        <w:rPr/>
        <w:t>(2020):</w:t>
      </w:r>
      <w:r>
        <w:rPr>
          <w:spacing w:val="-2"/>
        </w:rPr>
        <w:t> </w:t>
      </w:r>
      <w:r>
        <w:rPr/>
        <w:t>“Elasticity</w:t>
      </w:r>
      <w:r>
        <w:rPr>
          <w:spacing w:val="-1"/>
        </w:rPr>
        <w:t> </w:t>
      </w:r>
      <w:r>
        <w:rPr/>
        <w:t>of Attention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Optimal</w:t>
      </w:r>
      <w:r>
        <w:rPr>
          <w:spacing w:val="-1"/>
        </w:rPr>
        <w:t> </w:t>
      </w:r>
      <w:r>
        <w:rPr/>
        <w:t>Monetary </w:t>
      </w:r>
      <w:r>
        <w:rPr>
          <w:spacing w:val="-2"/>
        </w:rPr>
        <w:t>Policy,”</w:t>
      </w:r>
    </w:p>
    <w:p>
      <w:pPr>
        <w:spacing w:before="129"/>
        <w:ind w:left="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194</w:t>
      </w:r>
      <w:r>
        <w:rPr>
          <w:spacing w:val="-2"/>
          <w:sz w:val="24"/>
        </w:rPr>
        <w:t> </w:t>
      </w:r>
      <w:r>
        <w:rPr>
          <w:sz w:val="24"/>
        </w:rPr>
        <w:t>Article</w:t>
      </w:r>
      <w:r>
        <w:rPr>
          <w:spacing w:val="-2"/>
          <w:sz w:val="24"/>
        </w:rPr>
        <w:t> 109393.</w:t>
      </w:r>
    </w:p>
    <w:p>
      <w:pPr>
        <w:pStyle w:val="BodyText"/>
        <w:spacing w:line="360" w:lineRule="auto" w:before="137"/>
        <w:ind w:right="281"/>
      </w:pPr>
      <w:r>
        <w:rPr/>
        <w:t>Luo,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(2020):</w:t>
      </w:r>
      <w:r>
        <w:rPr>
          <w:spacing w:val="-4"/>
        </w:rPr>
        <w:t> </w:t>
      </w:r>
      <w:r>
        <w:rPr/>
        <w:t>“China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Hubei</w:t>
      </w:r>
      <w:r>
        <w:rPr>
          <w:spacing w:val="-3"/>
        </w:rPr>
        <w:t> </w:t>
      </w:r>
      <w:r>
        <w:rPr/>
        <w:t>Lockdown</w:t>
      </w:r>
      <w:r>
        <w:rPr>
          <w:spacing w:val="-3"/>
        </w:rPr>
        <w:t> </w:t>
      </w:r>
      <w:r>
        <w:rPr/>
        <w:t>During the Coronavirus Outbreak,” </w:t>
      </w:r>
      <w:r>
        <w:rPr>
          <w:i/>
        </w:rPr>
        <w:t>Contemporary Economic Policy</w:t>
      </w:r>
      <w:r>
        <w:rPr/>
        <w:t>, 38(4), 583-592.</w:t>
      </w:r>
    </w:p>
    <w:p>
      <w:pPr>
        <w:pStyle w:val="BodyText"/>
        <w:spacing w:line="360" w:lineRule="auto"/>
        <w:ind w:right="281"/>
      </w:pPr>
      <w:r>
        <w:rPr/>
        <w:t>Ashley,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Verbrugge,</w:t>
      </w:r>
      <w:r>
        <w:rPr>
          <w:spacing w:val="-3"/>
        </w:rPr>
        <w:t> </w:t>
      </w:r>
      <w:r>
        <w:rPr/>
        <w:t>R.J.</w:t>
      </w:r>
      <w:r>
        <w:rPr>
          <w:spacing w:val="-3"/>
        </w:rPr>
        <w:t> </w:t>
      </w:r>
      <w:r>
        <w:rPr/>
        <w:t>(2020):</w:t>
      </w:r>
      <w:r>
        <w:rPr>
          <w:spacing w:val="-4"/>
        </w:rPr>
        <w:t> </w:t>
      </w:r>
      <w:r>
        <w:rPr/>
        <w:t>“A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Historical</w:t>
      </w:r>
      <w:r>
        <w:rPr>
          <w:spacing w:val="-3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Policy (and the Great Inflation) Through the Lens of a Persistence-Dependent Policy Rule,” </w:t>
      </w:r>
      <w:r>
        <w:rPr>
          <w:i/>
        </w:rPr>
        <w:t>Oxford Economic Papers</w:t>
      </w:r>
      <w:r>
        <w:rPr/>
        <w:t>, 72(3), 672–691..</w:t>
      </w:r>
    </w:p>
    <w:p>
      <w:pPr>
        <w:pStyle w:val="BodyText"/>
        <w:spacing w:line="360" w:lineRule="auto"/>
        <w:ind w:right="320"/>
      </w:pPr>
      <w:r>
        <w:rPr/>
        <w:t>Leung,</w:t>
      </w:r>
      <w:r>
        <w:rPr>
          <w:spacing w:val="-3"/>
        </w:rPr>
        <w:t> </w:t>
      </w:r>
      <w:r>
        <w:rPr/>
        <w:t>T.C.,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Kevin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Tsui</w:t>
      </w:r>
      <w:r>
        <w:rPr>
          <w:spacing w:val="-3"/>
        </w:rPr>
        <w:t> </w:t>
      </w:r>
      <w:r>
        <w:rPr/>
        <w:t>(2019):</w:t>
      </w:r>
      <w:r>
        <w:rPr>
          <w:spacing w:val="-4"/>
        </w:rPr>
        <w:t> </w:t>
      </w:r>
      <w:r>
        <w:rPr/>
        <w:t>“What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Regulators</w:t>
      </w:r>
      <w:r>
        <w:rPr>
          <w:spacing w:val="-3"/>
        </w:rPr>
        <w:t> </w:t>
      </w:r>
      <w:r>
        <w:rPr/>
        <w:t>Deregulate?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Case of Electricity,” </w:t>
      </w:r>
      <w:r>
        <w:rPr>
          <w:i/>
        </w:rPr>
        <w:t>Journal of Regulatory Economics</w:t>
      </w:r>
      <w:r>
        <w:rPr/>
        <w:t>, vol. 56(1), pages 1-32.</w:t>
      </w:r>
    </w:p>
    <w:p>
      <w:pPr>
        <w:spacing w:line="360" w:lineRule="auto" w:before="2"/>
        <w:ind w:left="0" w:right="702" w:firstLine="0"/>
        <w:jc w:val="left"/>
        <w:rPr>
          <w:sz w:val="24"/>
        </w:rPr>
      </w:pPr>
      <w:r>
        <w:rPr>
          <w:sz w:val="24"/>
        </w:rPr>
        <w:t>Sun,</w:t>
      </w:r>
      <w:r>
        <w:rPr>
          <w:spacing w:val="-3"/>
          <w:sz w:val="24"/>
        </w:rPr>
        <w:t> </w:t>
      </w:r>
      <w:r>
        <w:rPr>
          <w:sz w:val="24"/>
        </w:rPr>
        <w:t>X.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(2019):</w:t>
      </w:r>
      <w:r>
        <w:rPr>
          <w:spacing w:val="-4"/>
          <w:sz w:val="24"/>
        </w:rPr>
        <w:t> </w:t>
      </w:r>
      <w:r>
        <w:rPr>
          <w:sz w:val="24"/>
        </w:rPr>
        <w:t>“Large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Movements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z w:val="24"/>
        </w:rPr>
        <w:t>Markets,”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 Behavior and Organization</w:t>
      </w:r>
      <w:r>
        <w:rPr>
          <w:sz w:val="24"/>
        </w:rPr>
        <w:t>, Volume 163, Pages 1-23.</w:t>
      </w:r>
    </w:p>
    <w:p>
      <w:pPr>
        <w:spacing w:line="360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Sun,</w:t>
      </w:r>
      <w:r>
        <w:rPr>
          <w:spacing w:val="-3"/>
          <w:sz w:val="24"/>
        </w:rPr>
        <w:t> </w:t>
      </w:r>
      <w:r>
        <w:rPr>
          <w:sz w:val="24"/>
        </w:rPr>
        <w:t>X.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(2018):</w:t>
      </w:r>
      <w:r>
        <w:rPr>
          <w:spacing w:val="-4"/>
          <w:sz w:val="24"/>
        </w:rPr>
        <w:t> </w:t>
      </w:r>
      <w:r>
        <w:rPr>
          <w:sz w:val="24"/>
        </w:rPr>
        <w:t>“What</w:t>
      </w:r>
      <w:r>
        <w:rPr>
          <w:spacing w:val="-3"/>
          <w:sz w:val="24"/>
        </w:rPr>
        <w:t> </w:t>
      </w:r>
      <w:r>
        <w:rPr>
          <w:sz w:val="24"/>
        </w:rPr>
        <w:t>Cycles?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Detrending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DSGE</w:t>
      </w:r>
      <w:r>
        <w:rPr>
          <w:spacing w:val="-3"/>
          <w:sz w:val="24"/>
        </w:rPr>
        <w:t> </w:t>
      </w:r>
      <w:r>
        <w:rPr>
          <w:sz w:val="24"/>
        </w:rPr>
        <w:t>Models”</w:t>
      </w:r>
      <w:r>
        <w:rPr>
          <w:spacing w:val="-3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 Nonlinear Dynamics &amp; Econometrics</w:t>
      </w:r>
      <w:r>
        <w:rPr>
          <w:sz w:val="24"/>
        </w:rPr>
        <w:t>, Volume 23, Issue 3.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header="0" w:footer="1038" w:top="1380" w:bottom="1220" w:left="1440" w:right="1080"/>
        </w:sectPr>
      </w:pPr>
    </w:p>
    <w:p>
      <w:pPr>
        <w:pStyle w:val="BodyText"/>
        <w:spacing w:line="360" w:lineRule="auto" w:before="61"/>
      </w:pPr>
      <w:r>
        <w:rPr/>
        <w:t>Sun,</w:t>
      </w:r>
      <w:r>
        <w:rPr>
          <w:spacing w:val="-3"/>
        </w:rPr>
        <w:t> </w:t>
      </w:r>
      <w:r>
        <w:rPr/>
        <w:t>X.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(2018):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Housing</w:t>
      </w:r>
      <w:r>
        <w:rPr>
          <w:spacing w:val="-3"/>
        </w:rPr>
        <w:t> </w:t>
      </w:r>
      <w:r>
        <w:rPr/>
        <w:t>Markets:</w:t>
      </w:r>
      <w:r>
        <w:rPr>
          <w:spacing w:val="-3"/>
        </w:rPr>
        <w:t> </w:t>
      </w:r>
      <w:r>
        <w:rPr/>
        <w:t>Do Regulations Matter?” </w:t>
      </w:r>
      <w:r>
        <w:rPr>
          <w:i/>
        </w:rPr>
        <w:t>Empirical Economics, </w:t>
      </w:r>
      <w:r>
        <w:rPr/>
        <w:t>54(3), 989-1015.</w:t>
      </w:r>
    </w:p>
    <w:p>
      <w:pPr>
        <w:spacing w:line="360" w:lineRule="auto" w:before="0"/>
        <w:ind w:left="0" w:right="702" w:firstLine="0"/>
        <w:jc w:val="left"/>
        <w:rPr>
          <w:i/>
          <w:sz w:val="24"/>
        </w:rPr>
      </w:pPr>
      <w:r>
        <w:rPr>
          <w:sz w:val="24"/>
        </w:rPr>
        <w:t>Sun,</w:t>
      </w:r>
      <w:r>
        <w:rPr>
          <w:spacing w:val="-3"/>
          <w:sz w:val="24"/>
        </w:rPr>
        <w:t> </w:t>
      </w:r>
      <w:r>
        <w:rPr>
          <w:sz w:val="24"/>
        </w:rPr>
        <w:t>X.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(2017):</w:t>
      </w:r>
      <w:r>
        <w:rPr>
          <w:spacing w:val="-4"/>
          <w:sz w:val="24"/>
        </w:rPr>
        <w:t> </w:t>
      </w:r>
      <w:r>
        <w:rPr>
          <w:sz w:val="24"/>
        </w:rPr>
        <w:t>“What</w:t>
      </w:r>
      <w:r>
        <w:rPr>
          <w:spacing w:val="-3"/>
          <w:sz w:val="24"/>
        </w:rPr>
        <w:t> </w:t>
      </w:r>
      <w:r>
        <w:rPr>
          <w:sz w:val="24"/>
        </w:rPr>
        <w:t>Drives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Owner-Occupied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Rental</w:t>
      </w:r>
      <w:r>
        <w:rPr>
          <w:spacing w:val="-3"/>
          <w:sz w:val="24"/>
        </w:rPr>
        <w:t> </w:t>
      </w:r>
      <w:r>
        <w:rPr>
          <w:sz w:val="24"/>
        </w:rPr>
        <w:t>Housing Markets?</w:t>
      </w:r>
      <w:r>
        <w:rPr>
          <w:spacing w:val="40"/>
          <w:sz w:val="24"/>
        </w:rPr>
        <w:t> </w:t>
      </w:r>
      <w:r>
        <w:rPr>
          <w:sz w:val="24"/>
        </w:rPr>
        <w:t>Evidence from an Estimated DSGE Model,” </w:t>
      </w:r>
      <w:r>
        <w:rPr>
          <w:i/>
          <w:sz w:val="24"/>
        </w:rPr>
        <w:t>Journal of Money, Credit and Banking, </w:t>
      </w:r>
      <w:r>
        <w:rPr>
          <w:sz w:val="24"/>
        </w:rPr>
        <w:t>49(2-3), 443-468</w:t>
      </w:r>
      <w:r>
        <w:rPr>
          <w:i/>
          <w:sz w:val="24"/>
        </w:rPr>
        <w:t>.</w:t>
      </w:r>
    </w:p>
    <w:p>
      <w:pPr>
        <w:spacing w:line="360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Wong,</w:t>
      </w:r>
      <w:r>
        <w:rPr>
          <w:spacing w:val="-3"/>
          <w:sz w:val="24"/>
        </w:rPr>
        <w:t> </w:t>
      </w:r>
      <w:r>
        <w:rPr>
          <w:sz w:val="24"/>
        </w:rPr>
        <w:t>K.M.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(2017):</w:t>
      </w:r>
      <w:r>
        <w:rPr>
          <w:spacing w:val="-4"/>
          <w:sz w:val="24"/>
        </w:rPr>
        <w:t> </w:t>
      </w:r>
      <w:r>
        <w:rPr>
          <w:sz w:val="24"/>
        </w:rPr>
        <w:t>“Does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Right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sz w:val="24"/>
        </w:rPr>
        <w:t>Matter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Defined</w:t>
      </w:r>
      <w:r>
        <w:rPr>
          <w:spacing w:val="-3"/>
          <w:sz w:val="24"/>
        </w:rPr>
        <w:t> </w:t>
      </w:r>
      <w:r>
        <w:rPr>
          <w:sz w:val="24"/>
        </w:rPr>
        <w:t>Contribution Plans?” </w:t>
      </w:r>
      <w:r>
        <w:rPr>
          <w:i/>
          <w:sz w:val="24"/>
        </w:rPr>
        <w:t>Contemporary Economic Policy, </w:t>
      </w:r>
      <w:r>
        <w:rPr>
          <w:sz w:val="24"/>
        </w:rPr>
        <w:t>35(2), 278-291.</w:t>
      </w:r>
    </w:p>
    <w:p>
      <w:pPr>
        <w:pStyle w:val="BodyText"/>
        <w:spacing w:line="360" w:lineRule="auto" w:before="2"/>
        <w:ind w:right="402"/>
      </w:pPr>
      <w:r>
        <w:rPr/>
        <w:t>Leung,</w:t>
      </w:r>
      <w:r>
        <w:rPr>
          <w:spacing w:val="-4"/>
        </w:rPr>
        <w:t> </w:t>
      </w:r>
      <w:r>
        <w:rPr/>
        <w:t>C.K.Y.,</w:t>
      </w:r>
      <w:r>
        <w:rPr>
          <w:spacing w:val="-4"/>
        </w:rPr>
        <w:t> </w:t>
      </w:r>
      <w:r>
        <w:rPr/>
        <w:t>Leung,</w:t>
      </w:r>
      <w:r>
        <w:rPr>
          <w:spacing w:val="-4"/>
        </w:rPr>
        <w:t> </w:t>
      </w:r>
      <w:r>
        <w:rPr/>
        <w:t>T.C.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Tsang,</w:t>
      </w:r>
      <w:r>
        <w:rPr>
          <w:spacing w:val="-4"/>
        </w:rPr>
        <w:t> </w:t>
      </w:r>
      <w:r>
        <w:rPr/>
        <w:t>K.P.</w:t>
      </w:r>
      <w:r>
        <w:rPr>
          <w:spacing w:val="-4"/>
        </w:rPr>
        <w:t> </w:t>
      </w:r>
      <w:r>
        <w:rPr/>
        <w:t>(2015):</w:t>
      </w:r>
      <w:r>
        <w:rPr>
          <w:spacing w:val="-5"/>
        </w:rPr>
        <w:t> </w:t>
      </w:r>
      <w:r>
        <w:rPr/>
        <w:t>“Tax-driven</w:t>
      </w:r>
      <w:r>
        <w:rPr>
          <w:spacing w:val="-4"/>
        </w:rPr>
        <w:t> </w:t>
      </w:r>
      <w:r>
        <w:rPr/>
        <w:t>Bunching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Housing</w:t>
      </w:r>
      <w:r>
        <w:rPr>
          <w:spacing w:val="-4"/>
        </w:rPr>
        <w:t> </w:t>
      </w:r>
      <w:r>
        <w:rPr/>
        <w:t>Market Transactions: the Case of Hong Kong,” </w:t>
      </w:r>
      <w:r>
        <w:rPr>
          <w:i/>
        </w:rPr>
        <w:t>International Real Estate Review, </w:t>
      </w:r>
      <w:r>
        <w:rPr/>
        <w:t>18(4), 473-501.</w:t>
      </w:r>
    </w:p>
    <w:p>
      <w:pPr>
        <w:pStyle w:val="BodyText"/>
        <w:spacing w:line="360" w:lineRule="auto"/>
        <w:ind w:right="702"/>
      </w:pPr>
      <w:r>
        <w:rPr/>
        <w:t>Sun,</w:t>
      </w:r>
      <w:r>
        <w:rPr>
          <w:spacing w:val="-3"/>
        </w:rPr>
        <w:t> </w:t>
      </w:r>
      <w:r>
        <w:rPr/>
        <w:t>X.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(2014):</w:t>
      </w:r>
      <w:r>
        <w:rPr>
          <w:spacing w:val="-4"/>
        </w:rPr>
        <w:t> </w:t>
      </w:r>
      <w:r>
        <w:rPr/>
        <w:t>“Optimal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Rate</w:t>
      </w:r>
      <w:r>
        <w:rPr>
          <w:spacing w:val="-4"/>
        </w:rPr>
        <w:t> </w:t>
      </w:r>
      <w:r>
        <w:rPr/>
        <w:t>Rule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DSGE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Housing Market Spillovers,” </w:t>
      </w:r>
      <w:r>
        <w:rPr>
          <w:i/>
        </w:rPr>
        <w:t>Economics Letters, </w:t>
      </w:r>
      <w:r>
        <w:rPr/>
        <w:t>125(1), 47-51.</w:t>
      </w:r>
    </w:p>
    <w:p>
      <w:pPr>
        <w:pStyle w:val="BodyText"/>
      </w:pPr>
      <w:r>
        <w:rPr/>
        <w:t>Dave,</w:t>
      </w:r>
      <w:r>
        <w:rPr>
          <w:spacing w:val="-4"/>
        </w:rPr>
        <w:t> </w:t>
      </w:r>
      <w:r>
        <w:rPr/>
        <w:t>C.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Tsang,</w:t>
      </w:r>
      <w:r>
        <w:rPr>
          <w:spacing w:val="-2"/>
        </w:rPr>
        <w:t> </w:t>
      </w:r>
      <w:r>
        <w:rPr/>
        <w:t>K.P.</w:t>
      </w:r>
      <w:r>
        <w:rPr>
          <w:spacing w:val="-1"/>
        </w:rPr>
        <w:t> </w:t>
      </w:r>
      <w:r>
        <w:rPr/>
        <w:t>(2014):</w:t>
      </w:r>
      <w:r>
        <w:rPr>
          <w:spacing w:val="-3"/>
        </w:rPr>
        <w:t> </w:t>
      </w:r>
      <w:r>
        <w:rPr/>
        <w:t>“Recursive</w:t>
      </w:r>
      <w:r>
        <w:rPr>
          <w:spacing w:val="-2"/>
        </w:rPr>
        <w:t> </w:t>
      </w:r>
      <w:r>
        <w:rPr/>
        <w:t>Preferences,</w:t>
      </w:r>
      <w:r>
        <w:rPr>
          <w:spacing w:val="-2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Deviations,”</w:t>
      </w:r>
    </w:p>
    <w:p>
      <w:pPr>
        <w:spacing w:before="137"/>
        <w:ind w:left="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124</w:t>
      </w:r>
      <w:r>
        <w:rPr>
          <w:spacing w:val="-2"/>
          <w:sz w:val="24"/>
        </w:rPr>
        <w:t> </w:t>
      </w:r>
      <w:r>
        <w:rPr>
          <w:sz w:val="24"/>
        </w:rPr>
        <w:t>(3),</w:t>
      </w:r>
      <w:r>
        <w:rPr>
          <w:spacing w:val="-1"/>
          <w:sz w:val="24"/>
        </w:rPr>
        <w:t> </w:t>
      </w:r>
      <w:r>
        <w:rPr>
          <w:sz w:val="24"/>
        </w:rPr>
        <w:t>329-</w:t>
      </w:r>
      <w:r>
        <w:rPr>
          <w:spacing w:val="-4"/>
          <w:sz w:val="24"/>
        </w:rPr>
        <w:t>334.</w:t>
      </w:r>
    </w:p>
    <w:p>
      <w:pPr>
        <w:pStyle w:val="BodyText"/>
        <w:spacing w:line="360" w:lineRule="auto" w:before="136"/>
      </w:pPr>
      <w:r>
        <w:rPr/>
        <w:t>Ashley,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Tsang,</w:t>
      </w:r>
      <w:r>
        <w:rPr>
          <w:spacing w:val="-4"/>
        </w:rPr>
        <w:t> </w:t>
      </w:r>
      <w:r>
        <w:rPr/>
        <w:t>K.P.</w:t>
      </w:r>
      <w:r>
        <w:rPr>
          <w:spacing w:val="-4"/>
        </w:rPr>
        <w:t> </w:t>
      </w:r>
      <w:r>
        <w:rPr/>
        <w:t>(2014):</w:t>
      </w:r>
      <w:r>
        <w:rPr>
          <w:spacing w:val="-5"/>
        </w:rPr>
        <w:t> </w:t>
      </w:r>
      <w:r>
        <w:rPr/>
        <w:t>“Credible</w:t>
      </w:r>
      <w:r>
        <w:rPr>
          <w:spacing w:val="-5"/>
        </w:rPr>
        <w:t> </w:t>
      </w:r>
      <w:r>
        <w:rPr/>
        <w:t>Granger-Causality</w:t>
      </w:r>
      <w:r>
        <w:rPr>
          <w:spacing w:val="-4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Modest</w:t>
      </w:r>
      <w:r>
        <w:rPr>
          <w:spacing w:val="-4"/>
        </w:rPr>
        <w:t> </w:t>
      </w:r>
      <w:r>
        <w:rPr/>
        <w:t>Sample Lengths: A Cross-Sample Validation Approach</w:t>
      </w:r>
      <w:r>
        <w:rPr>
          <w:color w:val="222222"/>
        </w:rPr>
        <w:t>,” </w:t>
      </w:r>
      <w:r>
        <w:rPr>
          <w:i/>
        </w:rPr>
        <w:t>Econometrics</w:t>
      </w:r>
      <w:r>
        <w:rPr/>
        <w:t>, </w:t>
      </w:r>
      <w:r>
        <w:rPr>
          <w:color w:val="222222"/>
        </w:rPr>
        <w:t>2(1), 72-91.</w:t>
      </w:r>
    </w:p>
    <w:p>
      <w:pPr>
        <w:pStyle w:val="BodyText"/>
        <w:spacing w:line="360" w:lineRule="auto" w:before="3"/>
        <w:ind w:right="1226"/>
        <w:rPr>
          <w:i/>
        </w:rPr>
      </w:pPr>
      <w:r>
        <w:rPr/>
        <w:t>Leung,</w:t>
      </w:r>
      <w:r>
        <w:rPr>
          <w:spacing w:val="-3"/>
        </w:rPr>
        <w:t> </w:t>
      </w:r>
      <w:r>
        <w:rPr/>
        <w:t>T.C.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(2013):</w:t>
      </w:r>
      <w:r>
        <w:rPr>
          <w:spacing w:val="-4"/>
        </w:rPr>
        <w:t> </w:t>
      </w:r>
      <w:r>
        <w:rPr/>
        <w:t>“Anchoring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Loss</w:t>
      </w:r>
      <w:r>
        <w:rPr>
          <w:spacing w:val="-3"/>
        </w:rPr>
        <w:t> </w:t>
      </w:r>
      <w:r>
        <w:rPr/>
        <w:t>Aversion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Housing Market: Implications on Price Dynamics?” </w:t>
      </w:r>
      <w:r>
        <w:rPr>
          <w:i/>
        </w:rPr>
        <w:t>China Economic Review</w:t>
      </w:r>
      <w:r>
        <w:rPr/>
        <w:t>, 24, 42-54</w:t>
      </w:r>
      <w:r>
        <w:rPr>
          <w:i/>
        </w:rPr>
        <w:t>.</w:t>
      </w:r>
    </w:p>
    <w:p>
      <w:pPr>
        <w:spacing w:line="360" w:lineRule="auto" w:before="0"/>
        <w:ind w:left="0" w:right="402" w:firstLine="0"/>
        <w:jc w:val="left"/>
        <w:rPr>
          <w:sz w:val="24"/>
        </w:rPr>
      </w:pPr>
      <w:r>
        <w:rPr>
          <w:sz w:val="24"/>
        </w:rPr>
        <w:t>Chen,</w:t>
      </w:r>
      <w:r>
        <w:rPr>
          <w:spacing w:val="-3"/>
          <w:sz w:val="24"/>
        </w:rPr>
        <w:t> </w:t>
      </w:r>
      <w:r>
        <w:rPr>
          <w:sz w:val="24"/>
        </w:rPr>
        <w:t>Y.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Tsang,</w:t>
      </w:r>
      <w:r>
        <w:rPr>
          <w:spacing w:val="-4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(2013):</w:t>
      </w:r>
      <w:r>
        <w:rPr>
          <w:spacing w:val="-4"/>
          <w:sz w:val="24"/>
        </w:rPr>
        <w:t> </w:t>
      </w:r>
      <w:r>
        <w:rPr>
          <w:sz w:val="24"/>
        </w:rPr>
        <w:t>“What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Yield</w:t>
      </w:r>
      <w:r>
        <w:rPr>
          <w:spacing w:val="-3"/>
          <w:sz w:val="24"/>
        </w:rPr>
        <w:t> </w:t>
      </w:r>
      <w:r>
        <w:rPr>
          <w:sz w:val="24"/>
        </w:rPr>
        <w:t>Curve</w:t>
      </w:r>
      <w:r>
        <w:rPr>
          <w:spacing w:val="-4"/>
          <w:sz w:val="24"/>
        </w:rPr>
        <w:t> </w:t>
      </w:r>
      <w:r>
        <w:rPr>
          <w:sz w:val="24"/>
        </w:rPr>
        <w:t>Tell</w:t>
      </w:r>
      <w:r>
        <w:rPr>
          <w:spacing w:val="-3"/>
          <w:sz w:val="24"/>
        </w:rPr>
        <w:t> </w:t>
      </w:r>
      <w:r>
        <w:rPr>
          <w:sz w:val="24"/>
        </w:rPr>
        <w:t>Us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Exchange</w:t>
      </w:r>
      <w:r>
        <w:rPr>
          <w:spacing w:val="-4"/>
          <w:sz w:val="24"/>
        </w:rPr>
        <w:t> </w:t>
      </w:r>
      <w:r>
        <w:rPr>
          <w:sz w:val="24"/>
        </w:rPr>
        <w:t>Rate Predictability?” </w:t>
      </w:r>
      <w:r>
        <w:rPr>
          <w:i/>
          <w:sz w:val="24"/>
        </w:rPr>
        <w:t>Review of Economics and Statistics</w:t>
      </w:r>
      <w:r>
        <w:rPr>
          <w:sz w:val="24"/>
        </w:rPr>
        <w:t>, 95(1), 185–205.</w:t>
      </w:r>
    </w:p>
    <w:p>
      <w:pPr>
        <w:pStyle w:val="BodyText"/>
        <w:spacing w:line="360" w:lineRule="auto"/>
        <w:ind w:right="702"/>
      </w:pPr>
      <w:r>
        <w:rPr/>
        <w:t>Leung,</w:t>
      </w:r>
      <w:r>
        <w:rPr>
          <w:spacing w:val="-4"/>
        </w:rPr>
        <w:t> </w:t>
      </w:r>
      <w:r>
        <w:rPr/>
        <w:t>T.C.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Tsang,</w:t>
      </w:r>
      <w:r>
        <w:rPr>
          <w:spacing w:val="-4"/>
        </w:rPr>
        <w:t> </w:t>
      </w:r>
      <w:r>
        <w:rPr/>
        <w:t>K.P.</w:t>
      </w:r>
      <w:r>
        <w:rPr>
          <w:spacing w:val="-4"/>
        </w:rPr>
        <w:t> </w:t>
      </w:r>
      <w:r>
        <w:rPr/>
        <w:t>(2013):</w:t>
      </w:r>
      <w:r>
        <w:rPr>
          <w:spacing w:val="-4"/>
        </w:rPr>
        <w:t> </w:t>
      </w:r>
      <w:r>
        <w:rPr/>
        <w:t>“Can</w:t>
      </w:r>
      <w:r>
        <w:rPr>
          <w:spacing w:val="-4"/>
        </w:rPr>
        <w:t> </w:t>
      </w:r>
      <w:r>
        <w:rPr/>
        <w:t>Anchoring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Loss</w:t>
      </w:r>
      <w:r>
        <w:rPr>
          <w:spacing w:val="-4"/>
        </w:rPr>
        <w:t> </w:t>
      </w:r>
      <w:r>
        <w:rPr/>
        <w:t>Aversion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the Predictability in the Housing Market?” </w:t>
      </w:r>
      <w:r>
        <w:rPr>
          <w:i/>
        </w:rPr>
        <w:t>Pacific Economic Review, </w:t>
      </w:r>
      <w:r>
        <w:rPr/>
        <w:t>18(1), 41-49.</w:t>
      </w:r>
    </w:p>
    <w:p>
      <w:pPr>
        <w:spacing w:line="360" w:lineRule="auto" w:before="0"/>
        <w:ind w:left="0" w:right="0" w:firstLine="0"/>
        <w:jc w:val="left"/>
        <w:rPr>
          <w:i/>
          <w:sz w:val="24"/>
        </w:rPr>
      </w:pPr>
      <w:r>
        <w:rPr>
          <w:sz w:val="24"/>
        </w:rPr>
        <w:t>Leung,</w:t>
      </w:r>
      <w:r>
        <w:rPr>
          <w:spacing w:val="-3"/>
          <w:sz w:val="24"/>
        </w:rPr>
        <w:t> </w:t>
      </w:r>
      <w:r>
        <w:rPr>
          <w:sz w:val="24"/>
        </w:rPr>
        <w:t>T.C.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(2012):</w:t>
      </w:r>
      <w:r>
        <w:rPr>
          <w:spacing w:val="-4"/>
          <w:sz w:val="24"/>
        </w:rPr>
        <w:t> </w:t>
      </w:r>
      <w:r>
        <w:rPr>
          <w:sz w:val="24"/>
        </w:rPr>
        <w:t>“Love</w:t>
      </w:r>
      <w:r>
        <w:rPr>
          <w:spacing w:val="-4"/>
          <w:sz w:val="24"/>
        </w:rPr>
        <w:t> </w:t>
      </w:r>
      <w:r>
        <w:rPr>
          <w:sz w:val="24"/>
        </w:rPr>
        <w:t>Thy</w:t>
      </w:r>
      <w:r>
        <w:rPr>
          <w:spacing w:val="-3"/>
          <w:sz w:val="24"/>
        </w:rPr>
        <w:t> </w:t>
      </w:r>
      <w:r>
        <w:rPr>
          <w:sz w:val="24"/>
        </w:rPr>
        <w:t>Neighbor: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Housing Preferences</w:t>
      </w:r>
      <w:r>
        <w:rPr>
          <w:sz w:val="24"/>
          <w:u w:val="single"/>
        </w:rPr>
        <w:t>"</w:t>
      </w:r>
      <w:r>
        <w:rPr>
          <w:sz w:val="24"/>
        </w:rPr>
        <w:t> </w:t>
      </w:r>
      <w:r>
        <w:rPr>
          <w:i/>
          <w:sz w:val="24"/>
        </w:rPr>
        <w:t>Journal of Housing Economics, </w:t>
      </w:r>
      <w:r>
        <w:rPr>
          <w:sz w:val="24"/>
        </w:rPr>
        <w:t>21(4), 322-335</w:t>
      </w:r>
      <w:r>
        <w:rPr>
          <w:i/>
          <w:sz w:val="24"/>
        </w:rPr>
        <w:t>.</w:t>
      </w:r>
    </w:p>
    <w:p>
      <w:pPr>
        <w:spacing w:line="360" w:lineRule="auto" w:before="0"/>
        <w:ind w:left="0" w:right="702" w:firstLine="0"/>
        <w:jc w:val="left"/>
        <w:rPr>
          <w:i/>
          <w:sz w:val="24"/>
        </w:rPr>
      </w:pPr>
      <w:r>
        <w:rPr>
          <w:sz w:val="24"/>
        </w:rPr>
        <w:t>Startz,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(2012):</w:t>
      </w:r>
      <w:r>
        <w:rPr>
          <w:spacing w:val="-4"/>
          <w:sz w:val="24"/>
        </w:rPr>
        <w:t> </w:t>
      </w:r>
      <w:r>
        <w:rPr>
          <w:sz w:val="24"/>
        </w:rPr>
        <w:t>“Non-Exponential</w:t>
      </w:r>
      <w:r>
        <w:rPr>
          <w:spacing w:val="-3"/>
          <w:sz w:val="24"/>
        </w:rPr>
        <w:t> </w:t>
      </w:r>
      <w:r>
        <w:rPr>
          <w:sz w:val="24"/>
        </w:rPr>
        <w:t>Discounting: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Perhaps</w:t>
      </w:r>
      <w:r>
        <w:rPr>
          <w:spacing w:val="-3"/>
          <w:sz w:val="24"/>
        </w:rPr>
        <w:t> </w:t>
      </w:r>
      <w:r>
        <w:rPr>
          <w:sz w:val="24"/>
        </w:rPr>
        <w:t>a New Puzzle,” </w:t>
      </w:r>
      <w:r>
        <w:rPr>
          <w:i/>
          <w:sz w:val="24"/>
        </w:rPr>
        <w:t>B.E. Journal of Macroeconomics (Topics)</w:t>
      </w:r>
      <w:r>
        <w:rPr>
          <w:sz w:val="24"/>
        </w:rPr>
        <w:t>, 12(1)</w:t>
      </w:r>
      <w:r>
        <w:rPr>
          <w:i/>
          <w:sz w:val="24"/>
        </w:rPr>
        <w:t>.</w:t>
      </w:r>
    </w:p>
    <w:p>
      <w:pPr>
        <w:spacing w:line="360" w:lineRule="auto" w:before="0"/>
        <w:ind w:left="0" w:right="1226" w:firstLine="0"/>
        <w:jc w:val="left"/>
        <w:rPr>
          <w:sz w:val="24"/>
        </w:rPr>
      </w:pPr>
      <w:r>
        <w:rPr>
          <w:sz w:val="24"/>
        </w:rPr>
        <w:t>Startz,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Tsang,</w:t>
      </w:r>
      <w:r>
        <w:rPr>
          <w:spacing w:val="-3"/>
          <w:sz w:val="24"/>
        </w:rPr>
        <w:t> </w:t>
      </w:r>
      <w:r>
        <w:rPr>
          <w:sz w:val="24"/>
        </w:rPr>
        <w:t>K.P.</w:t>
      </w:r>
      <w:r>
        <w:rPr>
          <w:spacing w:val="-3"/>
          <w:sz w:val="24"/>
        </w:rPr>
        <w:t> </w:t>
      </w:r>
      <w:r>
        <w:rPr>
          <w:sz w:val="24"/>
        </w:rPr>
        <w:t>(2010):</w:t>
      </w:r>
      <w:r>
        <w:rPr>
          <w:spacing w:val="-4"/>
          <w:sz w:val="24"/>
        </w:rPr>
        <w:t> </w:t>
      </w:r>
      <w:r>
        <w:rPr>
          <w:sz w:val="24"/>
        </w:rPr>
        <w:t>“An</w:t>
      </w:r>
      <w:r>
        <w:rPr>
          <w:spacing w:val="-3"/>
          <w:sz w:val="24"/>
        </w:rPr>
        <w:t> </w:t>
      </w:r>
      <w:r>
        <w:rPr>
          <w:sz w:val="24"/>
        </w:rPr>
        <w:t>Unobserved</w:t>
      </w:r>
      <w:r>
        <w:rPr>
          <w:spacing w:val="-3"/>
          <w:sz w:val="24"/>
        </w:rPr>
        <w:t> </w:t>
      </w:r>
      <w:r>
        <w:rPr>
          <w:sz w:val="24"/>
        </w:rPr>
        <w:t>Components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Yield Curve," </w:t>
      </w:r>
      <w:r>
        <w:rPr>
          <w:i/>
          <w:sz w:val="24"/>
        </w:rPr>
        <w:t>Journal of Money, Credit and Banking</w:t>
      </w:r>
      <w:r>
        <w:rPr>
          <w:sz w:val="24"/>
        </w:rPr>
        <w:t>, 42(8), 1613-1640.</w:t>
      </w:r>
    </w:p>
    <w:p>
      <w:pPr>
        <w:spacing w:line="360" w:lineRule="auto" w:before="0"/>
        <w:ind w:left="0" w:right="402" w:firstLine="0"/>
        <w:jc w:val="left"/>
        <w:rPr>
          <w:sz w:val="24"/>
        </w:rPr>
      </w:pPr>
      <w:r>
        <w:rPr>
          <w:sz w:val="24"/>
        </w:rPr>
        <w:t>Lundberg,</w:t>
      </w:r>
      <w:r>
        <w:rPr>
          <w:spacing w:val="-4"/>
          <w:sz w:val="24"/>
        </w:rPr>
        <w:t> </w:t>
      </w:r>
      <w:r>
        <w:rPr>
          <w:sz w:val="24"/>
        </w:rPr>
        <w:t>S.,</w:t>
      </w:r>
      <w:r>
        <w:rPr>
          <w:spacing w:val="-4"/>
          <w:sz w:val="24"/>
        </w:rPr>
        <w:t> </w:t>
      </w:r>
      <w:r>
        <w:rPr>
          <w:sz w:val="24"/>
        </w:rPr>
        <w:t>Romich,</w:t>
      </w:r>
      <w:r>
        <w:rPr>
          <w:spacing w:val="-4"/>
          <w:sz w:val="24"/>
        </w:rPr>
        <w:t> </w:t>
      </w:r>
      <w:r>
        <w:rPr>
          <w:sz w:val="24"/>
        </w:rPr>
        <w:t>J.L.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Tsang,</w:t>
      </w:r>
      <w:r>
        <w:rPr>
          <w:spacing w:val="-4"/>
          <w:sz w:val="24"/>
        </w:rPr>
        <w:t> </w:t>
      </w:r>
      <w:r>
        <w:rPr>
          <w:sz w:val="24"/>
        </w:rPr>
        <w:t>K.P.</w:t>
      </w:r>
      <w:r>
        <w:rPr>
          <w:spacing w:val="-4"/>
          <w:sz w:val="24"/>
        </w:rPr>
        <w:t> </w:t>
      </w:r>
      <w:r>
        <w:rPr>
          <w:sz w:val="24"/>
        </w:rPr>
        <w:t>(2009):</w:t>
      </w:r>
      <w:r>
        <w:rPr>
          <w:spacing w:val="-4"/>
          <w:sz w:val="24"/>
        </w:rPr>
        <w:t> </w:t>
      </w:r>
      <w:r>
        <w:rPr>
          <w:sz w:val="24"/>
        </w:rPr>
        <w:t>“Decision-making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Children,”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Economics of the Household</w:t>
      </w:r>
      <w:r>
        <w:rPr>
          <w:sz w:val="24"/>
        </w:rPr>
        <w:t>, 7(1), 1-30.</w:t>
      </w:r>
    </w:p>
    <w:p>
      <w:pPr>
        <w:spacing w:after="0" w:line="360" w:lineRule="auto"/>
        <w:jc w:val="left"/>
        <w:rPr>
          <w:sz w:val="24"/>
        </w:rPr>
        <w:sectPr>
          <w:pgSz w:w="12240" w:h="15840"/>
          <w:pgMar w:header="0" w:footer="1038" w:top="1380" w:bottom="1220" w:left="1440" w:right="1080"/>
        </w:sectPr>
      </w:pPr>
    </w:p>
    <w:p>
      <w:pPr>
        <w:pStyle w:val="BodyText"/>
        <w:spacing w:line="360" w:lineRule="auto" w:before="61"/>
      </w:pPr>
      <w:r>
        <w:rPr/>
        <w:t>Lundberg,</w:t>
      </w:r>
      <w:r>
        <w:rPr>
          <w:spacing w:val="-3"/>
        </w:rPr>
        <w:t> </w:t>
      </w:r>
      <w:r>
        <w:rPr/>
        <w:t>S.,</w:t>
      </w:r>
      <w:r>
        <w:rPr>
          <w:spacing w:val="-3"/>
        </w:rPr>
        <w:t> </w:t>
      </w:r>
      <w:r>
        <w:rPr/>
        <w:t>Romich,</w:t>
      </w:r>
      <w:r>
        <w:rPr>
          <w:spacing w:val="-3"/>
        </w:rPr>
        <w:t> </w:t>
      </w:r>
      <w:r>
        <w:rPr/>
        <w:t>J.L.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4"/>
        </w:rPr>
        <w:t> </w:t>
      </w:r>
      <w:r>
        <w:rPr/>
        <w:t>(2009):</w:t>
      </w:r>
      <w:r>
        <w:rPr>
          <w:spacing w:val="-4"/>
        </w:rPr>
        <w:t> </w:t>
      </w:r>
      <w:r>
        <w:rPr/>
        <w:t>“Independence</w:t>
      </w:r>
      <w:r>
        <w:rPr>
          <w:spacing w:val="-4"/>
        </w:rPr>
        <w:t> </w:t>
      </w:r>
      <w:r>
        <w:rPr/>
        <w:t>Giving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Autonomy</w:t>
      </w:r>
      <w:r>
        <w:rPr>
          <w:spacing w:val="-3"/>
        </w:rPr>
        <w:t> </w:t>
      </w:r>
      <w:r>
        <w:rPr/>
        <w:t>Taking? Childhood Predictors of Decision-Sharing Patterns Between Young Adolescents and</w:t>
      </w:r>
    </w:p>
    <w:p>
      <w:pPr>
        <w:spacing w:line="274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Parents,”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Adolescence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19(4),</w:t>
      </w:r>
      <w:r>
        <w:rPr>
          <w:spacing w:val="-2"/>
          <w:sz w:val="24"/>
        </w:rPr>
        <w:t> </w:t>
      </w:r>
      <w:r>
        <w:rPr>
          <w:sz w:val="24"/>
        </w:rPr>
        <w:t>587-</w:t>
      </w:r>
      <w:r>
        <w:rPr>
          <w:spacing w:val="-4"/>
          <w:sz w:val="24"/>
        </w:rPr>
        <w:t>600.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rPr>
          <w:u w:val="none"/>
        </w:rPr>
      </w:pPr>
      <w:r>
        <w:rPr>
          <w:u w:val="thick"/>
        </w:rPr>
        <w:t>Other</w:t>
      </w:r>
      <w:r>
        <w:rPr>
          <w:spacing w:val="-3"/>
          <w:u w:val="thick"/>
        </w:rPr>
        <w:t> </w:t>
      </w:r>
      <w:r>
        <w:rPr>
          <w:spacing w:val="-2"/>
          <w:u w:val="thick"/>
        </w:rPr>
        <w:t>Publications</w:t>
      </w:r>
    </w:p>
    <w:p>
      <w:pPr>
        <w:spacing w:line="360" w:lineRule="auto" w:before="137"/>
        <w:ind w:left="0" w:right="281" w:firstLine="0"/>
        <w:jc w:val="left"/>
        <w:rPr>
          <w:sz w:val="24"/>
        </w:rPr>
      </w:pPr>
      <w:r>
        <w:rPr>
          <w:sz w:val="24"/>
        </w:rPr>
        <w:t>“ Touching the Elephant,” (A book review of </w:t>
      </w:r>
      <w:r>
        <w:rPr>
          <w:i/>
          <w:sz w:val="24"/>
        </w:rPr>
        <w:t>China’s Gilded Age: The Paradox of Economic Boom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Vast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Corruption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Yuen</w:t>
      </w:r>
      <w:r>
        <w:rPr>
          <w:spacing w:val="-3"/>
          <w:sz w:val="24"/>
        </w:rPr>
        <w:t> </w:t>
      </w:r>
      <w:r>
        <w:rPr>
          <w:sz w:val="24"/>
        </w:rPr>
        <w:t>Yuen</w:t>
      </w:r>
      <w:r>
        <w:rPr>
          <w:spacing w:val="-3"/>
          <w:sz w:val="24"/>
        </w:rPr>
        <w:t> </w:t>
      </w:r>
      <w:r>
        <w:rPr>
          <w:sz w:val="24"/>
        </w:rPr>
        <w:t>Ang</w:t>
      </w:r>
      <w:r>
        <w:rPr>
          <w:spacing w:val="-3"/>
          <w:sz w:val="24"/>
        </w:rPr>
        <w:t> </w:t>
      </w:r>
      <w:r>
        <w:rPr>
          <w:sz w:val="24"/>
        </w:rPr>
        <w:t>(Cambridge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Press,</w:t>
      </w:r>
      <w:r>
        <w:rPr>
          <w:spacing w:val="-3"/>
          <w:sz w:val="24"/>
        </w:rPr>
        <w:t> </w:t>
      </w:r>
      <w:r>
        <w:rPr>
          <w:sz w:val="24"/>
        </w:rPr>
        <w:t>2020)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Econlib, April 2023.</w:t>
      </w:r>
    </w:p>
    <w:p>
      <w:pPr>
        <w:spacing w:line="360" w:lineRule="auto" w:before="1"/>
        <w:ind w:left="0" w:right="281" w:firstLine="0"/>
        <w:jc w:val="left"/>
        <w:rPr>
          <w:sz w:val="24"/>
        </w:rPr>
      </w:pPr>
      <w:r>
        <w:rPr>
          <w:sz w:val="24"/>
        </w:rPr>
        <w:t>“Some Unpleasant Thoughts: Refugees and Wealth,” (A book review of </w:t>
      </w:r>
      <w:r>
        <w:rPr>
          <w:i/>
          <w:sz w:val="24"/>
        </w:rPr>
        <w:t>The Wealth of Refugees: 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Displaced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People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Build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Economies</w:t>
      </w:r>
      <w:r>
        <w:rPr>
          <w:i/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Alexander</w:t>
      </w:r>
      <w:r>
        <w:rPr>
          <w:spacing w:val="-3"/>
          <w:sz w:val="24"/>
        </w:rPr>
        <w:t> </w:t>
      </w:r>
      <w:r>
        <w:rPr>
          <w:sz w:val="24"/>
        </w:rPr>
        <w:t>Betts</w:t>
      </w:r>
      <w:r>
        <w:rPr>
          <w:spacing w:val="-3"/>
          <w:sz w:val="24"/>
        </w:rPr>
        <w:t> </w:t>
      </w:r>
      <w:r>
        <w:rPr>
          <w:sz w:val="24"/>
        </w:rPr>
        <w:t>(Oxford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Press,</w:t>
      </w:r>
      <w:r>
        <w:rPr>
          <w:spacing w:val="-3"/>
          <w:sz w:val="24"/>
        </w:rPr>
        <w:t> </w:t>
      </w:r>
      <w:r>
        <w:rPr>
          <w:sz w:val="24"/>
        </w:rPr>
        <w:t>2021) at Econlib, December 2022.</w:t>
      </w:r>
    </w:p>
    <w:p>
      <w:pPr>
        <w:spacing w:line="360" w:lineRule="auto" w:before="1"/>
        <w:ind w:left="0" w:right="1226" w:firstLine="0"/>
        <w:jc w:val="left"/>
        <w:rPr>
          <w:sz w:val="24"/>
        </w:rPr>
      </w:pPr>
      <w:r>
        <w:rPr>
          <w:sz w:val="24"/>
        </w:rPr>
        <w:t>“Is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1755</w:t>
      </w:r>
      <w:r>
        <w:rPr>
          <w:spacing w:val="-3"/>
          <w:sz w:val="24"/>
        </w:rPr>
        <w:t> </w:t>
      </w:r>
      <w:r>
        <w:rPr>
          <w:sz w:val="24"/>
        </w:rPr>
        <w:t>Smith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Prequel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1776</w:t>
      </w:r>
      <w:r>
        <w:rPr>
          <w:spacing w:val="-3"/>
          <w:sz w:val="24"/>
        </w:rPr>
        <w:t> </w:t>
      </w:r>
      <w:r>
        <w:rPr>
          <w:sz w:val="24"/>
        </w:rPr>
        <w:t>Smith?”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i/>
          <w:sz w:val="24"/>
        </w:rPr>
        <w:t>Adam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Smith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Works,</w:t>
      </w:r>
      <w:r>
        <w:rPr>
          <w:i/>
          <w:spacing w:val="-3"/>
          <w:sz w:val="24"/>
        </w:rPr>
        <w:t> </w:t>
      </w:r>
      <w:r>
        <w:rPr>
          <w:sz w:val="24"/>
        </w:rPr>
        <w:t>October</w:t>
      </w:r>
      <w:r>
        <w:rPr>
          <w:spacing w:val="-3"/>
          <w:sz w:val="24"/>
        </w:rPr>
        <w:t> </w:t>
      </w:r>
      <w:r>
        <w:rPr>
          <w:sz w:val="24"/>
        </w:rPr>
        <w:t>2021. “The Double Life of Adam Smith” at </w:t>
      </w:r>
      <w:r>
        <w:rPr>
          <w:i/>
          <w:sz w:val="24"/>
        </w:rPr>
        <w:t>Adam Smith Works</w:t>
      </w:r>
      <w:r>
        <w:rPr>
          <w:sz w:val="24"/>
        </w:rPr>
        <w:t>, September 2021.</w:t>
      </w:r>
    </w:p>
    <w:p>
      <w:pPr>
        <w:spacing w:line="360" w:lineRule="auto" w:before="0"/>
        <w:ind w:left="0" w:right="402" w:firstLine="0"/>
        <w:jc w:val="left"/>
        <w:rPr>
          <w:sz w:val="24"/>
        </w:rPr>
      </w:pPr>
      <w:r>
        <w:rPr>
          <w:sz w:val="24"/>
        </w:rPr>
        <w:t>“Three</w:t>
      </w:r>
      <w:r>
        <w:rPr>
          <w:spacing w:val="-4"/>
          <w:sz w:val="24"/>
        </w:rPr>
        <w:t> </w:t>
      </w:r>
      <w:r>
        <w:rPr>
          <w:sz w:val="24"/>
        </w:rPr>
        <w:t>Ways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Looking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Water-Diamond</w:t>
      </w:r>
      <w:r>
        <w:rPr>
          <w:spacing w:val="-3"/>
          <w:sz w:val="24"/>
        </w:rPr>
        <w:t> </w:t>
      </w:r>
      <w:r>
        <w:rPr>
          <w:sz w:val="24"/>
        </w:rPr>
        <w:t>‘Paradox’”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i/>
          <w:sz w:val="24"/>
        </w:rPr>
        <w:t>Adam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Smith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3"/>
          <w:sz w:val="24"/>
        </w:rPr>
        <w:t> </w:t>
      </w:r>
      <w:r>
        <w:rPr>
          <w:sz w:val="24"/>
        </w:rPr>
        <w:t>2021. “How Smithian was Sima Qian?” at </w:t>
      </w:r>
      <w:r>
        <w:rPr>
          <w:i/>
          <w:sz w:val="24"/>
        </w:rPr>
        <w:t>Adam Smith Works</w:t>
      </w:r>
      <w:r>
        <w:rPr>
          <w:sz w:val="24"/>
        </w:rPr>
        <w:t>, March 2021.</w:t>
      </w:r>
    </w:p>
    <w:p>
      <w:pPr>
        <w:pStyle w:val="BodyText"/>
        <w:spacing w:line="360" w:lineRule="auto"/>
      </w:pPr>
      <w:r>
        <w:rPr/>
        <w:t>“Adam</w:t>
      </w:r>
      <w:r>
        <w:rPr>
          <w:spacing w:val="-3"/>
        </w:rPr>
        <w:t> </w:t>
      </w:r>
      <w:r>
        <w:rPr/>
        <w:t>Smith's</w:t>
      </w:r>
      <w:r>
        <w:rPr>
          <w:spacing w:val="-3"/>
        </w:rPr>
        <w:t> </w:t>
      </w:r>
      <w:r>
        <w:rPr/>
        <w:t>‘Political</w:t>
      </w:r>
      <w:r>
        <w:rPr>
          <w:spacing w:val="-3"/>
        </w:rPr>
        <w:t> </w:t>
      </w:r>
      <w:r>
        <w:rPr/>
        <w:t>Economy’: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Poison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Science,”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>
          <w:i/>
        </w:rPr>
        <w:t>Adam</w:t>
      </w:r>
      <w:r>
        <w:rPr>
          <w:i/>
          <w:spacing w:val="-3"/>
        </w:rPr>
        <w:t> </w:t>
      </w:r>
      <w:r>
        <w:rPr>
          <w:i/>
        </w:rPr>
        <w:t>Smith</w:t>
      </w:r>
      <w:r>
        <w:rPr>
          <w:i/>
          <w:spacing w:val="-3"/>
        </w:rPr>
        <w:t> </w:t>
      </w:r>
      <w:r>
        <w:rPr>
          <w:i/>
        </w:rPr>
        <w:t>Works</w:t>
      </w:r>
      <w:r>
        <w:rPr/>
        <w:t>,</w:t>
      </w:r>
      <w:r>
        <w:rPr>
          <w:spacing w:val="-3"/>
        </w:rPr>
        <w:t> </w:t>
      </w:r>
      <w:r>
        <w:rPr/>
        <w:t>November </w:t>
      </w:r>
      <w:r>
        <w:rPr>
          <w:spacing w:val="-2"/>
        </w:rPr>
        <w:t>2020.</w:t>
      </w:r>
    </w:p>
    <w:p>
      <w:pPr>
        <w:pStyle w:val="BodyText"/>
        <w:spacing w:line="360" w:lineRule="auto"/>
        <w:ind w:right="702"/>
        <w:rPr>
          <w:i/>
        </w:rPr>
      </w:pPr>
      <w:r>
        <w:rPr/>
        <w:t>Leung,</w:t>
      </w:r>
      <w:r>
        <w:rPr>
          <w:spacing w:val="-3"/>
        </w:rPr>
        <w:t> </w:t>
      </w:r>
      <w:r>
        <w:rPr/>
        <w:t>T.C.,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Kevin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Tsui</w:t>
      </w:r>
      <w:r>
        <w:rPr>
          <w:spacing w:val="-3"/>
        </w:rPr>
        <w:t> </w:t>
      </w:r>
      <w:r>
        <w:rPr/>
        <w:t>(2020),</w:t>
      </w:r>
      <w:r>
        <w:rPr>
          <w:spacing w:val="-3"/>
        </w:rPr>
        <w:t> </w:t>
      </w:r>
      <w:r>
        <w:rPr/>
        <w:t>“Why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Inferior</w:t>
      </w:r>
      <w:r>
        <w:rPr>
          <w:spacing w:val="-3"/>
        </w:rPr>
        <w:t> </w:t>
      </w:r>
      <w:r>
        <w:rPr/>
        <w:t>Seats</w:t>
      </w:r>
      <w:r>
        <w:rPr>
          <w:spacing w:val="-3"/>
        </w:rPr>
        <w:t> </w:t>
      </w:r>
      <w:r>
        <w:rPr/>
        <w:t>“Underpriced”? Evidence from the English Premier League,” </w:t>
      </w:r>
      <w:r>
        <w:rPr>
          <w:i/>
        </w:rPr>
        <w:t>Man and the Economy, </w:t>
      </w:r>
      <w:r>
        <w:rPr/>
        <w:t>7(1), 20200007</w:t>
      </w:r>
      <w:r>
        <w:rPr>
          <w:i/>
        </w:rPr>
        <w:t>.</w:t>
      </w:r>
    </w:p>
    <w:p>
      <w:pPr>
        <w:pStyle w:val="BodyText"/>
        <w:spacing w:line="360" w:lineRule="auto"/>
        <w:ind w:right="1226"/>
      </w:pPr>
      <w:r>
        <w:rPr/>
        <w:t>Tideman,</w:t>
      </w:r>
      <w:r>
        <w:rPr>
          <w:spacing w:val="-3"/>
        </w:rPr>
        <w:t> </w:t>
      </w:r>
      <w:r>
        <w:rPr/>
        <w:t>N.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Tsang,</w:t>
      </w:r>
      <w:r>
        <w:rPr>
          <w:spacing w:val="-3"/>
        </w:rPr>
        <w:t> </w:t>
      </w:r>
      <w:r>
        <w:rPr/>
        <w:t>K.P.</w:t>
      </w:r>
      <w:r>
        <w:rPr>
          <w:spacing w:val="-3"/>
        </w:rPr>
        <w:t> </w:t>
      </w:r>
      <w:r>
        <w:rPr/>
        <w:t>(2010):</w:t>
      </w:r>
      <w:r>
        <w:rPr>
          <w:spacing w:val="-4"/>
        </w:rPr>
        <w:t> </w:t>
      </w:r>
      <w:r>
        <w:rPr/>
        <w:t>“Seigniorage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Basic</w:t>
      </w:r>
      <w:r>
        <w:rPr>
          <w:spacing w:val="-4"/>
        </w:rPr>
        <w:t> </w:t>
      </w:r>
      <w:r>
        <w:rPr/>
        <w:t>Income Guarantee," </w:t>
      </w:r>
      <w:r>
        <w:rPr>
          <w:i/>
        </w:rPr>
        <w:t>Basic Income Studies</w:t>
      </w:r>
      <w:r>
        <w:rPr/>
        <w:t>, 5(2), Article 6.</w:t>
      </w:r>
    </w:p>
    <w:p>
      <w:pPr>
        <w:pStyle w:val="BodyText"/>
        <w:spacing w:before="135"/>
      </w:pPr>
    </w:p>
    <w:p>
      <w:pPr>
        <w:pStyle w:val="Heading1"/>
        <w:rPr>
          <w:u w:val="none"/>
        </w:rPr>
      </w:pPr>
      <w:r>
        <w:rPr>
          <w:u w:val="thick"/>
        </w:rPr>
        <w:t>University/</w:t>
      </w:r>
      <w:r>
        <w:rPr>
          <w:spacing w:val="-3"/>
          <w:u w:val="thick"/>
        </w:rPr>
        <w:t> </w:t>
      </w:r>
      <w:r>
        <w:rPr>
          <w:u w:val="thick"/>
        </w:rPr>
        <w:t>Departmental</w:t>
      </w:r>
      <w:r>
        <w:rPr>
          <w:spacing w:val="-2"/>
          <w:u w:val="thick"/>
        </w:rPr>
        <w:t> Service</w:t>
      </w:r>
    </w:p>
    <w:p>
      <w:pPr>
        <w:pStyle w:val="BodyText"/>
        <w:tabs>
          <w:tab w:pos="1439" w:val="left" w:leader="none"/>
        </w:tabs>
        <w:spacing w:line="360" w:lineRule="auto" w:before="142"/>
        <w:ind w:right="1832"/>
      </w:pPr>
      <w:r>
        <w:rPr/>
        <w:t>2024 –</w:t>
        <w:tab/>
        <w:t>Representative to the COSFA, and member of the Faculty Senate 2024 – 2024</w:t>
        <w:tab/>
        <w:t>Degrees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(DAP)</w:t>
      </w:r>
      <w:r>
        <w:rPr>
          <w:spacing w:val="-5"/>
        </w:rPr>
        <w:t> </w:t>
      </w:r>
      <w:r>
        <w:rPr/>
        <w:t>Subcommittee</w:t>
      </w:r>
      <w:r>
        <w:rPr>
          <w:spacing w:val="-6"/>
        </w:rPr>
        <w:t> </w:t>
      </w:r>
      <w:r>
        <w:rPr/>
        <w:t>under</w:t>
      </w:r>
      <w:r>
        <w:rPr>
          <w:spacing w:val="-5"/>
        </w:rPr>
        <w:t> </w:t>
      </w:r>
      <w:r>
        <w:rPr/>
        <w:t>CGPSP</w:t>
      </w:r>
    </w:p>
    <w:p>
      <w:pPr>
        <w:pStyle w:val="BodyText"/>
        <w:tabs>
          <w:tab w:pos="1439" w:val="left" w:leader="none"/>
        </w:tabs>
        <w:spacing w:line="360" w:lineRule="auto"/>
        <w:ind w:right="1226"/>
      </w:pPr>
      <w:r>
        <w:rPr/>
        <w:t>2023 –</w:t>
        <w:tab/>
        <w:t>Commission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Professional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Policies</w:t>
      </w:r>
      <w:r>
        <w:rPr>
          <w:spacing w:val="-6"/>
        </w:rPr>
        <w:t> </w:t>
      </w:r>
      <w:r>
        <w:rPr/>
        <w:t>(CGPSP) 2023 – 2024</w:t>
        <w:tab/>
        <w:t>Director of Graduate Studies, Department of Economics</w:t>
      </w:r>
    </w:p>
    <w:p>
      <w:pPr>
        <w:pStyle w:val="BodyText"/>
        <w:tabs>
          <w:tab w:pos="1439" w:val="left" w:leader="none"/>
        </w:tabs>
        <w:spacing w:line="360" w:lineRule="auto"/>
        <w:ind w:right="1479"/>
      </w:pPr>
      <w:r>
        <w:rPr/>
        <w:t>2020 – 2023</w:t>
        <w:tab/>
        <w:t>College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Science,</w:t>
      </w:r>
      <w:r>
        <w:rPr>
          <w:spacing w:val="-5"/>
        </w:rPr>
        <w:t> </w:t>
      </w:r>
      <w:r>
        <w:rPr/>
        <w:t>Inclusion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Diversity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Representative 2020 – 2023</w:t>
        <w:tab/>
        <w:t>Inclusion and Diversity Committee Chair, Department of Economics 2020 – 2024</w:t>
        <w:tab/>
        <w:t>Member of the Honor Council</w:t>
      </w:r>
    </w:p>
    <w:p>
      <w:pPr>
        <w:pStyle w:val="BodyText"/>
        <w:tabs>
          <w:tab w:pos="1439" w:val="left" w:leader="none"/>
        </w:tabs>
        <w:spacing w:line="272" w:lineRule="exact"/>
      </w:pPr>
      <w:r>
        <w:rPr/>
        <w:t>2014 – </w:t>
      </w:r>
      <w:r>
        <w:rPr>
          <w:spacing w:val="-4"/>
        </w:rPr>
        <w:t>2019</w:t>
      </w:r>
      <w:r>
        <w:rPr/>
        <w:tab/>
        <w:t>Director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Studies,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spacing w:after="0" w:line="272" w:lineRule="exact"/>
        <w:sectPr>
          <w:pgSz w:w="12240" w:h="15840"/>
          <w:pgMar w:header="0" w:footer="1038" w:top="1380" w:bottom="1220" w:left="1440" w:right="1080"/>
        </w:sectPr>
      </w:pPr>
    </w:p>
    <w:p>
      <w:pPr>
        <w:pStyle w:val="BodyText"/>
        <w:tabs>
          <w:tab w:pos="1439" w:val="left" w:leader="none"/>
        </w:tabs>
        <w:spacing w:before="61"/>
      </w:pPr>
      <w:r>
        <w:rPr/>
        <w:t>2014 – </w:t>
      </w:r>
      <w:r>
        <w:rPr>
          <w:spacing w:val="-4"/>
        </w:rPr>
        <w:t>2017</w:t>
      </w:r>
      <w:r>
        <w:rPr/>
        <w:tab/>
        <w:t>Academic</w:t>
      </w:r>
      <w:r>
        <w:rPr>
          <w:spacing w:val="-5"/>
        </w:rPr>
        <w:t> </w:t>
      </w:r>
      <w:r>
        <w:rPr/>
        <w:t>Support</w:t>
      </w:r>
      <w:r>
        <w:rPr>
          <w:spacing w:val="-1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Science</w:t>
      </w:r>
    </w:p>
    <w:p>
      <w:pPr>
        <w:pStyle w:val="BodyText"/>
        <w:tabs>
          <w:tab w:pos="1439" w:val="left" w:leader="none"/>
        </w:tabs>
        <w:spacing w:before="137"/>
      </w:pPr>
      <w:r>
        <w:rPr/>
        <w:t>2012 – </w:t>
      </w:r>
      <w:r>
        <w:rPr>
          <w:spacing w:val="-4"/>
        </w:rPr>
        <w:t>2014</w:t>
      </w:r>
      <w:r>
        <w:rPr/>
        <w:tab/>
        <w:t>Faculty</w:t>
      </w:r>
      <w:r>
        <w:rPr>
          <w:spacing w:val="-4"/>
        </w:rPr>
        <w:t> </w:t>
      </w:r>
      <w:r>
        <w:rPr/>
        <w:t>Annual</w:t>
      </w:r>
      <w:r>
        <w:rPr>
          <w:spacing w:val="-2"/>
        </w:rPr>
        <w:t> </w:t>
      </w:r>
      <w:r>
        <w:rPr/>
        <w:t>Review</w:t>
      </w:r>
      <w:r>
        <w:rPr>
          <w:spacing w:val="-1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Editorial</w:t>
      </w:r>
      <w:r>
        <w:rPr>
          <w:spacing w:val="-2"/>
          <w:u w:val="thick"/>
        </w:rPr>
        <w:t> Responsibilities</w:t>
      </w:r>
    </w:p>
    <w:p>
      <w:pPr>
        <w:spacing w:before="136"/>
        <w:ind w:left="0" w:right="0" w:firstLine="0"/>
        <w:jc w:val="left"/>
        <w:rPr>
          <w:sz w:val="24"/>
        </w:rPr>
      </w:pPr>
      <w:r>
        <w:rPr>
          <w:sz w:val="24"/>
        </w:rPr>
        <w:t>Co-editor,</w:t>
      </w:r>
      <w:r>
        <w:rPr>
          <w:spacing w:val="-3"/>
          <w:sz w:val="24"/>
        </w:rPr>
        <w:t> </w:t>
      </w:r>
      <w:r>
        <w:rPr>
          <w:i/>
          <w:sz w:val="24"/>
        </w:rPr>
        <w:t>Contemporary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2014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–.</w:t>
      </w:r>
    </w:p>
    <w:p>
      <w:pPr>
        <w:spacing w:before="137"/>
        <w:ind w:left="0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i/>
          <w:sz w:val="24"/>
        </w:rPr>
        <w:t>Asia-Pacific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Accounting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2016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2021.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line="360" w:lineRule="auto" w:before="1"/>
        <w:ind w:left="0" w:right="4966" w:firstLine="0"/>
        <w:jc w:val="left"/>
        <w:rPr>
          <w:sz w:val="24"/>
        </w:rPr>
      </w:pPr>
      <w:r>
        <w:rPr>
          <w:b/>
          <w:sz w:val="24"/>
          <w:u w:val="thick"/>
        </w:rPr>
        <w:t>Recent Grants, Scholarships, and Awards</w:t>
      </w:r>
      <w:r>
        <w:rPr>
          <w:b/>
          <w:sz w:val="24"/>
        </w:rPr>
        <w:t> </w:t>
      </w:r>
      <w:r>
        <w:rPr>
          <w:sz w:val="24"/>
        </w:rPr>
        <w:t>CCK</w:t>
      </w:r>
      <w:r>
        <w:rPr>
          <w:spacing w:val="-8"/>
          <w:sz w:val="24"/>
        </w:rPr>
        <w:t> </w:t>
      </w:r>
      <w:r>
        <w:rPr>
          <w:sz w:val="24"/>
        </w:rPr>
        <w:t>Foundation</w:t>
      </w:r>
      <w:r>
        <w:rPr>
          <w:spacing w:val="-8"/>
          <w:sz w:val="24"/>
        </w:rPr>
        <w:t> </w:t>
      </w:r>
      <w:r>
        <w:rPr>
          <w:sz w:val="24"/>
        </w:rPr>
        <w:t>Research</w:t>
      </w:r>
      <w:r>
        <w:rPr>
          <w:spacing w:val="-8"/>
          <w:sz w:val="24"/>
        </w:rPr>
        <w:t> </w:t>
      </w:r>
      <w:r>
        <w:rPr>
          <w:sz w:val="24"/>
        </w:rPr>
        <w:t>Grant</w:t>
      </w:r>
      <w:r>
        <w:rPr>
          <w:spacing w:val="-8"/>
          <w:sz w:val="24"/>
        </w:rPr>
        <w:t> </w:t>
      </w:r>
      <w:r>
        <w:rPr>
          <w:sz w:val="24"/>
        </w:rPr>
        <w:t>(Co-PI),</w:t>
      </w:r>
      <w:r>
        <w:rPr>
          <w:spacing w:val="-8"/>
          <w:sz w:val="24"/>
        </w:rPr>
        <w:t> </w:t>
      </w:r>
      <w:r>
        <w:rPr>
          <w:sz w:val="24"/>
        </w:rPr>
        <w:t>2022. PPE Research Fellowship, Virginia Tech, 2021.</w:t>
      </w:r>
    </w:p>
    <w:p>
      <w:pPr>
        <w:pStyle w:val="BodyText"/>
        <w:spacing w:line="362" w:lineRule="auto"/>
        <w:ind w:right="3628"/>
      </w:pPr>
      <w:r>
        <w:rPr/>
        <w:t>CCK Foundation Research Grant (Co-Director), 2019. Outreach</w:t>
      </w:r>
      <w:r>
        <w:rPr>
          <w:spacing w:val="-6"/>
        </w:rPr>
        <w:t> </w:t>
      </w:r>
      <w:r>
        <w:rPr/>
        <w:t>Award,</w:t>
      </w:r>
      <w:r>
        <w:rPr>
          <w:spacing w:val="-6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Science,</w:t>
      </w:r>
      <w:r>
        <w:rPr>
          <w:spacing w:val="-6"/>
        </w:rPr>
        <w:t> </w:t>
      </w:r>
      <w:r>
        <w:rPr/>
        <w:t>Virginia</w:t>
      </w:r>
      <w:r>
        <w:rPr>
          <w:spacing w:val="-7"/>
        </w:rPr>
        <w:t> </w:t>
      </w:r>
      <w:r>
        <w:rPr/>
        <w:t>Tech,</w:t>
      </w:r>
      <w:r>
        <w:rPr>
          <w:spacing w:val="-6"/>
        </w:rPr>
        <w:t> </w:t>
      </w:r>
      <w:r>
        <w:rPr/>
        <w:t>2018.</w:t>
      </w:r>
    </w:p>
    <w:p>
      <w:pPr>
        <w:pStyle w:val="BodyText"/>
        <w:spacing w:before="130"/>
      </w:pPr>
    </w:p>
    <w:p>
      <w:pPr>
        <w:pStyle w:val="Heading1"/>
        <w:rPr>
          <w:u w:val="none"/>
        </w:rPr>
      </w:pPr>
      <w:r>
        <w:rPr>
          <w:u w:val="thick"/>
        </w:rPr>
        <w:t>Former</w:t>
      </w:r>
      <w:r>
        <w:rPr>
          <w:spacing w:val="-3"/>
          <w:u w:val="thick"/>
        </w:rPr>
        <w:t> </w:t>
      </w:r>
      <w:r>
        <w:rPr>
          <w:u w:val="thick"/>
        </w:rPr>
        <w:t>Ph.D.</w:t>
      </w:r>
      <w:r>
        <w:rPr>
          <w:spacing w:val="-1"/>
          <w:u w:val="thick"/>
        </w:rPr>
        <w:t> </w:t>
      </w:r>
      <w:r>
        <w:rPr>
          <w:u w:val="thick"/>
        </w:rPr>
        <w:t>Advisees</w:t>
      </w:r>
      <w:r>
        <w:rPr>
          <w:spacing w:val="-1"/>
          <w:u w:val="thick"/>
        </w:rPr>
        <w:t> </w:t>
      </w:r>
      <w:r>
        <w:rPr>
          <w:u w:val="thick"/>
        </w:rPr>
        <w:t>and</w:t>
      </w:r>
      <w:r>
        <w:rPr>
          <w:spacing w:val="-2"/>
          <w:u w:val="thick"/>
        </w:rPr>
        <w:t> </w:t>
      </w:r>
      <w:r>
        <w:rPr>
          <w:u w:val="thick"/>
        </w:rPr>
        <w:t>Initial</w:t>
      </w:r>
      <w:r>
        <w:rPr>
          <w:spacing w:val="-1"/>
          <w:u w:val="thick"/>
        </w:rPr>
        <w:t> </w:t>
      </w:r>
      <w:r>
        <w:rPr>
          <w:u w:val="thick"/>
        </w:rPr>
        <w:t>Job</w:t>
      </w:r>
      <w:r>
        <w:rPr>
          <w:spacing w:val="-1"/>
          <w:u w:val="thick"/>
        </w:rPr>
        <w:t> </w:t>
      </w:r>
      <w:r>
        <w:rPr>
          <w:spacing w:val="-2"/>
          <w:u w:val="thick"/>
        </w:rPr>
        <w:t>Placements</w:t>
      </w:r>
    </w:p>
    <w:p>
      <w:pPr>
        <w:pStyle w:val="BodyText"/>
        <w:spacing w:line="362" w:lineRule="auto" w:before="137"/>
        <w:ind w:right="281"/>
      </w:pPr>
      <w:r>
        <w:rPr/>
        <w:t>Zichao</w:t>
      </w:r>
      <w:r>
        <w:rPr>
          <w:spacing w:val="-4"/>
        </w:rPr>
        <w:t> </w:t>
      </w:r>
      <w:r>
        <w:rPr/>
        <w:t>Yang,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Zhongnan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Law,</w:t>
      </w:r>
      <w:r>
        <w:rPr>
          <w:spacing w:val="-4"/>
        </w:rPr>
        <w:t> </w:t>
      </w:r>
      <w:r>
        <w:rPr/>
        <w:t>China</w:t>
      </w:r>
      <w:r>
        <w:rPr>
          <w:spacing w:val="-5"/>
        </w:rPr>
        <w:t> </w:t>
      </w:r>
      <w:r>
        <w:rPr/>
        <w:t>(2021) Yao "Hillary" Huang, Senior Analyst, PNC Bank, Pittsburgh, PA (2020)</w:t>
      </w:r>
    </w:p>
    <w:p>
      <w:pPr>
        <w:pStyle w:val="BodyText"/>
        <w:spacing w:line="360" w:lineRule="auto"/>
      </w:pPr>
      <w:r>
        <w:rPr/>
        <w:t>Xiaojin</w:t>
      </w:r>
      <w:r>
        <w:rPr>
          <w:spacing w:val="-3"/>
        </w:rPr>
        <w:t> </w:t>
      </w:r>
      <w:r>
        <w:rPr/>
        <w:t>‘Aaron’</w:t>
      </w:r>
      <w:r>
        <w:rPr>
          <w:spacing w:val="-3"/>
        </w:rPr>
        <w:t> </w:t>
      </w:r>
      <w:r>
        <w:rPr/>
        <w:t>Sun,</w:t>
      </w:r>
      <w:r>
        <w:rPr>
          <w:spacing w:val="-3"/>
        </w:rPr>
        <w:t> </w:t>
      </w:r>
      <w:r>
        <w:rPr/>
        <w:t>Asst.</w:t>
      </w:r>
      <w:r>
        <w:rPr>
          <w:spacing w:val="-3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Finance,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 Texas, El Paso (2015)</w:t>
      </w:r>
    </w:p>
    <w:p>
      <w:pPr>
        <w:pStyle w:val="BodyText"/>
        <w:spacing w:line="362" w:lineRule="auto"/>
        <w:ind w:right="702"/>
      </w:pPr>
      <w:r>
        <w:rPr/>
        <w:t>Atanu</w:t>
      </w:r>
      <w:r>
        <w:rPr>
          <w:spacing w:val="-4"/>
        </w:rPr>
        <w:t> </w:t>
      </w:r>
      <w:r>
        <w:rPr/>
        <w:t>Rakshit,</w:t>
      </w:r>
      <w:r>
        <w:rPr>
          <w:spacing w:val="-4"/>
        </w:rPr>
        <w:t> </w:t>
      </w:r>
      <w:r>
        <w:rPr/>
        <w:t>Asst.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Business,</w:t>
      </w:r>
      <w:r>
        <w:rPr>
          <w:spacing w:val="-4"/>
        </w:rPr>
        <w:t> </w:t>
      </w:r>
      <w:r>
        <w:rPr/>
        <w:t>Nazarbayev</w:t>
      </w:r>
      <w:r>
        <w:rPr>
          <w:spacing w:val="-4"/>
        </w:rPr>
        <w:t> </w:t>
      </w:r>
      <w:r>
        <w:rPr/>
        <w:t>University, Astana (2013)</w:t>
      </w:r>
    </w:p>
    <w:p>
      <w:pPr>
        <w:pStyle w:val="BodyText"/>
        <w:spacing w:line="273" w:lineRule="exact"/>
      </w:pPr>
      <w:r>
        <w:rPr/>
        <w:t>Shaojuan</w:t>
      </w:r>
      <w:r>
        <w:rPr>
          <w:spacing w:val="-2"/>
        </w:rPr>
        <w:t> </w:t>
      </w:r>
      <w:r>
        <w:rPr/>
        <w:t>Liao,</w:t>
      </w:r>
      <w:r>
        <w:rPr>
          <w:spacing w:val="-2"/>
        </w:rPr>
        <w:t> </w:t>
      </w:r>
      <w:r>
        <w:rPr/>
        <w:t>VP,</w:t>
      </w:r>
      <w:r>
        <w:rPr>
          <w:spacing w:val="-2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Analytical</w:t>
      </w:r>
      <w:r>
        <w:rPr>
          <w:spacing w:val="-2"/>
        </w:rPr>
        <w:t> </w:t>
      </w:r>
      <w:r>
        <w:rPr/>
        <w:t>Consultant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Wells</w:t>
      </w:r>
      <w:r>
        <w:rPr>
          <w:spacing w:val="-2"/>
        </w:rPr>
        <w:t> </w:t>
      </w:r>
      <w:r>
        <w:rPr/>
        <w:t>Fargo</w:t>
      </w:r>
      <w:r>
        <w:rPr>
          <w:spacing w:val="-1"/>
        </w:rPr>
        <w:t> </w:t>
      </w:r>
      <w:r>
        <w:rPr>
          <w:spacing w:val="-2"/>
        </w:rPr>
        <w:t>(2012)</w:t>
      </w:r>
    </w:p>
    <w:sectPr>
      <w:pgSz w:w="12240" w:h="15840"/>
      <w:pgMar w:header="0" w:footer="1038" w:top="1380" w:bottom="12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3813176</wp:posOffset>
              </wp:positionH>
              <wp:positionV relativeFrom="page">
                <wp:posOffset>9259342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50092pt;margin-top:729.082092pt;width:12.55pt;height:14.25pt;mso-position-horizontal-relative:page;mso-position-vertical-relative:page;z-index:-1579724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yront@vt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2026-01-29T09:58:24Z</dcterms:created>
  <dcterms:modified xsi:type="dcterms:W3CDTF">2026-01-29T09:58:24Z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15.6.1 (Build 24G90) Quartz PDFContext</vt:lpwstr>
  </property>
</Properties>
</file>