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7"/>
        <w:ind w:right="169"/>
        <w:jc w:val="right"/>
      </w:pPr>
      <w:r>
        <w:rPr>
          <w:w w:val="110"/>
        </w:rPr>
        <w:t>May</w:t>
      </w:r>
      <w:r>
        <w:rPr>
          <w:spacing w:val="15"/>
          <w:w w:val="110"/>
        </w:rPr>
        <w:t> </w:t>
      </w:r>
      <w:r>
        <w:rPr>
          <w:spacing w:val="-4"/>
          <w:w w:val="110"/>
        </w:rPr>
        <w:t>2022</w:t>
      </w:r>
    </w:p>
    <w:p>
      <w:pPr>
        <w:pStyle w:val="BodyText"/>
        <w:spacing w:before="311"/>
        <w:rPr>
          <w:sz w:val="28"/>
        </w:rPr>
      </w:pPr>
    </w:p>
    <w:p>
      <w:pPr>
        <w:pStyle w:val="Title"/>
      </w:pPr>
      <w:r>
        <w:rPr/>
        <w:t>Philip</w:t>
      </w:r>
      <w:r>
        <w:rPr>
          <w:spacing w:val="-3"/>
        </w:rPr>
        <w:t> </w:t>
      </w:r>
      <w:r>
        <w:rPr/>
        <w:t>L.</w:t>
      </w:r>
      <w:r>
        <w:rPr>
          <w:spacing w:val="-4"/>
        </w:rPr>
        <w:t> Brock</w:t>
      </w:r>
    </w:p>
    <w:p>
      <w:pPr>
        <w:pStyle w:val="BodyText"/>
        <w:spacing w:before="219"/>
        <w:rPr>
          <w:rFonts w:ascii="Arial"/>
          <w:b/>
          <w:sz w:val="28"/>
        </w:rPr>
      </w:pPr>
    </w:p>
    <w:p>
      <w:pPr>
        <w:pStyle w:val="Heading1"/>
      </w:pPr>
      <w:r>
        <w:rPr>
          <w:spacing w:val="-2"/>
        </w:rPr>
        <w:t>Address</w:t>
      </w:r>
    </w:p>
    <w:p>
      <w:pPr>
        <w:pStyle w:val="BodyText"/>
        <w:spacing w:line="244" w:lineRule="auto" w:before="230"/>
        <w:ind w:left="278" w:right="7179"/>
        <w:jc w:val="both"/>
      </w:pPr>
      <w:r>
        <w:rPr/>
        <w:t>Department of Economics </w:t>
      </w:r>
      <w:r>
        <w:rPr>
          <w:w w:val="110"/>
        </w:rPr>
        <w:t>University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Washington Seattle, WA 98195-3330</w:t>
      </w:r>
    </w:p>
    <w:p>
      <w:pPr>
        <w:pStyle w:val="BodyText"/>
        <w:spacing w:before="3"/>
        <w:ind w:left="278"/>
        <w:jc w:val="both"/>
      </w:pPr>
      <w:r>
        <w:rPr>
          <w:spacing w:val="-2"/>
        </w:rPr>
        <w:t>(206)</w:t>
      </w:r>
      <w:r>
        <w:rPr/>
        <w:t> </w:t>
      </w:r>
      <w:r>
        <w:rPr>
          <w:spacing w:val="-2"/>
        </w:rPr>
        <w:t>543-</w:t>
      </w:r>
      <w:r>
        <w:rPr>
          <w:spacing w:val="-4"/>
        </w:rPr>
        <w:t>5955</w:t>
      </w:r>
    </w:p>
    <w:p>
      <w:pPr>
        <w:pStyle w:val="BodyText"/>
        <w:spacing w:before="6"/>
        <w:ind w:left="278"/>
        <w:jc w:val="both"/>
      </w:pPr>
      <w:r>
        <w:rPr>
          <w:w w:val="110"/>
        </w:rPr>
        <w:t>email:</w:t>
      </w:r>
      <w:r>
        <w:rPr>
          <w:spacing w:val="55"/>
          <w:w w:val="110"/>
        </w:rPr>
        <w:t> </w:t>
      </w:r>
      <w:hyperlink r:id="rId5">
        <w:r>
          <w:rPr>
            <w:color w:val="0000FF"/>
            <w:spacing w:val="-2"/>
            <w:w w:val="110"/>
            <w:u w:val="single" w:color="0000FF"/>
          </w:rPr>
          <w:t>plbrock@u.washington.edu</w:t>
        </w:r>
      </w:hyperlink>
    </w:p>
    <w:p>
      <w:pPr>
        <w:pStyle w:val="BodyText"/>
        <w:spacing w:before="6"/>
        <w:ind w:left="278"/>
        <w:jc w:val="both"/>
      </w:pPr>
      <w:r>
        <w:rPr>
          <w:w w:val="105"/>
        </w:rPr>
        <w:t>personal</w:t>
      </w:r>
      <w:r>
        <w:rPr>
          <w:spacing w:val="8"/>
          <w:w w:val="105"/>
        </w:rPr>
        <w:t> </w:t>
      </w:r>
      <w:r>
        <w:rPr>
          <w:w w:val="105"/>
        </w:rPr>
        <w:t>web</w:t>
      </w:r>
      <w:r>
        <w:rPr>
          <w:spacing w:val="8"/>
          <w:w w:val="105"/>
        </w:rPr>
        <w:t> </w:t>
      </w:r>
      <w:r>
        <w:rPr>
          <w:w w:val="105"/>
        </w:rPr>
        <w:t>site:</w:t>
      </w:r>
      <w:r>
        <w:rPr>
          <w:spacing w:val="66"/>
          <w:w w:val="105"/>
        </w:rPr>
        <w:t> </w:t>
      </w:r>
      <w:hyperlink r:id="rId6">
        <w:r>
          <w:rPr>
            <w:color w:val="0000FF"/>
            <w:spacing w:val="-2"/>
            <w:w w:val="105"/>
            <w:u w:val="single" w:color="0000FF"/>
          </w:rPr>
          <w:t>http://www.philiplbrock.com/</w:t>
        </w:r>
      </w:hyperlink>
    </w:p>
    <w:p>
      <w:pPr>
        <w:pStyle w:val="BodyText"/>
        <w:spacing w:before="44"/>
        <w:rPr>
          <w:sz w:val="24"/>
        </w:rPr>
      </w:pPr>
    </w:p>
    <w:p>
      <w:pPr>
        <w:pStyle w:val="Heading1"/>
      </w:pPr>
      <w:r>
        <w:rPr>
          <w:spacing w:val="-2"/>
        </w:rPr>
        <w:t>Employment</w:t>
      </w:r>
    </w:p>
    <w:p>
      <w:pPr>
        <w:pStyle w:val="BodyText"/>
        <w:tabs>
          <w:tab w:pos="2438" w:val="left" w:leader="none"/>
        </w:tabs>
        <w:spacing w:before="249"/>
        <w:ind w:left="278"/>
      </w:pPr>
      <w:r>
        <w:rPr>
          <w:w w:val="105"/>
        </w:rPr>
        <w:t>1991</w:t>
      </w:r>
      <w:r>
        <w:rPr>
          <w:spacing w:val="-6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present</w:t>
      </w:r>
      <w:r>
        <w:rPr/>
        <w:tab/>
      </w:r>
      <w:r>
        <w:rPr>
          <w:w w:val="105"/>
        </w:rPr>
        <w:t>University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Washington</w:t>
      </w:r>
    </w:p>
    <w:p>
      <w:pPr>
        <w:pStyle w:val="BodyText"/>
        <w:spacing w:line="244" w:lineRule="auto" w:before="11"/>
        <w:ind w:left="2438" w:right="4174"/>
      </w:pPr>
      <w:r>
        <w:rPr>
          <w:w w:val="105"/>
        </w:rPr>
        <w:t>Department of Economics Associate Professor, 1995-present</w:t>
      </w:r>
    </w:p>
    <w:p>
      <w:pPr>
        <w:pStyle w:val="BodyText"/>
        <w:spacing w:line="244" w:lineRule="auto" w:before="2"/>
        <w:ind w:left="2438" w:right="801"/>
      </w:pPr>
      <w:r>
        <w:rPr>
          <w:w w:val="105"/>
        </w:rPr>
        <w:t>Graduate Program Coordinator, 1995-1997, 1999-2000, 2002-2004 Faculty Council on Academic Standards, 2013-2019</w:t>
      </w:r>
    </w:p>
    <w:p>
      <w:pPr>
        <w:pStyle w:val="BodyText"/>
        <w:spacing w:before="2"/>
        <w:ind w:left="2438"/>
      </w:pPr>
      <w:r>
        <w:rPr/>
        <w:t>Faculty</w:t>
      </w:r>
      <w:r>
        <w:rPr>
          <w:spacing w:val="69"/>
        </w:rPr>
        <w:t> </w:t>
      </w:r>
      <w:r>
        <w:rPr/>
        <w:t>Council</w:t>
      </w:r>
      <w:r>
        <w:rPr>
          <w:spacing w:val="69"/>
        </w:rPr>
        <w:t> </w:t>
      </w:r>
      <w:r>
        <w:rPr/>
        <w:t>on</w:t>
      </w:r>
      <w:r>
        <w:rPr>
          <w:spacing w:val="70"/>
        </w:rPr>
        <w:t> </w:t>
      </w:r>
      <w:r>
        <w:rPr/>
        <w:t>Information</w:t>
      </w:r>
      <w:r>
        <w:rPr>
          <w:spacing w:val="69"/>
        </w:rPr>
        <w:t> </w:t>
      </w:r>
      <w:r>
        <w:rPr/>
        <w:t>Technology</w:t>
      </w:r>
      <w:r>
        <w:rPr>
          <w:spacing w:val="69"/>
        </w:rPr>
        <w:t> </w:t>
      </w:r>
      <w:r>
        <w:rPr/>
        <w:t>and</w:t>
      </w:r>
      <w:r>
        <w:rPr>
          <w:spacing w:val="70"/>
        </w:rPr>
        <w:t> </w:t>
      </w:r>
      <w:r>
        <w:rPr/>
        <w:t>Cybersecurity,</w:t>
      </w:r>
      <w:r>
        <w:rPr>
          <w:spacing w:val="69"/>
        </w:rPr>
        <w:t> </w:t>
      </w:r>
      <w:r>
        <w:rPr/>
        <w:t>2021-</w:t>
      </w:r>
      <w:r>
        <w:rPr>
          <w:spacing w:val="-4"/>
        </w:rPr>
        <w:t>2022</w:t>
      </w:r>
    </w:p>
    <w:p>
      <w:pPr>
        <w:pStyle w:val="BodyText"/>
        <w:tabs>
          <w:tab w:pos="2438" w:val="left" w:leader="none"/>
        </w:tabs>
        <w:spacing w:line="244" w:lineRule="auto" w:before="246"/>
        <w:ind w:left="2438" w:right="5019" w:hanging="2160"/>
      </w:pPr>
      <w:r>
        <w:rPr>
          <w:w w:val="105"/>
        </w:rPr>
        <w:t>1982 - 1991</w:t>
      </w:r>
      <w:r>
        <w:rPr/>
        <w:tab/>
      </w:r>
      <w:r>
        <w:rPr>
          <w:w w:val="105"/>
        </w:rPr>
        <w:t>Duke University Department of Economics Assistant Professor</w:t>
      </w:r>
    </w:p>
    <w:p>
      <w:pPr>
        <w:pStyle w:val="Heading1"/>
        <w:spacing w:before="255"/>
      </w:pPr>
      <w:r>
        <w:rPr>
          <w:spacing w:val="-2"/>
        </w:rPr>
        <w:t>Education</w:t>
      </w:r>
    </w:p>
    <w:p>
      <w:pPr>
        <w:pStyle w:val="BodyText"/>
        <w:tabs>
          <w:tab w:pos="2438" w:val="left" w:leader="none"/>
        </w:tabs>
        <w:spacing w:line="244" w:lineRule="auto" w:before="249"/>
        <w:ind w:left="2438" w:right="5113" w:hanging="2160"/>
      </w:pPr>
      <w:r>
        <w:rPr>
          <w:w w:val="105"/>
        </w:rPr>
        <w:t>1977 - 1982</w:t>
      </w:r>
      <w:r>
        <w:rPr/>
        <w:tab/>
      </w:r>
      <w:r>
        <w:rPr>
          <w:w w:val="105"/>
        </w:rPr>
        <w:t>Stanford University</w:t>
      </w:r>
      <w:r>
        <w:rPr>
          <w:spacing w:val="80"/>
          <w:w w:val="150"/>
        </w:rPr>
        <w:t> </w:t>
      </w:r>
      <w:r>
        <w:rPr>
          <w:w w:val="105"/>
        </w:rPr>
        <w:t>Ph.D. in Economics 1982</w:t>
      </w:r>
    </w:p>
    <w:p>
      <w:pPr>
        <w:pStyle w:val="BodyText"/>
        <w:spacing w:line="244" w:lineRule="auto" w:before="2"/>
        <w:ind w:left="2438"/>
      </w:pPr>
      <w:r>
        <w:rPr>
          <w:w w:val="110"/>
        </w:rPr>
        <w:t>Dissertation:</w:t>
      </w:r>
      <w:r>
        <w:rPr>
          <w:spacing w:val="35"/>
          <w:w w:val="110"/>
        </w:rPr>
        <w:t> </w:t>
      </w:r>
      <w:r>
        <w:rPr>
          <w:w w:val="110"/>
        </w:rPr>
        <w:t>"Monetary</w:t>
      </w:r>
      <w:r>
        <w:rPr>
          <w:spacing w:val="-9"/>
          <w:w w:val="110"/>
        </w:rPr>
        <w:t> </w:t>
      </w:r>
      <w:r>
        <w:rPr>
          <w:w w:val="110"/>
        </w:rPr>
        <w:t>Control</w:t>
      </w:r>
      <w:r>
        <w:rPr>
          <w:spacing w:val="-9"/>
          <w:w w:val="110"/>
        </w:rPr>
        <w:t> </w:t>
      </w:r>
      <w:r>
        <w:rPr>
          <w:w w:val="110"/>
        </w:rPr>
        <w:t>During</w:t>
      </w:r>
      <w:r>
        <w:rPr>
          <w:spacing w:val="-9"/>
          <w:w w:val="110"/>
        </w:rPr>
        <w:t> </w:t>
      </w:r>
      <w:r>
        <w:rPr>
          <w:w w:val="110"/>
        </w:rPr>
        <w:t>an</w:t>
      </w:r>
      <w:r>
        <w:rPr>
          <w:spacing w:val="-9"/>
          <w:w w:val="110"/>
        </w:rPr>
        <w:t> </w:t>
      </w:r>
      <w:r>
        <w:rPr>
          <w:w w:val="110"/>
        </w:rPr>
        <w:t>Economic</w:t>
      </w:r>
      <w:r>
        <w:rPr>
          <w:spacing w:val="-9"/>
          <w:w w:val="110"/>
        </w:rPr>
        <w:t> </w:t>
      </w:r>
      <w:r>
        <w:rPr>
          <w:w w:val="110"/>
        </w:rPr>
        <w:t>Liberalization: Theory and Evidence from the Chilean Financial Reforms"</w:t>
      </w:r>
    </w:p>
    <w:p>
      <w:pPr>
        <w:pStyle w:val="BodyText"/>
        <w:spacing w:before="13"/>
      </w:pPr>
    </w:p>
    <w:p>
      <w:pPr>
        <w:pStyle w:val="BodyText"/>
        <w:tabs>
          <w:tab w:pos="2438" w:val="left" w:leader="none"/>
        </w:tabs>
        <w:ind w:left="278"/>
      </w:pPr>
      <w:r>
        <w:rPr>
          <w:w w:val="105"/>
        </w:rPr>
        <w:t>1972</w:t>
      </w:r>
      <w:r>
        <w:rPr>
          <w:spacing w:val="-6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1976</w:t>
      </w:r>
      <w:r>
        <w:rPr/>
        <w:tab/>
      </w:r>
      <w:r>
        <w:rPr>
          <w:w w:val="105"/>
        </w:rPr>
        <w:t>Princeton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before="6"/>
        <w:ind w:left="2438"/>
      </w:pPr>
      <w:r>
        <w:rPr>
          <w:w w:val="110"/>
        </w:rPr>
        <w:t>B.A.</w:t>
      </w:r>
      <w:r>
        <w:rPr>
          <w:spacing w:val="-2"/>
          <w:w w:val="110"/>
        </w:rPr>
        <w:t> </w:t>
      </w:r>
      <w:r>
        <w:rPr>
          <w:w w:val="110"/>
        </w:rPr>
        <w:t>1976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honors</w:t>
      </w:r>
    </w:p>
    <w:p>
      <w:pPr>
        <w:pStyle w:val="Heading1"/>
        <w:spacing w:before="259"/>
      </w:pPr>
      <w:r>
        <w:rPr/>
        <w:t>Editorial</w:t>
      </w:r>
      <w:r>
        <w:rPr>
          <w:spacing w:val="-1"/>
        </w:rPr>
        <w:t> </w:t>
      </w:r>
      <w:r>
        <w:rPr>
          <w:spacing w:val="-2"/>
        </w:rPr>
        <w:t>Board</w:t>
      </w:r>
    </w:p>
    <w:p>
      <w:pPr>
        <w:pStyle w:val="BodyText"/>
        <w:spacing w:before="273"/>
        <w:ind w:left="278"/>
      </w:pPr>
      <w:r>
        <w:rPr>
          <w:w w:val="110"/>
        </w:rPr>
        <w:t>Historia Agraria</w:t>
      </w:r>
      <w:r>
        <w:rPr>
          <w:spacing w:val="1"/>
          <w:w w:val="110"/>
        </w:rPr>
        <w:t> </w:t>
      </w:r>
      <w:r>
        <w:rPr>
          <w:w w:val="110"/>
        </w:rPr>
        <w:t>de América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Latina</w:t>
      </w:r>
    </w:p>
    <w:p>
      <w:pPr>
        <w:pStyle w:val="BodyText"/>
        <w:spacing w:line="244" w:lineRule="auto" w:before="6"/>
        <w:ind w:left="998" w:right="801"/>
      </w:pPr>
      <w:r>
        <w:rPr>
          <w:w w:val="105"/>
        </w:rPr>
        <w:t>Centro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Estudios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Historia</w:t>
      </w:r>
      <w:r>
        <w:rPr>
          <w:spacing w:val="40"/>
          <w:w w:val="105"/>
        </w:rPr>
        <w:t> </w:t>
      </w:r>
      <w:r>
        <w:rPr>
          <w:w w:val="105"/>
        </w:rPr>
        <w:t>Agraria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América</w:t>
      </w:r>
      <w:r>
        <w:rPr>
          <w:spacing w:val="40"/>
          <w:w w:val="105"/>
        </w:rPr>
        <w:t> </w:t>
      </w:r>
      <w:r>
        <w:rPr>
          <w:w w:val="105"/>
        </w:rPr>
        <w:t>Latina</w:t>
      </w:r>
      <w:r>
        <w:rPr>
          <w:spacing w:val="40"/>
          <w:w w:val="105"/>
        </w:rPr>
        <w:t> </w:t>
      </w:r>
      <w:r>
        <w:rPr>
          <w:w w:val="105"/>
        </w:rPr>
        <w:t>(CEHAL) </w:t>
      </w:r>
      <w:r>
        <w:rPr>
          <w:spacing w:val="-2"/>
          <w:w w:val="105"/>
        </w:rPr>
        <w:t>https://haal.cl</w:t>
      </w:r>
    </w:p>
    <w:p>
      <w:pPr>
        <w:pStyle w:val="Heading1"/>
        <w:spacing w:before="254"/>
      </w:pPr>
      <w:r>
        <w:rPr/>
        <w:t>Working</w:t>
      </w:r>
      <w:r>
        <w:rPr>
          <w:spacing w:val="-2"/>
        </w:rPr>
        <w:t> Papers</w:t>
      </w:r>
    </w:p>
    <w:p>
      <w:pPr>
        <w:pStyle w:val="BodyText"/>
        <w:spacing w:line="244" w:lineRule="auto" w:before="264"/>
        <w:ind w:left="998" w:hanging="720"/>
      </w:pP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California</w:t>
      </w:r>
      <w:r>
        <w:rPr>
          <w:spacing w:val="38"/>
          <w:w w:val="105"/>
        </w:rPr>
        <w:t> </w:t>
      </w:r>
      <w:r>
        <w:rPr>
          <w:w w:val="105"/>
        </w:rPr>
        <w:t>Gold</w:t>
      </w:r>
      <w:r>
        <w:rPr>
          <w:spacing w:val="38"/>
          <w:w w:val="105"/>
        </w:rPr>
        <w:t> </w:t>
      </w:r>
      <w:r>
        <w:rPr>
          <w:w w:val="105"/>
        </w:rPr>
        <w:t>Rush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Creation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Chile’s</w:t>
      </w:r>
      <w:r>
        <w:rPr>
          <w:spacing w:val="38"/>
          <w:w w:val="105"/>
        </w:rPr>
        <w:t> </w:t>
      </w:r>
      <w:r>
        <w:rPr>
          <w:w w:val="105"/>
        </w:rPr>
        <w:t>National</w:t>
      </w:r>
      <w:r>
        <w:rPr>
          <w:spacing w:val="38"/>
          <w:w w:val="105"/>
        </w:rPr>
        <w:t> </w:t>
      </w:r>
      <w:r>
        <w:rPr>
          <w:w w:val="105"/>
        </w:rPr>
        <w:t>Mortgage</w:t>
      </w:r>
      <w:r>
        <w:rPr>
          <w:spacing w:val="38"/>
          <w:w w:val="105"/>
        </w:rPr>
        <w:t> </w:t>
      </w:r>
      <w:r>
        <w:rPr>
          <w:w w:val="105"/>
        </w:rPr>
        <w:t>Bank,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Caja</w:t>
      </w:r>
      <w:r>
        <w:rPr>
          <w:spacing w:val="38"/>
          <w:w w:val="105"/>
        </w:rPr>
        <w:t> </w:t>
      </w:r>
      <w:r>
        <w:rPr>
          <w:w w:val="105"/>
        </w:rPr>
        <w:t>de Crédito Hipotecario (March 2022).</w:t>
      </w:r>
      <w:r>
        <w:rPr>
          <w:spacing w:val="40"/>
          <w:w w:val="105"/>
        </w:rPr>
        <w:t> </w:t>
      </w:r>
      <w:hyperlink r:id="rId6">
        <w:r>
          <w:rPr>
            <w:color w:val="0000FF"/>
            <w:w w:val="105"/>
            <w:u w:val="single" w:color="0000FF"/>
          </w:rPr>
          <w:t>www.philiplbrock.com</w:t>
        </w:r>
      </w:hyperlink>
    </w:p>
    <w:p>
      <w:pPr>
        <w:pStyle w:val="BodyText"/>
        <w:spacing w:after="0" w:line="244" w:lineRule="auto"/>
        <w:sectPr>
          <w:type w:val="continuous"/>
          <w:pgSz w:w="12240" w:h="15840"/>
          <w:pgMar w:top="1100" w:bottom="280" w:left="1080" w:right="1080"/>
        </w:sectPr>
      </w:pPr>
    </w:p>
    <w:p>
      <w:pPr>
        <w:pStyle w:val="BodyText"/>
        <w:spacing w:line="244" w:lineRule="auto" w:before="98"/>
        <w:ind w:left="998" w:hanging="720"/>
      </w:pP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Creation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a</w:t>
      </w:r>
      <w:r>
        <w:rPr>
          <w:spacing w:val="24"/>
          <w:w w:val="105"/>
        </w:rPr>
        <w:t> </w:t>
      </w:r>
      <w:r>
        <w:rPr>
          <w:w w:val="105"/>
        </w:rPr>
        <w:t>Securitized</w:t>
      </w:r>
      <w:r>
        <w:rPr>
          <w:spacing w:val="24"/>
          <w:w w:val="105"/>
        </w:rPr>
        <w:t> </w:t>
      </w:r>
      <w:r>
        <w:rPr>
          <w:w w:val="105"/>
        </w:rPr>
        <w:t>Financial</w:t>
      </w:r>
      <w:r>
        <w:rPr>
          <w:spacing w:val="24"/>
          <w:w w:val="105"/>
        </w:rPr>
        <w:t> </w:t>
      </w:r>
      <w:r>
        <w:rPr>
          <w:w w:val="105"/>
        </w:rPr>
        <w:t>System in</w:t>
      </w:r>
      <w:r>
        <w:rPr>
          <w:spacing w:val="24"/>
          <w:w w:val="105"/>
        </w:rPr>
        <w:t> </w:t>
      </w:r>
      <w:r>
        <w:rPr>
          <w:w w:val="105"/>
        </w:rPr>
        <w:t>Chile:</w:t>
      </w:r>
      <w:r>
        <w:rPr>
          <w:spacing w:val="80"/>
          <w:w w:val="105"/>
        </w:rPr>
        <w:t> </w:t>
      </w:r>
      <w:r>
        <w:rPr>
          <w:w w:val="105"/>
        </w:rPr>
        <w:t>1855-1856</w:t>
      </w:r>
      <w:r>
        <w:rPr>
          <w:spacing w:val="24"/>
          <w:w w:val="105"/>
        </w:rPr>
        <w:t> </w:t>
      </w:r>
      <w:r>
        <w:rPr>
          <w:w w:val="105"/>
        </w:rPr>
        <w:t>(March</w:t>
      </w:r>
      <w:r>
        <w:rPr>
          <w:spacing w:val="24"/>
          <w:w w:val="105"/>
        </w:rPr>
        <w:t> </w:t>
      </w:r>
      <w:r>
        <w:rPr>
          <w:w w:val="105"/>
        </w:rPr>
        <w:t>2019,</w:t>
      </w:r>
      <w:r>
        <w:rPr>
          <w:spacing w:val="24"/>
          <w:w w:val="105"/>
        </w:rPr>
        <w:t> </w:t>
      </w:r>
      <w:r>
        <w:rPr>
          <w:w w:val="105"/>
        </w:rPr>
        <w:t>revised September 2019) </w:t>
      </w:r>
      <w:hyperlink r:id="rId6">
        <w:r>
          <w:rPr>
            <w:color w:val="0000FF"/>
            <w:w w:val="105"/>
            <w:u w:val="single" w:color="0000FF"/>
          </w:rPr>
          <w:t>www.philiplbrock.com</w:t>
        </w:r>
      </w:hyperlink>
    </w:p>
    <w:p>
      <w:pPr>
        <w:pStyle w:val="BodyText"/>
        <w:spacing w:before="8"/>
      </w:pPr>
    </w:p>
    <w:p>
      <w:pPr>
        <w:pStyle w:val="BodyText"/>
        <w:spacing w:line="244" w:lineRule="auto"/>
        <w:ind w:left="998" w:hanging="720"/>
      </w:pPr>
      <w:r>
        <w:rPr>
          <w:w w:val="110"/>
        </w:rPr>
        <w:t>The Origins of Government Guarantees on Bank Notes in Nineteenth-Century Chile (March 2017).</w:t>
      </w:r>
      <w:r>
        <w:rPr>
          <w:spacing w:val="-1"/>
          <w:w w:val="110"/>
        </w:rPr>
        <w:t> </w:t>
      </w:r>
      <w:hyperlink r:id="rId6">
        <w:r>
          <w:rPr>
            <w:color w:val="0000FF"/>
            <w:w w:val="110"/>
            <w:u w:val="single" w:color="0000FF"/>
          </w:rPr>
          <w:t>www.philiplbrock.com</w:t>
        </w:r>
      </w:hyperlink>
    </w:p>
    <w:p>
      <w:pPr>
        <w:pStyle w:val="BodyText"/>
        <w:spacing w:before="8"/>
      </w:pPr>
    </w:p>
    <w:p>
      <w:pPr>
        <w:pStyle w:val="BodyText"/>
        <w:spacing w:line="244" w:lineRule="auto"/>
        <w:ind w:left="998" w:hanging="720"/>
      </w:pPr>
      <w:r>
        <w:rPr>
          <w:w w:val="110"/>
        </w:rPr>
        <w:t>Mortgage</w:t>
      </w:r>
      <w:r>
        <w:rPr>
          <w:spacing w:val="-3"/>
          <w:w w:val="110"/>
        </w:rPr>
        <w:t> </w:t>
      </w:r>
      <w:r>
        <w:rPr>
          <w:w w:val="110"/>
        </w:rPr>
        <w:t>Lending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Banking</w:t>
      </w:r>
      <w:r>
        <w:rPr>
          <w:spacing w:val="-3"/>
          <w:w w:val="110"/>
        </w:rPr>
        <w:t> </w:t>
      </w:r>
      <w:r>
        <w:rPr>
          <w:w w:val="110"/>
        </w:rPr>
        <w:t>Crises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Nineteenth</w:t>
      </w:r>
      <w:r>
        <w:rPr>
          <w:spacing w:val="-3"/>
          <w:w w:val="110"/>
        </w:rPr>
        <w:t> </w:t>
      </w:r>
      <w:r>
        <w:rPr>
          <w:w w:val="110"/>
        </w:rPr>
        <w:t>Century</w:t>
      </w:r>
      <w:r>
        <w:rPr>
          <w:spacing w:val="-3"/>
          <w:w w:val="110"/>
        </w:rPr>
        <w:t> </w:t>
      </w:r>
      <w:r>
        <w:rPr>
          <w:w w:val="110"/>
        </w:rPr>
        <w:t>Chile</w:t>
      </w:r>
      <w:r>
        <w:rPr>
          <w:spacing w:val="-3"/>
          <w:w w:val="110"/>
        </w:rPr>
        <w:t> </w:t>
      </w:r>
      <w:r>
        <w:rPr>
          <w:w w:val="110"/>
        </w:rPr>
        <w:t>(September</w:t>
      </w:r>
      <w:r>
        <w:rPr>
          <w:spacing w:val="-3"/>
          <w:w w:val="110"/>
        </w:rPr>
        <w:t> </w:t>
      </w:r>
      <w:r>
        <w:rPr>
          <w:w w:val="110"/>
        </w:rPr>
        <w:t>2106) </w:t>
      </w:r>
      <w:hyperlink r:id="rId6">
        <w:r>
          <w:rPr>
            <w:color w:val="0000FF"/>
            <w:spacing w:val="-2"/>
            <w:w w:val="110"/>
            <w:u w:val="single" w:color="0000FF"/>
          </w:rPr>
          <w:t>www.philiplbrock.com</w:t>
        </w:r>
      </w:hyperlink>
    </w:p>
    <w:p>
      <w:pPr>
        <w:pStyle w:val="BodyText"/>
        <w:spacing w:before="13"/>
      </w:pPr>
    </w:p>
    <w:p>
      <w:pPr>
        <w:pStyle w:val="BodyText"/>
        <w:spacing w:line="244" w:lineRule="auto"/>
        <w:ind w:left="998" w:right="358" w:hanging="720"/>
      </w:pPr>
      <w:r>
        <w:rPr>
          <w:w w:val="105"/>
        </w:rPr>
        <w:t>Investment</w:t>
      </w:r>
      <w:r>
        <w:rPr>
          <w:spacing w:val="40"/>
          <w:w w:val="105"/>
        </w:rPr>
        <w:t> </w:t>
      </w:r>
      <w:r>
        <w:rPr>
          <w:w w:val="105"/>
        </w:rPr>
        <w:t>Efficiency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Welfare</w:t>
      </w:r>
      <w:r>
        <w:rPr>
          <w:spacing w:val="40"/>
          <w:w w:val="105"/>
        </w:rPr>
        <w:t> </w:t>
      </w:r>
      <w:r>
        <w:rPr>
          <w:w w:val="105"/>
        </w:rPr>
        <w:t>Gain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Financial</w:t>
      </w:r>
      <w:r>
        <w:rPr>
          <w:spacing w:val="40"/>
          <w:w w:val="105"/>
        </w:rPr>
        <w:t> </w:t>
      </w:r>
      <w:r>
        <w:rPr>
          <w:w w:val="105"/>
        </w:rPr>
        <w:t>Integration (September 2016 revised). </w:t>
      </w:r>
      <w:hyperlink r:id="rId6">
        <w:r>
          <w:rPr>
            <w:color w:val="0000FF"/>
            <w:w w:val="105"/>
            <w:u w:val="single" w:color="0000FF"/>
          </w:rPr>
          <w:t>www.philiplbrock.com</w:t>
        </w:r>
      </w:hyperlink>
    </w:p>
    <w:p>
      <w:pPr>
        <w:pStyle w:val="Heading1"/>
        <w:spacing w:before="254"/>
      </w:pPr>
      <w:r>
        <w:rPr>
          <w:spacing w:val="-2"/>
        </w:rPr>
        <w:t>Publications</w:t>
      </w:r>
    </w:p>
    <w:p>
      <w:pPr>
        <w:spacing w:before="228"/>
        <w:ind w:left="278" w:right="0" w:firstLine="0"/>
        <w:jc w:val="left"/>
        <w:rPr>
          <w:rFonts w:ascii="Verdana"/>
          <w:i/>
          <w:sz w:val="22"/>
        </w:rPr>
      </w:pPr>
      <w:r>
        <w:rPr>
          <w:rFonts w:ascii="Verdana"/>
          <w:i/>
          <w:spacing w:val="-2"/>
          <w:sz w:val="22"/>
        </w:rPr>
        <w:t>Articles</w:t>
      </w:r>
    </w:p>
    <w:p>
      <w:pPr>
        <w:pStyle w:val="BodyText"/>
        <w:spacing w:before="19"/>
        <w:rPr>
          <w:rFonts w:ascii="Verdana"/>
          <w:i/>
        </w:rPr>
      </w:pPr>
    </w:p>
    <w:p>
      <w:pPr>
        <w:pStyle w:val="BodyText"/>
        <w:spacing w:line="244" w:lineRule="auto"/>
        <w:ind w:left="998" w:hanging="720"/>
      </w:pP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California</w:t>
      </w:r>
      <w:r>
        <w:rPr>
          <w:spacing w:val="38"/>
          <w:w w:val="105"/>
        </w:rPr>
        <w:t> </w:t>
      </w:r>
      <w:r>
        <w:rPr>
          <w:w w:val="105"/>
        </w:rPr>
        <w:t>Gold</w:t>
      </w:r>
      <w:r>
        <w:rPr>
          <w:spacing w:val="38"/>
          <w:w w:val="105"/>
        </w:rPr>
        <w:t> </w:t>
      </w:r>
      <w:r>
        <w:rPr>
          <w:w w:val="105"/>
        </w:rPr>
        <w:t>Rush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Creation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Chile’s</w:t>
      </w:r>
      <w:r>
        <w:rPr>
          <w:spacing w:val="38"/>
          <w:w w:val="105"/>
        </w:rPr>
        <w:t> </w:t>
      </w:r>
      <w:r>
        <w:rPr>
          <w:w w:val="105"/>
        </w:rPr>
        <w:t>National</w:t>
      </w:r>
      <w:r>
        <w:rPr>
          <w:spacing w:val="38"/>
          <w:w w:val="105"/>
        </w:rPr>
        <w:t> </w:t>
      </w:r>
      <w:r>
        <w:rPr>
          <w:w w:val="105"/>
        </w:rPr>
        <w:t>Mortgage</w:t>
      </w:r>
      <w:r>
        <w:rPr>
          <w:spacing w:val="38"/>
          <w:w w:val="105"/>
        </w:rPr>
        <w:t> </w:t>
      </w:r>
      <w:r>
        <w:rPr>
          <w:w w:val="105"/>
        </w:rPr>
        <w:t>Bank,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Caja</w:t>
      </w:r>
      <w:r>
        <w:rPr>
          <w:spacing w:val="38"/>
          <w:w w:val="105"/>
        </w:rPr>
        <w:t> </w:t>
      </w:r>
      <w:r>
        <w:rPr>
          <w:w w:val="105"/>
        </w:rPr>
        <w:t>de Crédito Hipotecario.</w:t>
      </w:r>
      <w:r>
        <w:rPr>
          <w:spacing w:val="80"/>
          <w:w w:val="105"/>
        </w:rPr>
        <w:t> </w:t>
      </w:r>
      <w:r>
        <w:rPr>
          <w:i/>
          <w:w w:val="105"/>
        </w:rPr>
        <w:t>Historia Agraria de América Latina </w:t>
      </w:r>
      <w:r>
        <w:rPr>
          <w:w w:val="105"/>
        </w:rPr>
        <w:t>3:2 (November 2022).</w:t>
      </w:r>
      <w:r>
        <w:rPr>
          <w:spacing w:val="80"/>
          <w:w w:val="105"/>
        </w:rPr>
        <w:t> </w:t>
      </w:r>
      <w:hyperlink r:id="rId6">
        <w:r>
          <w:rPr>
            <w:color w:val="800080"/>
            <w:spacing w:val="-2"/>
            <w:w w:val="105"/>
            <w:u w:val="single" w:color="800080"/>
          </w:rPr>
          <w:t>www.philiplbrock.com</w:t>
        </w:r>
      </w:hyperlink>
    </w:p>
    <w:p>
      <w:pPr>
        <w:pStyle w:val="BodyText"/>
        <w:spacing w:before="23"/>
      </w:pPr>
    </w:p>
    <w:p>
      <w:pPr>
        <w:pStyle w:val="BodyText"/>
        <w:spacing w:before="1"/>
        <w:ind w:left="278"/>
      </w:pP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Penn-Balassa-Samuelson</w:t>
      </w:r>
      <w:r>
        <w:rPr>
          <w:spacing w:val="-10"/>
          <w:w w:val="110"/>
        </w:rPr>
        <w:t> </w:t>
      </w:r>
      <w:r>
        <w:rPr>
          <w:w w:val="110"/>
        </w:rPr>
        <w:t>Effect</w:t>
      </w:r>
      <w:r>
        <w:rPr>
          <w:spacing w:val="-9"/>
          <w:w w:val="110"/>
        </w:rPr>
        <w:t> </w:t>
      </w:r>
      <w:r>
        <w:rPr>
          <w:w w:val="110"/>
        </w:rPr>
        <w:t>Through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Lens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Dependent</w:t>
      </w:r>
      <w:r>
        <w:rPr>
          <w:spacing w:val="-9"/>
          <w:w w:val="110"/>
        </w:rPr>
        <w:t> </w:t>
      </w:r>
      <w:r>
        <w:rPr>
          <w:w w:val="110"/>
        </w:rPr>
        <w:t>Economy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Model,</w:t>
      </w:r>
    </w:p>
    <w:p>
      <w:pPr>
        <w:spacing w:before="6"/>
        <w:ind w:left="998" w:right="0" w:firstLine="0"/>
        <w:jc w:val="left"/>
        <w:rPr>
          <w:sz w:val="22"/>
        </w:rPr>
      </w:pPr>
      <w:r>
        <w:rPr>
          <w:i/>
          <w:w w:val="110"/>
          <w:sz w:val="22"/>
        </w:rPr>
        <w:t>Journal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Dynamics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Control</w:t>
      </w:r>
      <w:r>
        <w:rPr>
          <w:w w:val="110"/>
          <w:sz w:val="22"/>
        </w:rPr>
        <w:t>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35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(2011):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1547-</w:t>
      </w:r>
      <w:r>
        <w:rPr>
          <w:spacing w:val="-5"/>
          <w:w w:val="110"/>
          <w:sz w:val="22"/>
        </w:rPr>
        <w:t>56.</w:t>
      </w:r>
    </w:p>
    <w:p>
      <w:pPr>
        <w:pStyle w:val="BodyText"/>
        <w:spacing w:before="12"/>
      </w:pPr>
    </w:p>
    <w:p>
      <w:pPr>
        <w:pStyle w:val="BodyText"/>
        <w:spacing w:line="249" w:lineRule="auto"/>
        <w:ind w:left="998" w:right="358" w:hanging="720"/>
      </w:pP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Securitization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Mortgages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Economic</w:t>
      </w:r>
      <w:r>
        <w:rPr>
          <w:spacing w:val="-7"/>
          <w:w w:val="110"/>
        </w:rPr>
        <w:t> </w:t>
      </w:r>
      <w:r>
        <w:rPr>
          <w:w w:val="110"/>
        </w:rPr>
        <w:t>Development:</w:t>
      </w:r>
      <w:r>
        <w:rPr>
          <w:spacing w:val="-7"/>
          <w:w w:val="110"/>
        </w:rPr>
        <w:t> </w:t>
      </w:r>
      <w:r>
        <w:rPr>
          <w:w w:val="110"/>
        </w:rPr>
        <w:t>An</w:t>
      </w:r>
      <w:r>
        <w:rPr>
          <w:spacing w:val="-7"/>
          <w:w w:val="110"/>
        </w:rPr>
        <w:t> </w:t>
      </w:r>
      <w:r>
        <w:rPr>
          <w:w w:val="110"/>
        </w:rPr>
        <w:t>Essay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National Mortgage Bank of Chile, </w:t>
      </w:r>
      <w:r>
        <w:rPr>
          <w:i/>
          <w:w w:val="110"/>
        </w:rPr>
        <w:t>Economía Chilena </w:t>
      </w:r>
      <w:r>
        <w:rPr>
          <w:w w:val="110"/>
        </w:rPr>
        <w:t>12 (2009): 69-93.</w:t>
      </w:r>
    </w:p>
    <w:p>
      <w:pPr>
        <w:pStyle w:val="BodyText"/>
        <w:spacing w:before="2"/>
      </w:pPr>
    </w:p>
    <w:p>
      <w:pPr>
        <w:spacing w:line="244" w:lineRule="auto" w:before="0"/>
        <w:ind w:left="998" w:right="358" w:hanging="720"/>
        <w:jc w:val="left"/>
        <w:rPr>
          <w:sz w:val="22"/>
        </w:rPr>
      </w:pPr>
      <w:r>
        <w:rPr>
          <w:w w:val="110"/>
          <w:sz w:val="22"/>
        </w:rPr>
        <w:t>The Transfer Problem, in Larry Blume and Steven Durlauf, eds., </w:t>
      </w:r>
      <w:r>
        <w:rPr>
          <w:i/>
          <w:w w:val="110"/>
          <w:sz w:val="22"/>
        </w:rPr>
        <w:t>The New Palgrave Dictionary of Economics</w:t>
      </w:r>
      <w:r>
        <w:rPr>
          <w:w w:val="110"/>
          <w:sz w:val="22"/>
        </w:rPr>
        <w:t>, 2</w:t>
      </w:r>
      <w:r>
        <w:rPr>
          <w:w w:val="110"/>
          <w:position w:val="6"/>
          <w:sz w:val="14"/>
        </w:rPr>
        <w:t>nd</w:t>
      </w:r>
      <w:r>
        <w:rPr>
          <w:spacing w:val="23"/>
          <w:w w:val="110"/>
          <w:position w:val="6"/>
          <w:sz w:val="14"/>
        </w:rPr>
        <w:t> </w:t>
      </w:r>
      <w:r>
        <w:rPr>
          <w:w w:val="110"/>
          <w:sz w:val="22"/>
        </w:rPr>
        <w:t>Edition, Palgrave Macmillan, United Kingdom, 2008.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998" w:right="801" w:hanging="720"/>
      </w:pPr>
      <w:r>
        <w:rPr>
          <w:w w:val="110"/>
        </w:rPr>
        <w:t>Reforming Bank Capital Requirements:</w:t>
      </w:r>
      <w:r>
        <w:rPr>
          <w:spacing w:val="40"/>
          <w:w w:val="110"/>
        </w:rPr>
        <w:t> </w:t>
      </w:r>
      <w:r>
        <w:rPr>
          <w:w w:val="110"/>
        </w:rPr>
        <w:t>Implications of Basel II for Latin American Countries: Comment, </w:t>
      </w:r>
      <w:r>
        <w:rPr>
          <w:i/>
          <w:w w:val="110"/>
        </w:rPr>
        <w:t>Economía </w:t>
      </w:r>
      <w:r>
        <w:rPr>
          <w:w w:val="110"/>
        </w:rPr>
        <w:t>5 (2005).</w:t>
      </w:r>
    </w:p>
    <w:p>
      <w:pPr>
        <w:pStyle w:val="BodyText"/>
        <w:spacing w:before="8"/>
      </w:pPr>
    </w:p>
    <w:p>
      <w:pPr>
        <w:spacing w:line="247" w:lineRule="auto" w:before="0"/>
        <w:ind w:left="998" w:right="358" w:hanging="720"/>
        <w:jc w:val="left"/>
        <w:rPr>
          <w:sz w:val="22"/>
        </w:rPr>
      </w:pPr>
      <w:r>
        <w:rPr>
          <w:w w:val="110"/>
          <w:sz w:val="22"/>
        </w:rPr>
        <w:t>Trade Liberalization and Financial Crisis: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 Historical Comparison of Chile and the United States, in Anne O. Krueger and José Antonio González , eds., </w:t>
      </w:r>
      <w:r>
        <w:rPr>
          <w:i/>
          <w:w w:val="110"/>
          <w:sz w:val="22"/>
        </w:rPr>
        <w:t>Macroeconomic Reforms in Latin America: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The Second Generation</w:t>
      </w:r>
      <w:r>
        <w:rPr>
          <w:w w:val="110"/>
          <w:sz w:val="22"/>
        </w:rPr>
        <w:t>, Chicago, University of Chicago Press, 2003.</w:t>
      </w:r>
    </w:p>
    <w:p>
      <w:pPr>
        <w:pStyle w:val="BodyText"/>
        <w:spacing w:before="6"/>
      </w:pPr>
    </w:p>
    <w:p>
      <w:pPr>
        <w:pStyle w:val="BodyText"/>
        <w:spacing w:line="244" w:lineRule="auto"/>
        <w:ind w:left="998" w:right="169" w:hanging="720"/>
        <w:jc w:val="both"/>
      </w:pPr>
      <w:r>
        <w:rPr>
          <w:w w:val="110"/>
        </w:rPr>
        <w:t>Corrective</w:t>
      </w:r>
      <w:r>
        <w:rPr>
          <w:w w:val="110"/>
        </w:rPr>
        <w:t> Taxes</w:t>
      </w:r>
      <w:r>
        <w:rPr>
          <w:w w:val="110"/>
        </w:rPr>
        <w:t> and</w:t>
      </w:r>
      <w:r>
        <w:rPr>
          <w:w w:val="110"/>
        </w:rPr>
        <w:t> Quasi-Taxes</w:t>
      </w:r>
      <w:r>
        <w:rPr>
          <w:w w:val="110"/>
        </w:rPr>
        <w:t> for</w:t>
      </w:r>
      <w:r>
        <w:rPr>
          <w:w w:val="110"/>
        </w:rPr>
        <w:t> Financial</w:t>
      </w:r>
      <w:r>
        <w:rPr>
          <w:w w:val="110"/>
        </w:rPr>
        <w:t> Institutions:</w:t>
      </w:r>
      <w:r>
        <w:rPr>
          <w:spacing w:val="40"/>
          <w:w w:val="110"/>
        </w:rPr>
        <w:t> </w:t>
      </w:r>
      <w:r>
        <w:rPr>
          <w:w w:val="110"/>
        </w:rPr>
        <w:t>Mitigating</w:t>
      </w:r>
      <w:r>
        <w:rPr>
          <w:w w:val="110"/>
        </w:rPr>
        <w:t> Regulatory</w:t>
      </w:r>
      <w:r>
        <w:rPr>
          <w:w w:val="110"/>
        </w:rPr>
        <w:t> Moral Hazard</w:t>
      </w:r>
      <w:r>
        <w:rPr>
          <w:w w:val="110"/>
        </w:rPr>
        <w:t> Created</w:t>
      </w:r>
      <w:r>
        <w:rPr>
          <w:w w:val="110"/>
        </w:rPr>
        <w:t> by</w:t>
      </w:r>
      <w:r>
        <w:rPr>
          <w:w w:val="110"/>
        </w:rPr>
        <w:t> Deposit</w:t>
      </w:r>
      <w:r>
        <w:rPr>
          <w:w w:val="110"/>
        </w:rPr>
        <w:t> Insurance,</w:t>
      </w:r>
      <w:r>
        <w:rPr>
          <w:w w:val="110"/>
        </w:rPr>
        <w:t> in</w:t>
      </w:r>
      <w:r>
        <w:rPr>
          <w:w w:val="110"/>
        </w:rPr>
        <w:t> Patrick</w:t>
      </w:r>
      <w:r>
        <w:rPr>
          <w:w w:val="110"/>
        </w:rPr>
        <w:t> Honohan,</w:t>
      </w:r>
      <w:r>
        <w:rPr>
          <w:w w:val="110"/>
        </w:rPr>
        <w:t> ed.,</w:t>
      </w:r>
      <w:r>
        <w:rPr>
          <w:w w:val="110"/>
        </w:rPr>
        <w:t> </w:t>
      </w:r>
      <w:r>
        <w:rPr>
          <w:i/>
          <w:w w:val="110"/>
        </w:rPr>
        <w:t>The</w:t>
      </w:r>
      <w:r>
        <w:rPr>
          <w:i/>
          <w:w w:val="110"/>
        </w:rPr>
        <w:t> Taxation</w:t>
      </w:r>
      <w:r>
        <w:rPr>
          <w:i/>
          <w:w w:val="110"/>
        </w:rPr>
        <w:t> of Financial Intermediation</w:t>
      </w:r>
      <w:r>
        <w:rPr>
          <w:w w:val="110"/>
        </w:rPr>
        <w:t>, New York, Oxford University Press, 2003.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998" w:right="413" w:hanging="720"/>
      </w:pPr>
      <w:r>
        <w:rPr>
          <w:w w:val="110"/>
        </w:rPr>
        <w:t>Measuring the Determinants of Average and Marginal Bank Interest Rate Spreads in Chile, 1994-2001,</w:t>
      </w:r>
      <w:r>
        <w:rPr>
          <w:spacing w:val="-2"/>
          <w:w w:val="110"/>
        </w:rPr>
        <w:t> </w:t>
      </w:r>
      <w:r>
        <w:rPr>
          <w:i/>
          <w:w w:val="110"/>
        </w:rPr>
        <w:t>Economía</w:t>
      </w:r>
      <w:r>
        <w:rPr>
          <w:i/>
          <w:spacing w:val="-2"/>
          <w:w w:val="110"/>
        </w:rPr>
        <w:t> </w:t>
      </w:r>
      <w:r>
        <w:rPr>
          <w:i/>
          <w:w w:val="110"/>
        </w:rPr>
        <w:t>Chilena</w:t>
      </w:r>
      <w:r>
        <w:rPr>
          <w:i/>
          <w:spacing w:val="-2"/>
          <w:w w:val="110"/>
        </w:rPr>
        <w:t> </w:t>
      </w:r>
      <w:r>
        <w:rPr>
          <w:w w:val="110"/>
        </w:rPr>
        <w:t>6</w:t>
      </w:r>
      <w:r>
        <w:rPr>
          <w:spacing w:val="-2"/>
          <w:w w:val="110"/>
        </w:rPr>
        <w:t> </w:t>
      </w:r>
      <w:r>
        <w:rPr>
          <w:w w:val="110"/>
        </w:rPr>
        <w:t>(2003),</w:t>
      </w:r>
      <w:r>
        <w:rPr>
          <w:spacing w:val="-2"/>
          <w:w w:val="110"/>
        </w:rPr>
        <w:t> </w:t>
      </w:r>
      <w:r>
        <w:rPr>
          <w:w w:val="110"/>
        </w:rPr>
        <w:t>(co-authored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w w:val="110"/>
        </w:rPr>
        <w:t>Helmut</w:t>
      </w:r>
      <w:r>
        <w:rPr>
          <w:spacing w:val="-2"/>
          <w:w w:val="110"/>
        </w:rPr>
        <w:t> </w:t>
      </w:r>
      <w:r>
        <w:rPr>
          <w:w w:val="110"/>
        </w:rPr>
        <w:t>Franken).</w:t>
      </w:r>
    </w:p>
    <w:p>
      <w:pPr>
        <w:pStyle w:val="BodyText"/>
        <w:spacing w:before="8"/>
      </w:pPr>
    </w:p>
    <w:p>
      <w:pPr>
        <w:spacing w:line="249" w:lineRule="auto" w:before="0"/>
        <w:ind w:left="998" w:right="0" w:hanging="720"/>
        <w:jc w:val="left"/>
        <w:rPr>
          <w:sz w:val="22"/>
        </w:rPr>
      </w:pPr>
      <w:r>
        <w:rPr>
          <w:w w:val="110"/>
          <w:sz w:val="22"/>
        </w:rPr>
        <w:t>Understanding the Behavior of Bank Spreads in Latin America, </w:t>
      </w:r>
      <w:r>
        <w:rPr>
          <w:i/>
          <w:w w:val="110"/>
          <w:sz w:val="22"/>
        </w:rPr>
        <w:t>Journal of Development Economics</w:t>
      </w:r>
      <w:r>
        <w:rPr>
          <w:i/>
          <w:spacing w:val="-8"/>
          <w:w w:val="110"/>
          <w:sz w:val="22"/>
        </w:rPr>
        <w:t> </w:t>
      </w:r>
      <w:r>
        <w:rPr>
          <w:w w:val="110"/>
          <w:sz w:val="22"/>
        </w:rPr>
        <w:t>63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(2000):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113-134.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(co-authored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Liliana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Rojas-Suárez).</w:t>
      </w:r>
    </w:p>
    <w:p>
      <w:pPr>
        <w:pStyle w:val="BodyText"/>
        <w:spacing w:before="2"/>
      </w:pPr>
    </w:p>
    <w:p>
      <w:pPr>
        <w:spacing w:before="0"/>
        <w:ind w:left="278" w:right="0" w:firstLine="0"/>
        <w:jc w:val="left"/>
        <w:rPr>
          <w:sz w:val="22"/>
        </w:rPr>
      </w:pPr>
      <w:r>
        <w:rPr>
          <w:w w:val="110"/>
          <w:sz w:val="22"/>
        </w:rPr>
        <w:t>Financial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Safety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Nets: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Lessons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Chile,</w:t>
      </w:r>
      <w:r>
        <w:rPr>
          <w:spacing w:val="-9"/>
          <w:w w:val="110"/>
          <w:sz w:val="22"/>
        </w:rPr>
        <w:t> </w:t>
      </w:r>
      <w:r>
        <w:rPr>
          <w:i/>
          <w:w w:val="110"/>
          <w:sz w:val="22"/>
        </w:rPr>
        <w:t>World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Bank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Research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Observer</w:t>
      </w:r>
      <w:r>
        <w:rPr>
          <w:i/>
          <w:spacing w:val="-7"/>
          <w:w w:val="110"/>
          <w:sz w:val="22"/>
        </w:rPr>
        <w:t> </w:t>
      </w:r>
      <w:r>
        <w:rPr>
          <w:w w:val="110"/>
          <w:sz w:val="22"/>
        </w:rPr>
        <w:t>15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(2000):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69-</w:t>
      </w:r>
      <w:r>
        <w:rPr>
          <w:spacing w:val="-5"/>
          <w:w w:val="110"/>
          <w:sz w:val="22"/>
        </w:rPr>
        <w:t>84.</w:t>
      </w:r>
    </w:p>
    <w:p>
      <w:pPr>
        <w:pStyle w:val="BodyText"/>
        <w:spacing w:before="12"/>
      </w:pPr>
    </w:p>
    <w:p>
      <w:pPr>
        <w:pStyle w:val="BodyText"/>
        <w:ind w:left="278"/>
      </w:pPr>
      <w:r>
        <w:rPr>
          <w:w w:val="110"/>
        </w:rPr>
        <w:t>International</w:t>
      </w:r>
      <w:r>
        <w:rPr>
          <w:spacing w:val="-5"/>
          <w:w w:val="110"/>
        </w:rPr>
        <w:t> </w:t>
      </w:r>
      <w:r>
        <w:rPr>
          <w:w w:val="110"/>
        </w:rPr>
        <w:t>Transfers,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Relative</w:t>
      </w:r>
      <w:r>
        <w:rPr>
          <w:spacing w:val="-4"/>
          <w:w w:val="110"/>
        </w:rPr>
        <w:t> </w:t>
      </w:r>
      <w:r>
        <w:rPr>
          <w:w w:val="110"/>
        </w:rPr>
        <w:t>Price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Nontraded</w:t>
      </w:r>
      <w:r>
        <w:rPr>
          <w:spacing w:val="-4"/>
          <w:w w:val="110"/>
        </w:rPr>
        <w:t> </w:t>
      </w:r>
      <w:r>
        <w:rPr>
          <w:w w:val="110"/>
        </w:rPr>
        <w:t>Goods,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Current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Account,</w:t>
      </w:r>
    </w:p>
    <w:p>
      <w:pPr>
        <w:spacing w:before="6"/>
        <w:ind w:left="998" w:right="0" w:firstLine="0"/>
        <w:jc w:val="left"/>
        <w:rPr>
          <w:sz w:val="22"/>
        </w:rPr>
      </w:pPr>
      <w:r>
        <w:rPr>
          <w:i/>
          <w:w w:val="110"/>
          <w:sz w:val="22"/>
        </w:rPr>
        <w:t>Canadian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i/>
          <w:spacing w:val="-8"/>
          <w:w w:val="110"/>
          <w:sz w:val="22"/>
        </w:rPr>
        <w:t> </w:t>
      </w:r>
      <w:r>
        <w:rPr>
          <w:w w:val="110"/>
          <w:sz w:val="22"/>
        </w:rPr>
        <w:t>29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(1996):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163-</w:t>
      </w:r>
      <w:r>
        <w:rPr>
          <w:spacing w:val="-5"/>
          <w:w w:val="110"/>
          <w:sz w:val="22"/>
        </w:rPr>
        <w:t>80.</w:t>
      </w:r>
    </w:p>
    <w:p>
      <w:pPr>
        <w:spacing w:after="0"/>
        <w:jc w:val="left"/>
        <w:rPr>
          <w:sz w:val="22"/>
        </w:rPr>
        <w:sectPr>
          <w:headerReference w:type="default" r:id="rId7"/>
          <w:footerReference w:type="default" r:id="rId8"/>
          <w:pgSz w:w="12240" w:h="15840"/>
          <w:pgMar w:header="765" w:footer="791" w:top="1080" w:bottom="980" w:left="1080" w:right="1080"/>
          <w:pgNumType w:start="2"/>
        </w:sectPr>
      </w:pPr>
    </w:p>
    <w:p>
      <w:pPr>
        <w:pStyle w:val="BodyText"/>
        <w:spacing w:before="104"/>
      </w:pPr>
    </w:p>
    <w:p>
      <w:pPr>
        <w:spacing w:line="244" w:lineRule="auto" w:before="0"/>
        <w:ind w:left="998" w:right="0" w:hanging="720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Dependent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Economy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Model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Both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Traded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Nontraded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Capital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Goods,</w:t>
      </w:r>
      <w:r>
        <w:rPr>
          <w:spacing w:val="-9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of International</w:t>
      </w:r>
      <w:r>
        <w:rPr>
          <w:i/>
          <w:spacing w:val="-9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i/>
          <w:spacing w:val="-9"/>
          <w:w w:val="110"/>
          <w:sz w:val="22"/>
        </w:rPr>
        <w:t> </w:t>
      </w:r>
      <w:r>
        <w:rPr>
          <w:w w:val="110"/>
          <w:sz w:val="22"/>
        </w:rPr>
        <w:t>2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(1994):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306-25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(co-authored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S.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Turnovsky).</w:t>
      </w:r>
    </w:p>
    <w:p>
      <w:pPr>
        <w:pStyle w:val="BodyText"/>
        <w:spacing w:before="8"/>
      </w:pPr>
    </w:p>
    <w:p>
      <w:pPr>
        <w:spacing w:line="244" w:lineRule="auto" w:before="0"/>
        <w:ind w:left="998" w:right="202" w:hanging="720"/>
        <w:jc w:val="left"/>
        <w:rPr>
          <w:sz w:val="22"/>
        </w:rPr>
      </w:pPr>
      <w:r>
        <w:rPr>
          <w:w w:val="110"/>
          <w:sz w:val="22"/>
        </w:rPr>
        <w:t>Economic Development and the Relative Price of Nontradables: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Global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Dynamics of the </w:t>
      </w:r>
      <w:r>
        <w:rPr>
          <w:spacing w:val="-2"/>
          <w:w w:val="110"/>
          <w:sz w:val="22"/>
        </w:rPr>
        <w:t>Krueger-Deardorff-Leamer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Model,</w:t>
      </w:r>
      <w:r>
        <w:rPr>
          <w:spacing w:val="-4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Review</w:t>
      </w:r>
      <w:r>
        <w:rPr>
          <w:i/>
          <w:spacing w:val="-4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of</w:t>
      </w:r>
      <w:r>
        <w:rPr>
          <w:i/>
          <w:spacing w:val="-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International</w:t>
      </w:r>
      <w:r>
        <w:rPr>
          <w:i/>
          <w:spacing w:val="-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Economics</w:t>
      </w:r>
      <w:r>
        <w:rPr>
          <w:i/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2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(1994):</w:t>
      </w:r>
      <w:r>
        <w:rPr>
          <w:spacing w:val="40"/>
          <w:w w:val="110"/>
          <w:sz w:val="22"/>
        </w:rPr>
        <w:t> </w:t>
      </w:r>
      <w:r>
        <w:rPr>
          <w:spacing w:val="-2"/>
          <w:w w:val="110"/>
          <w:sz w:val="22"/>
        </w:rPr>
        <w:t>268-83.</w:t>
      </w:r>
    </w:p>
    <w:p>
      <w:pPr>
        <w:pStyle w:val="BodyText"/>
        <w:spacing w:before="8"/>
      </w:pPr>
    </w:p>
    <w:p>
      <w:pPr>
        <w:spacing w:before="0"/>
        <w:ind w:left="278" w:right="0" w:firstLine="0"/>
        <w:jc w:val="left"/>
        <w:rPr>
          <w:i/>
          <w:sz w:val="22"/>
        </w:rPr>
      </w:pP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Growth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Welfare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Consequences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Differential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Tariffs,</w:t>
      </w:r>
      <w:r>
        <w:rPr>
          <w:spacing w:val="-9"/>
          <w:w w:val="110"/>
          <w:sz w:val="22"/>
        </w:rPr>
        <w:t> </w:t>
      </w:r>
      <w:r>
        <w:rPr>
          <w:i/>
          <w:w w:val="110"/>
          <w:sz w:val="22"/>
        </w:rPr>
        <w:t>International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8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Review</w:t>
      </w:r>
    </w:p>
    <w:p>
      <w:pPr>
        <w:pStyle w:val="BodyText"/>
        <w:spacing w:before="11"/>
        <w:ind w:left="998"/>
      </w:pPr>
      <w:r>
        <w:rPr>
          <w:w w:val="105"/>
        </w:rPr>
        <w:t>39</w:t>
      </w:r>
      <w:r>
        <w:rPr>
          <w:spacing w:val="-9"/>
          <w:w w:val="105"/>
        </w:rPr>
        <w:t> </w:t>
      </w:r>
      <w:r>
        <w:rPr>
          <w:w w:val="105"/>
        </w:rPr>
        <w:t>(1993):</w:t>
      </w:r>
      <w:r>
        <w:rPr>
          <w:spacing w:val="-9"/>
          <w:w w:val="105"/>
        </w:rPr>
        <w:t> </w:t>
      </w:r>
      <w:r>
        <w:rPr>
          <w:w w:val="105"/>
        </w:rPr>
        <w:t>765-94</w:t>
      </w:r>
      <w:r>
        <w:rPr>
          <w:spacing w:val="-9"/>
          <w:w w:val="105"/>
        </w:rPr>
        <w:t> </w:t>
      </w:r>
      <w:r>
        <w:rPr>
          <w:w w:val="105"/>
        </w:rPr>
        <w:t>(co-authored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Stephen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Turnovsky).</w:t>
      </w:r>
    </w:p>
    <w:p>
      <w:pPr>
        <w:pStyle w:val="BodyText"/>
        <w:spacing w:before="12"/>
      </w:pPr>
    </w:p>
    <w:p>
      <w:pPr>
        <w:spacing w:line="244" w:lineRule="auto" w:before="0"/>
        <w:ind w:left="998" w:right="0" w:hanging="720"/>
        <w:jc w:val="left"/>
        <w:rPr>
          <w:sz w:val="22"/>
        </w:rPr>
      </w:pPr>
      <w:r>
        <w:rPr>
          <w:w w:val="110"/>
          <w:sz w:val="22"/>
        </w:rPr>
        <w:t>The Political Economy of Economic Adjustment: Chile, 1973 - 1990, in Robert H. Bates and Anne O. Krueger, eds., </w:t>
      </w:r>
      <w:r>
        <w:rPr>
          <w:i/>
          <w:w w:val="110"/>
          <w:sz w:val="22"/>
        </w:rPr>
        <w:t>Political and Economic Interactions in Economic Policy Reform: Evidence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from</w:t>
      </w:r>
      <w:r>
        <w:rPr>
          <w:i/>
          <w:spacing w:val="-9"/>
          <w:w w:val="110"/>
          <w:sz w:val="22"/>
        </w:rPr>
        <w:t> </w:t>
      </w:r>
      <w:r>
        <w:rPr>
          <w:i/>
          <w:w w:val="110"/>
          <w:sz w:val="22"/>
        </w:rPr>
        <w:t>Eight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Countries</w:t>
      </w:r>
      <w:r>
        <w:rPr>
          <w:w w:val="110"/>
          <w:sz w:val="22"/>
        </w:rPr>
        <w:t>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Oxford,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Basil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Blackwell,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1993,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78-122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(co-authored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with Barbara Stallings).</w:t>
      </w:r>
    </w:p>
    <w:p>
      <w:pPr>
        <w:pStyle w:val="BodyText"/>
        <w:spacing w:before="10"/>
      </w:pPr>
    </w:p>
    <w:p>
      <w:pPr>
        <w:spacing w:line="244" w:lineRule="auto" w:before="0"/>
        <w:ind w:left="998" w:right="0" w:hanging="720"/>
        <w:jc w:val="left"/>
        <w:rPr>
          <w:sz w:val="22"/>
        </w:rPr>
      </w:pPr>
      <w:r>
        <w:rPr>
          <w:w w:val="110"/>
          <w:sz w:val="22"/>
        </w:rPr>
        <w:t>External Shocks and Financial Collapse: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Foreign-Loan Guarantees and Intertemporal Substitution of Investment in Texas and Chile, </w:t>
      </w:r>
      <w:r>
        <w:rPr>
          <w:i/>
          <w:w w:val="110"/>
          <w:sz w:val="22"/>
        </w:rPr>
        <w:t>American Economic Review Papers and Proceedings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80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(1992):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168-73.</w:t>
      </w:r>
    </w:p>
    <w:p>
      <w:pPr>
        <w:pStyle w:val="BodyText"/>
        <w:spacing w:before="14"/>
      </w:pPr>
    </w:p>
    <w:p>
      <w:pPr>
        <w:spacing w:line="244" w:lineRule="auto" w:before="0"/>
        <w:ind w:left="998" w:right="358" w:hanging="720"/>
        <w:jc w:val="left"/>
        <w:rPr>
          <w:sz w:val="22"/>
        </w:rPr>
      </w:pPr>
      <w:r>
        <w:rPr>
          <w:w w:val="110"/>
          <w:sz w:val="22"/>
        </w:rPr>
        <w:t>The Macroeconomics of Loan-Loss Rollovers, in P. Brock, ed., </w:t>
      </w:r>
      <w:r>
        <w:rPr>
          <w:i/>
          <w:w w:val="110"/>
          <w:sz w:val="22"/>
        </w:rPr>
        <w:t>If Texas were Chile: A Primer on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Banking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Reform,</w:t>
      </w:r>
      <w:r>
        <w:rPr>
          <w:i/>
          <w:spacing w:val="-4"/>
          <w:w w:val="110"/>
          <w:sz w:val="22"/>
        </w:rPr>
        <w:t> </w:t>
      </w:r>
      <w:r>
        <w:rPr>
          <w:w w:val="110"/>
          <w:sz w:val="22"/>
        </w:rPr>
        <w:t>San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Francisco,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Institute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Contemporary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Studies,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1992,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351-68.</w:t>
      </w:r>
    </w:p>
    <w:p>
      <w:pPr>
        <w:pStyle w:val="BodyText"/>
        <w:spacing w:before="7"/>
      </w:pPr>
    </w:p>
    <w:p>
      <w:pPr>
        <w:spacing w:line="244" w:lineRule="auto" w:before="1"/>
        <w:ind w:left="998" w:right="202" w:hanging="720"/>
        <w:jc w:val="left"/>
        <w:rPr>
          <w:sz w:val="22"/>
        </w:rPr>
      </w:pPr>
      <w:r>
        <w:rPr>
          <w:w w:val="105"/>
          <w:sz w:val="22"/>
        </w:rPr>
        <w:t>Políticas del Banco Central y Ajuste Macroeconómico en una Economía Exportadora de Bienes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Primarios,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Claudio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González-Vega,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ed.,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República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Dominicana: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Manejo Macroeconómico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y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Reforma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Financiera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Santo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Domingo,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República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Dominicana,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Amigo del Hogar, 1992, 131-64.</w:t>
      </w:r>
    </w:p>
    <w:p>
      <w:pPr>
        <w:pStyle w:val="BodyText"/>
        <w:spacing w:before="9"/>
      </w:pPr>
    </w:p>
    <w:p>
      <w:pPr>
        <w:spacing w:line="247" w:lineRule="auto" w:before="0"/>
        <w:ind w:left="998" w:right="413" w:hanging="720"/>
        <w:jc w:val="left"/>
        <w:rPr>
          <w:sz w:val="22"/>
        </w:rPr>
      </w:pPr>
      <w:r>
        <w:rPr>
          <w:w w:val="105"/>
          <w:sz w:val="22"/>
        </w:rPr>
        <w:t>Alternativas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Política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Económica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el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Banco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Central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República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Dominicana,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in </w:t>
      </w:r>
      <w:r>
        <w:rPr>
          <w:i/>
          <w:w w:val="105"/>
          <w:sz w:val="22"/>
        </w:rPr>
        <w:t>República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Dominicana: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Manejo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Macroeconómico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y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Reforma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Financiera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Santo Domingo, República Dominicana, Amigo del Hogar, 1992, 165-79.</w:t>
      </w:r>
    </w:p>
    <w:p>
      <w:pPr>
        <w:pStyle w:val="BodyText"/>
        <w:spacing w:before="6"/>
      </w:pPr>
    </w:p>
    <w:p>
      <w:pPr>
        <w:pStyle w:val="BodyText"/>
        <w:spacing w:line="244" w:lineRule="auto"/>
        <w:ind w:left="998" w:right="1145" w:hanging="720"/>
      </w:pPr>
      <w:r>
        <w:rPr>
          <w:w w:val="110"/>
        </w:rPr>
        <w:t>Risk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Trade</w:t>
      </w:r>
      <w:r>
        <w:rPr>
          <w:spacing w:val="-12"/>
          <w:w w:val="110"/>
        </w:rPr>
        <w:t> </w:t>
      </w:r>
      <w:r>
        <w:rPr>
          <w:w w:val="110"/>
        </w:rPr>
        <w:t>Regimes:</w:t>
      </w:r>
      <w:r>
        <w:rPr>
          <w:spacing w:val="-12"/>
          <w:w w:val="110"/>
        </w:rPr>
        <w:t> </w:t>
      </w:r>
      <w:r>
        <w:rPr>
          <w:w w:val="110"/>
        </w:rPr>
        <w:t>Another</w:t>
      </w:r>
      <w:r>
        <w:rPr>
          <w:spacing w:val="-12"/>
          <w:w w:val="110"/>
        </w:rPr>
        <w:t> </w:t>
      </w:r>
      <w:r>
        <w:rPr>
          <w:w w:val="110"/>
        </w:rPr>
        <w:t>Exploration,</w:t>
      </w:r>
      <w:r>
        <w:rPr>
          <w:spacing w:val="-12"/>
          <w:w w:val="110"/>
        </w:rPr>
        <w:t> </w:t>
      </w:r>
      <w:r>
        <w:rPr>
          <w:i/>
          <w:w w:val="110"/>
        </w:rPr>
        <w:t>International</w:t>
      </w:r>
      <w:r>
        <w:rPr>
          <w:i/>
          <w:spacing w:val="-12"/>
          <w:w w:val="110"/>
        </w:rPr>
        <w:t> </w:t>
      </w:r>
      <w:r>
        <w:rPr>
          <w:i/>
          <w:w w:val="110"/>
        </w:rPr>
        <w:t>Organization</w:t>
      </w:r>
      <w:r>
        <w:rPr>
          <w:i/>
          <w:spacing w:val="-12"/>
          <w:w w:val="110"/>
        </w:rPr>
        <w:t> </w:t>
      </w:r>
      <w:r>
        <w:rPr>
          <w:w w:val="110"/>
        </w:rPr>
        <w:t>45</w:t>
      </w:r>
      <w:r>
        <w:rPr>
          <w:spacing w:val="-12"/>
          <w:w w:val="110"/>
        </w:rPr>
        <w:t> </w:t>
      </w:r>
      <w:r>
        <w:rPr>
          <w:w w:val="110"/>
        </w:rPr>
        <w:t>(1991): 1-18 (co-authored with Robert Bates and Jill Tiefenthaler).</w:t>
      </w:r>
    </w:p>
    <w:p>
      <w:pPr>
        <w:pStyle w:val="BodyText"/>
        <w:spacing w:before="8"/>
      </w:pPr>
    </w:p>
    <w:p>
      <w:pPr>
        <w:spacing w:line="244" w:lineRule="auto" w:before="0"/>
        <w:ind w:left="998" w:right="358" w:hanging="720"/>
        <w:jc w:val="left"/>
        <w:rPr>
          <w:sz w:val="22"/>
        </w:rPr>
      </w:pPr>
      <w:r>
        <w:rPr>
          <w:w w:val="105"/>
          <w:sz w:val="22"/>
        </w:rPr>
        <w:t>Export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Instability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Performance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Developing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Countries,</w:t>
      </w:r>
      <w:r>
        <w:rPr>
          <w:spacing w:val="34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37"/>
          <w:w w:val="105"/>
          <w:sz w:val="22"/>
        </w:rPr>
        <w:t> </w:t>
      </w:r>
      <w:r>
        <w:rPr>
          <w:i/>
          <w:w w:val="105"/>
          <w:sz w:val="22"/>
        </w:rPr>
        <w:t>of Economic Dynamics and Control </w:t>
      </w:r>
      <w:r>
        <w:rPr>
          <w:w w:val="105"/>
          <w:sz w:val="22"/>
        </w:rPr>
        <w:t>15 (1991): 129-74.</w:t>
      </w:r>
    </w:p>
    <w:p>
      <w:pPr>
        <w:pStyle w:val="BodyText"/>
        <w:spacing w:before="8"/>
      </w:pPr>
    </w:p>
    <w:p>
      <w:pPr>
        <w:spacing w:line="244" w:lineRule="auto" w:before="0"/>
        <w:ind w:left="998" w:right="358" w:hanging="720"/>
        <w:jc w:val="left"/>
        <w:rPr>
          <w:sz w:val="22"/>
        </w:rPr>
      </w:pPr>
      <w:r>
        <w:rPr>
          <w:w w:val="110"/>
          <w:sz w:val="22"/>
        </w:rPr>
        <w:t>Reserve Requirements and the Inflation Tax, </w:t>
      </w:r>
      <w:r>
        <w:rPr>
          <w:i/>
          <w:w w:val="110"/>
          <w:sz w:val="22"/>
        </w:rPr>
        <w:t>Journal of Money, Credit, and Banking </w:t>
      </w:r>
      <w:r>
        <w:rPr>
          <w:w w:val="110"/>
          <w:sz w:val="22"/>
        </w:rPr>
        <w:t>21 (1989): 106-21.</w:t>
      </w:r>
    </w:p>
    <w:p>
      <w:pPr>
        <w:pStyle w:val="BodyText"/>
        <w:spacing w:before="13"/>
      </w:pPr>
    </w:p>
    <w:p>
      <w:pPr>
        <w:spacing w:before="0"/>
        <w:ind w:left="278" w:right="0" w:firstLine="0"/>
        <w:jc w:val="left"/>
        <w:rPr>
          <w:sz w:val="22"/>
        </w:rPr>
      </w:pPr>
      <w:r>
        <w:rPr>
          <w:w w:val="110"/>
          <w:sz w:val="22"/>
        </w:rPr>
        <w:t>La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Crisis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Financiera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Chilena,</w:t>
      </w:r>
      <w:r>
        <w:rPr>
          <w:spacing w:val="-5"/>
          <w:w w:val="110"/>
          <w:sz w:val="22"/>
        </w:rPr>
        <w:t> </w:t>
      </w:r>
      <w:r>
        <w:rPr>
          <w:i/>
          <w:w w:val="110"/>
          <w:sz w:val="22"/>
        </w:rPr>
        <w:t>Cuadernos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de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Economía</w:t>
      </w:r>
      <w:r>
        <w:rPr>
          <w:i/>
          <w:spacing w:val="-5"/>
          <w:w w:val="110"/>
          <w:sz w:val="22"/>
        </w:rPr>
        <w:t> </w:t>
      </w:r>
      <w:r>
        <w:rPr>
          <w:w w:val="110"/>
          <w:sz w:val="22"/>
        </w:rPr>
        <w:t>28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(August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1989):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177-</w:t>
      </w:r>
      <w:r>
        <w:rPr>
          <w:spacing w:val="-5"/>
          <w:w w:val="110"/>
          <w:sz w:val="22"/>
        </w:rPr>
        <w:t>94.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998" w:hanging="720"/>
      </w:pPr>
      <w:r>
        <w:rPr>
          <w:w w:val="110"/>
        </w:rPr>
        <w:t>Currency Convertibility, the Central American Clearing House, and the Revitalization of Intraregional Trade in the Central American Common Market, in </w:t>
      </w:r>
      <w:r>
        <w:rPr>
          <w:i/>
          <w:w w:val="110"/>
        </w:rPr>
        <w:t>Central American Recovery and Development, </w:t>
      </w:r>
      <w:r>
        <w:rPr>
          <w:w w:val="110"/>
        </w:rPr>
        <w:t>Durham, Duke University Press, 1989, 306-39.</w:t>
      </w:r>
    </w:p>
    <w:p>
      <w:pPr>
        <w:pStyle w:val="BodyText"/>
        <w:spacing w:before="9"/>
      </w:pPr>
    </w:p>
    <w:p>
      <w:pPr>
        <w:spacing w:line="244" w:lineRule="auto" w:before="0"/>
        <w:ind w:left="998" w:right="358" w:hanging="720"/>
        <w:jc w:val="left"/>
        <w:rPr>
          <w:sz w:val="22"/>
        </w:rPr>
      </w:pPr>
      <w:r>
        <w:rPr>
          <w:w w:val="110"/>
          <w:sz w:val="22"/>
        </w:rPr>
        <w:t>The Chilean Financial Collapse, in P. Brock, M. Connolly, and C. González-Vega, eds., </w:t>
      </w:r>
      <w:r>
        <w:rPr>
          <w:i/>
          <w:w w:val="110"/>
          <w:sz w:val="22"/>
        </w:rPr>
        <w:t>Latin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American Debt and Adjustment: External Shocks and Macroeconomic Policies</w:t>
      </w:r>
      <w:r>
        <w:rPr>
          <w:w w:val="110"/>
          <w:sz w:val="22"/>
        </w:rPr>
        <w:t>, New York,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Praeger, 1989, 112-30.</w:t>
      </w:r>
    </w:p>
    <w:p>
      <w:pPr>
        <w:spacing w:after="0" w:line="244" w:lineRule="auto"/>
        <w:jc w:val="left"/>
        <w:rPr>
          <w:sz w:val="22"/>
        </w:rPr>
        <w:sectPr>
          <w:headerReference w:type="default" r:id="rId9"/>
          <w:footerReference w:type="default" r:id="rId10"/>
          <w:pgSz w:w="12240" w:h="15840"/>
          <w:pgMar w:header="765" w:footer="791" w:top="1080" w:bottom="980" w:left="1080" w:right="1080"/>
        </w:sectPr>
      </w:pPr>
    </w:p>
    <w:p>
      <w:pPr>
        <w:pStyle w:val="BodyText"/>
        <w:spacing w:line="244" w:lineRule="auto" w:before="98"/>
        <w:ind w:left="998" w:right="358" w:hanging="720"/>
      </w:pPr>
      <w:r>
        <w:rPr>
          <w:w w:val="110"/>
        </w:rPr>
        <w:t>Exchange Controls and the Collapse of Central American Trade in the 1980s, in </w:t>
      </w:r>
      <w:r>
        <w:rPr>
          <w:i/>
          <w:w w:val="110"/>
        </w:rPr>
        <w:t>Latin American</w:t>
      </w:r>
      <w:r>
        <w:rPr>
          <w:i/>
          <w:spacing w:val="-11"/>
          <w:w w:val="110"/>
        </w:rPr>
        <w:t> </w:t>
      </w:r>
      <w:r>
        <w:rPr>
          <w:i/>
          <w:w w:val="110"/>
        </w:rPr>
        <w:t>Debt</w:t>
      </w:r>
      <w:r>
        <w:rPr>
          <w:i/>
          <w:spacing w:val="-11"/>
          <w:w w:val="110"/>
        </w:rPr>
        <w:t> </w:t>
      </w:r>
      <w:r>
        <w:rPr>
          <w:i/>
          <w:w w:val="110"/>
        </w:rPr>
        <w:t>and</w:t>
      </w:r>
      <w:r>
        <w:rPr>
          <w:i/>
          <w:spacing w:val="-11"/>
          <w:w w:val="110"/>
        </w:rPr>
        <w:t> </w:t>
      </w:r>
      <w:r>
        <w:rPr>
          <w:i/>
          <w:w w:val="110"/>
        </w:rPr>
        <w:t>Adjustment,</w:t>
      </w:r>
      <w:r>
        <w:rPr>
          <w:i/>
          <w:spacing w:val="-11"/>
          <w:w w:val="110"/>
        </w:rPr>
        <w:t> </w:t>
      </w:r>
      <w:r>
        <w:rPr>
          <w:w w:val="110"/>
        </w:rPr>
        <w:t>New</w:t>
      </w:r>
      <w:r>
        <w:rPr>
          <w:spacing w:val="-11"/>
          <w:w w:val="110"/>
        </w:rPr>
        <w:t> </w:t>
      </w:r>
      <w:r>
        <w:rPr>
          <w:w w:val="110"/>
        </w:rPr>
        <w:t>York,</w:t>
      </w:r>
      <w:r>
        <w:rPr>
          <w:spacing w:val="-11"/>
          <w:w w:val="110"/>
        </w:rPr>
        <w:t> </w:t>
      </w:r>
      <w:r>
        <w:rPr>
          <w:w w:val="110"/>
        </w:rPr>
        <w:t>Praeger,</w:t>
      </w:r>
      <w:r>
        <w:rPr>
          <w:spacing w:val="-11"/>
          <w:w w:val="110"/>
        </w:rPr>
        <w:t> </w:t>
      </w:r>
      <w:r>
        <w:rPr>
          <w:w w:val="110"/>
        </w:rPr>
        <w:t>1989,</w:t>
      </w:r>
      <w:r>
        <w:rPr>
          <w:spacing w:val="-11"/>
          <w:w w:val="110"/>
        </w:rPr>
        <w:t> </w:t>
      </w:r>
      <w:r>
        <w:rPr>
          <w:w w:val="110"/>
        </w:rPr>
        <w:t>171-86</w:t>
      </w:r>
      <w:r>
        <w:rPr>
          <w:spacing w:val="-11"/>
          <w:w w:val="110"/>
        </w:rPr>
        <w:t> </w:t>
      </w:r>
      <w:r>
        <w:rPr>
          <w:w w:val="110"/>
        </w:rPr>
        <w:t>(co-authored</w:t>
      </w:r>
      <w:r>
        <w:rPr>
          <w:spacing w:val="-11"/>
          <w:w w:val="110"/>
        </w:rPr>
        <w:t> </w:t>
      </w:r>
      <w:r>
        <w:rPr>
          <w:w w:val="110"/>
        </w:rPr>
        <w:t>with Dennis Meléndez).</w:t>
      </w:r>
    </w:p>
    <w:p>
      <w:pPr>
        <w:pStyle w:val="BodyText"/>
        <w:spacing w:before="9"/>
      </w:pPr>
    </w:p>
    <w:p>
      <w:pPr>
        <w:spacing w:line="244" w:lineRule="auto" w:before="0"/>
        <w:ind w:left="998" w:right="358" w:hanging="720"/>
        <w:jc w:val="left"/>
        <w:rPr>
          <w:sz w:val="22"/>
        </w:rPr>
      </w:pPr>
      <w:r>
        <w:rPr>
          <w:w w:val="110"/>
          <w:sz w:val="22"/>
        </w:rPr>
        <w:t>The Transmission of Terms-of-Trade Shocks, in</w:t>
      </w:r>
      <w:r>
        <w:rPr>
          <w:spacing w:val="-1"/>
          <w:w w:val="110"/>
          <w:sz w:val="22"/>
        </w:rPr>
        <w:t> </w:t>
      </w:r>
      <w:r>
        <w:rPr>
          <w:i/>
          <w:w w:val="110"/>
          <w:sz w:val="22"/>
        </w:rPr>
        <w:t>Latin American Debt and Adjustment</w:t>
      </w:r>
      <w:r>
        <w:rPr>
          <w:w w:val="110"/>
          <w:sz w:val="22"/>
        </w:rPr>
        <w:t>, New York, Praeger, 1989, 171-86.</w:t>
      </w:r>
    </w:p>
    <w:p>
      <w:pPr>
        <w:pStyle w:val="BodyText"/>
        <w:spacing w:before="8"/>
      </w:pPr>
    </w:p>
    <w:p>
      <w:pPr>
        <w:spacing w:line="249" w:lineRule="auto" w:before="0"/>
        <w:ind w:left="998" w:right="358" w:hanging="720"/>
        <w:jc w:val="left"/>
        <w:rPr>
          <w:sz w:val="22"/>
        </w:rPr>
      </w:pPr>
      <w:r>
        <w:rPr>
          <w:w w:val="110"/>
          <w:sz w:val="22"/>
        </w:rPr>
        <w:t>Investment, the Current Account, and the Relative Price of Non-Traded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Goods in a Small Open Economy, </w:t>
      </w:r>
      <w:r>
        <w:rPr>
          <w:i/>
          <w:w w:val="110"/>
          <w:sz w:val="22"/>
        </w:rPr>
        <w:t>Journal of International Economics </w:t>
      </w:r>
      <w:r>
        <w:rPr>
          <w:w w:val="110"/>
          <w:sz w:val="22"/>
        </w:rPr>
        <w:t>24 (1988): 235-53.</w:t>
      </w:r>
    </w:p>
    <w:p>
      <w:pPr>
        <w:pStyle w:val="BodyText"/>
        <w:spacing w:before="2"/>
      </w:pPr>
    </w:p>
    <w:p>
      <w:pPr>
        <w:pStyle w:val="BodyText"/>
        <w:spacing w:line="244" w:lineRule="auto" w:before="1"/>
        <w:ind w:left="998" w:right="358" w:hanging="720"/>
      </w:pPr>
      <w:r>
        <w:rPr>
          <w:w w:val="105"/>
        </w:rPr>
        <w:t>Movimientos</w:t>
      </w:r>
      <w:r>
        <w:rPr>
          <w:spacing w:val="29"/>
          <w:w w:val="105"/>
        </w:rPr>
        <w:t> </w:t>
      </w:r>
      <w:r>
        <w:rPr>
          <w:w w:val="105"/>
        </w:rPr>
        <w:t>de</w:t>
      </w:r>
      <w:r>
        <w:rPr>
          <w:spacing w:val="29"/>
          <w:w w:val="105"/>
        </w:rPr>
        <w:t> </w:t>
      </w:r>
      <w:r>
        <w:rPr>
          <w:w w:val="105"/>
        </w:rPr>
        <w:t>Cuenta</w:t>
      </w:r>
      <w:r>
        <w:rPr>
          <w:spacing w:val="29"/>
          <w:w w:val="105"/>
        </w:rPr>
        <w:t> </w:t>
      </w:r>
      <w:r>
        <w:rPr>
          <w:w w:val="105"/>
        </w:rPr>
        <w:t>Corriente</w:t>
      </w:r>
      <w:r>
        <w:rPr>
          <w:spacing w:val="29"/>
          <w:w w:val="105"/>
        </w:rPr>
        <w:t> </w:t>
      </w:r>
      <w:r>
        <w:rPr>
          <w:w w:val="105"/>
        </w:rPr>
        <w:t>y</w:t>
      </w:r>
      <w:r>
        <w:rPr>
          <w:spacing w:val="29"/>
          <w:w w:val="105"/>
        </w:rPr>
        <w:t> </w:t>
      </w:r>
      <w:r>
        <w:rPr>
          <w:w w:val="105"/>
        </w:rPr>
        <w:t>los</w:t>
      </w:r>
      <w:r>
        <w:rPr>
          <w:spacing w:val="29"/>
          <w:w w:val="105"/>
        </w:rPr>
        <w:t> </w:t>
      </w:r>
      <w:r>
        <w:rPr>
          <w:w w:val="105"/>
        </w:rPr>
        <w:t>Términos</w:t>
      </w:r>
      <w:r>
        <w:rPr>
          <w:spacing w:val="29"/>
          <w:w w:val="105"/>
        </w:rPr>
        <w:t> </w:t>
      </w:r>
      <w:r>
        <w:rPr>
          <w:w w:val="105"/>
        </w:rPr>
        <w:t>de</w:t>
      </w:r>
      <w:r>
        <w:rPr>
          <w:spacing w:val="29"/>
          <w:w w:val="105"/>
        </w:rPr>
        <w:t> </w:t>
      </w:r>
      <w:r>
        <w:rPr>
          <w:w w:val="105"/>
        </w:rPr>
        <w:t>Intercambio,</w:t>
      </w:r>
      <w:r>
        <w:rPr>
          <w:spacing w:val="29"/>
          <w:w w:val="105"/>
        </w:rPr>
        <w:t> </w:t>
      </w:r>
      <w:r>
        <w:rPr>
          <w:i/>
          <w:w w:val="105"/>
        </w:rPr>
        <w:t>Estudios</w:t>
      </w:r>
      <w:r>
        <w:rPr>
          <w:i/>
          <w:spacing w:val="29"/>
          <w:w w:val="105"/>
        </w:rPr>
        <w:t> </w:t>
      </w:r>
      <w:r>
        <w:rPr>
          <w:i/>
          <w:w w:val="105"/>
        </w:rPr>
        <w:t>de</w:t>
      </w:r>
      <w:r>
        <w:rPr>
          <w:i/>
          <w:spacing w:val="29"/>
          <w:w w:val="105"/>
        </w:rPr>
        <w:t> </w:t>
      </w:r>
      <w:r>
        <w:rPr>
          <w:i/>
          <w:w w:val="105"/>
        </w:rPr>
        <w:t>Economía</w:t>
      </w:r>
      <w:r>
        <w:rPr>
          <w:i/>
          <w:spacing w:val="28"/>
          <w:w w:val="105"/>
        </w:rPr>
        <w:t> </w:t>
      </w:r>
      <w:r>
        <w:rPr>
          <w:w w:val="105"/>
        </w:rPr>
        <w:t>15 (April 1988): 127-39.</w:t>
      </w:r>
    </w:p>
    <w:p>
      <w:pPr>
        <w:pStyle w:val="BodyText"/>
        <w:spacing w:before="7"/>
      </w:pPr>
    </w:p>
    <w:p>
      <w:pPr>
        <w:spacing w:line="244" w:lineRule="auto" w:before="0"/>
        <w:ind w:left="998" w:right="0" w:hanging="720"/>
        <w:jc w:val="left"/>
        <w:rPr>
          <w:sz w:val="22"/>
        </w:rPr>
      </w:pPr>
      <w:r>
        <w:rPr>
          <w:w w:val="110"/>
          <w:sz w:val="22"/>
        </w:rPr>
        <w:t>Financial Controls and Economic Liberalization in Latin America, </w:t>
      </w:r>
      <w:r>
        <w:rPr>
          <w:i/>
          <w:w w:val="110"/>
          <w:sz w:val="22"/>
        </w:rPr>
        <w:t>Journal of Interamerican Studies and World Affairs </w:t>
      </w:r>
      <w:r>
        <w:rPr>
          <w:w w:val="110"/>
          <w:sz w:val="22"/>
        </w:rPr>
        <w:t>27 (1986): 125-39.</w:t>
      </w:r>
    </w:p>
    <w:p>
      <w:pPr>
        <w:pStyle w:val="BodyText"/>
        <w:spacing w:before="8"/>
      </w:pPr>
    </w:p>
    <w:p>
      <w:pPr>
        <w:spacing w:line="247" w:lineRule="auto" w:before="0"/>
        <w:ind w:left="998" w:right="388" w:hanging="720"/>
        <w:jc w:val="both"/>
        <w:rPr>
          <w:sz w:val="22"/>
        </w:rPr>
      </w:pPr>
      <w:r>
        <w:rPr>
          <w:w w:val="110"/>
          <w:sz w:val="22"/>
        </w:rPr>
        <w:t>Economic Liberalization in Less Developed Countries, in M. Connolly and C. González-Vega, eds., </w:t>
      </w:r>
      <w:r>
        <w:rPr>
          <w:i/>
          <w:w w:val="110"/>
          <w:sz w:val="22"/>
        </w:rPr>
        <w:t>Economic Reform and Stabilization in Latin America</w:t>
      </w:r>
      <w:r>
        <w:rPr>
          <w:w w:val="110"/>
          <w:sz w:val="22"/>
        </w:rPr>
        <w:t>, New York, Praeger Press, 1986,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19-43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(co-authored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Edward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Tower).</w:t>
      </w:r>
    </w:p>
    <w:p>
      <w:pPr>
        <w:pStyle w:val="BodyText"/>
        <w:spacing w:before="6"/>
      </w:pPr>
    </w:p>
    <w:p>
      <w:pPr>
        <w:spacing w:before="0"/>
        <w:ind w:left="278" w:right="0" w:firstLine="0"/>
        <w:jc w:val="left"/>
        <w:rPr>
          <w:sz w:val="22"/>
        </w:rPr>
      </w:pPr>
      <w:r>
        <w:rPr>
          <w:w w:val="110"/>
          <w:sz w:val="22"/>
        </w:rPr>
        <w:t>Inflationary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Finance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Open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Economy,</w:t>
      </w:r>
      <w:r>
        <w:rPr>
          <w:spacing w:val="-8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9"/>
          <w:w w:val="110"/>
          <w:sz w:val="22"/>
        </w:rPr>
        <w:t> </w:t>
      </w:r>
      <w:r>
        <w:rPr>
          <w:i/>
          <w:w w:val="110"/>
          <w:sz w:val="22"/>
        </w:rPr>
        <w:t>Monetary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i/>
          <w:spacing w:val="-10"/>
          <w:w w:val="110"/>
          <w:sz w:val="22"/>
        </w:rPr>
        <w:t> </w:t>
      </w:r>
      <w:r>
        <w:rPr>
          <w:w w:val="110"/>
          <w:sz w:val="22"/>
        </w:rPr>
        <w:t>14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(1984):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37-</w:t>
      </w:r>
      <w:r>
        <w:rPr>
          <w:spacing w:val="-5"/>
          <w:w w:val="110"/>
          <w:sz w:val="22"/>
        </w:rPr>
        <w:t>53.</w:t>
      </w:r>
    </w:p>
    <w:p>
      <w:pPr>
        <w:pStyle w:val="BodyText"/>
        <w:spacing w:before="245"/>
      </w:pPr>
    </w:p>
    <w:p>
      <w:pPr>
        <w:spacing w:before="0"/>
        <w:ind w:left="278" w:right="0" w:firstLine="0"/>
        <w:jc w:val="left"/>
        <w:rPr>
          <w:rFonts w:ascii="Verdana"/>
          <w:i/>
          <w:sz w:val="22"/>
        </w:rPr>
      </w:pPr>
      <w:r>
        <w:rPr>
          <w:rFonts w:ascii="Verdana"/>
          <w:i/>
          <w:spacing w:val="-2"/>
          <w:sz w:val="22"/>
        </w:rPr>
        <w:t>Books</w:t>
      </w:r>
    </w:p>
    <w:p>
      <w:pPr>
        <w:spacing w:before="263"/>
        <w:ind w:left="278" w:right="0" w:firstLine="0"/>
        <w:jc w:val="left"/>
        <w:rPr>
          <w:sz w:val="22"/>
        </w:rPr>
      </w:pPr>
      <w:r>
        <w:rPr>
          <w:i/>
          <w:w w:val="115"/>
          <w:sz w:val="22"/>
        </w:rPr>
        <w:t>Why</w:t>
      </w:r>
      <w:r>
        <w:rPr>
          <w:i/>
          <w:spacing w:val="-14"/>
          <w:w w:val="115"/>
          <w:sz w:val="22"/>
        </w:rPr>
        <w:t> </w:t>
      </w:r>
      <w:r>
        <w:rPr>
          <w:i/>
          <w:w w:val="115"/>
          <w:sz w:val="22"/>
        </w:rPr>
        <w:t>So</w:t>
      </w:r>
      <w:r>
        <w:rPr>
          <w:i/>
          <w:spacing w:val="-14"/>
          <w:w w:val="115"/>
          <w:sz w:val="22"/>
        </w:rPr>
        <w:t> </w:t>
      </w:r>
      <w:r>
        <w:rPr>
          <w:i/>
          <w:w w:val="115"/>
          <w:sz w:val="22"/>
        </w:rPr>
        <w:t>High?</w:t>
      </w:r>
      <w:r>
        <w:rPr>
          <w:i/>
          <w:spacing w:val="28"/>
          <w:w w:val="115"/>
          <w:sz w:val="22"/>
        </w:rPr>
        <w:t> </w:t>
      </w:r>
      <w:r>
        <w:rPr>
          <w:i/>
          <w:w w:val="115"/>
          <w:sz w:val="22"/>
        </w:rPr>
        <w:t>Understanding</w:t>
      </w:r>
      <w:r>
        <w:rPr>
          <w:i/>
          <w:spacing w:val="-13"/>
          <w:w w:val="115"/>
          <w:sz w:val="22"/>
        </w:rPr>
        <w:t> </w:t>
      </w:r>
      <w:r>
        <w:rPr>
          <w:i/>
          <w:w w:val="115"/>
          <w:sz w:val="22"/>
        </w:rPr>
        <w:t>Interest</w:t>
      </w:r>
      <w:r>
        <w:rPr>
          <w:i/>
          <w:spacing w:val="-14"/>
          <w:w w:val="115"/>
          <w:sz w:val="22"/>
        </w:rPr>
        <w:t> </w:t>
      </w:r>
      <w:r>
        <w:rPr>
          <w:i/>
          <w:w w:val="115"/>
          <w:sz w:val="22"/>
        </w:rPr>
        <w:t>Rate</w:t>
      </w:r>
      <w:r>
        <w:rPr>
          <w:i/>
          <w:spacing w:val="-14"/>
          <w:w w:val="115"/>
          <w:sz w:val="22"/>
        </w:rPr>
        <w:t> </w:t>
      </w:r>
      <w:r>
        <w:rPr>
          <w:i/>
          <w:w w:val="115"/>
          <w:sz w:val="22"/>
        </w:rPr>
        <w:t>Spreads</w:t>
      </w:r>
      <w:r>
        <w:rPr>
          <w:i/>
          <w:spacing w:val="-14"/>
          <w:w w:val="115"/>
          <w:sz w:val="22"/>
        </w:rPr>
        <w:t> </w:t>
      </w:r>
      <w:r>
        <w:rPr>
          <w:i/>
          <w:w w:val="115"/>
          <w:sz w:val="22"/>
        </w:rPr>
        <w:t>in</w:t>
      </w:r>
      <w:r>
        <w:rPr>
          <w:i/>
          <w:spacing w:val="-13"/>
          <w:w w:val="115"/>
          <w:sz w:val="22"/>
        </w:rPr>
        <w:t> </w:t>
      </w:r>
      <w:r>
        <w:rPr>
          <w:i/>
          <w:w w:val="115"/>
          <w:sz w:val="22"/>
        </w:rPr>
        <w:t>Latin</w:t>
      </w:r>
      <w:r>
        <w:rPr>
          <w:i/>
          <w:spacing w:val="-14"/>
          <w:w w:val="115"/>
          <w:sz w:val="22"/>
        </w:rPr>
        <w:t> </w:t>
      </w:r>
      <w:r>
        <w:rPr>
          <w:i/>
          <w:w w:val="115"/>
          <w:sz w:val="22"/>
        </w:rPr>
        <w:t>America</w:t>
      </w:r>
      <w:r>
        <w:rPr>
          <w:w w:val="115"/>
          <w:sz w:val="22"/>
        </w:rPr>
        <w:t>,</w:t>
      </w:r>
      <w:r>
        <w:rPr>
          <w:spacing w:val="-14"/>
          <w:w w:val="115"/>
          <w:sz w:val="22"/>
        </w:rPr>
        <w:t> </w:t>
      </w:r>
      <w:r>
        <w:rPr>
          <w:spacing w:val="-2"/>
          <w:w w:val="115"/>
          <w:sz w:val="22"/>
        </w:rPr>
        <w:t>Washington,</w:t>
      </w:r>
    </w:p>
    <w:p>
      <w:pPr>
        <w:pStyle w:val="BodyText"/>
        <w:spacing w:line="244" w:lineRule="auto" w:before="6"/>
        <w:ind w:left="998" w:right="326"/>
      </w:pPr>
      <w:r>
        <w:rPr>
          <w:w w:val="105"/>
        </w:rPr>
        <w:t>D.C.:</w:t>
      </w:r>
      <w:r>
        <w:rPr>
          <w:spacing w:val="80"/>
          <w:w w:val="105"/>
        </w:rPr>
        <w:t> </w:t>
      </w:r>
      <w:r>
        <w:rPr>
          <w:w w:val="105"/>
        </w:rPr>
        <w:t>Inter-American</w:t>
      </w:r>
      <w:r>
        <w:rPr>
          <w:spacing w:val="20"/>
          <w:w w:val="105"/>
        </w:rPr>
        <w:t> </w:t>
      </w:r>
      <w:r>
        <w:rPr>
          <w:w w:val="105"/>
        </w:rPr>
        <w:t>Development</w:t>
      </w:r>
      <w:r>
        <w:rPr>
          <w:spacing w:val="19"/>
          <w:w w:val="105"/>
        </w:rPr>
        <w:t> </w:t>
      </w:r>
      <w:r>
        <w:rPr>
          <w:w w:val="105"/>
        </w:rPr>
        <w:t>Bank,</w:t>
      </w:r>
      <w:r>
        <w:rPr>
          <w:spacing w:val="20"/>
          <w:w w:val="105"/>
        </w:rPr>
        <w:t> </w:t>
      </w:r>
      <w:r>
        <w:rPr>
          <w:w w:val="105"/>
        </w:rPr>
        <w:t>2000</w:t>
      </w:r>
      <w:r>
        <w:rPr>
          <w:spacing w:val="20"/>
          <w:w w:val="105"/>
        </w:rPr>
        <w:t> </w:t>
      </w:r>
      <w:r>
        <w:rPr>
          <w:w w:val="105"/>
        </w:rPr>
        <w:t>(co-director,</w:t>
      </w:r>
      <w:r>
        <w:rPr>
          <w:spacing w:val="20"/>
          <w:w w:val="105"/>
        </w:rPr>
        <w:t> </w:t>
      </w:r>
      <w:r>
        <w:rPr>
          <w:w w:val="105"/>
        </w:rPr>
        <w:t>co-author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co-editor</w:t>
      </w:r>
      <w:r>
        <w:rPr>
          <w:spacing w:val="20"/>
          <w:w w:val="105"/>
        </w:rPr>
        <w:t> </w:t>
      </w:r>
      <w:r>
        <w:rPr>
          <w:w w:val="105"/>
        </w:rPr>
        <w:t>of a</w:t>
      </w:r>
      <w:r>
        <w:rPr>
          <w:spacing w:val="40"/>
          <w:w w:val="105"/>
        </w:rPr>
        <w:t> </w:t>
      </w:r>
      <w:r>
        <w:rPr>
          <w:w w:val="105"/>
        </w:rPr>
        <w:t>three-year</w:t>
      </w:r>
      <w:r>
        <w:rPr>
          <w:spacing w:val="40"/>
          <w:w w:val="105"/>
        </w:rPr>
        <w:t> </w:t>
      </w:r>
      <w:r>
        <w:rPr>
          <w:w w:val="105"/>
        </w:rPr>
        <w:t>seven</w:t>
      </w:r>
      <w:r>
        <w:rPr>
          <w:spacing w:val="40"/>
          <w:w w:val="105"/>
        </w:rPr>
        <w:t> </w:t>
      </w:r>
      <w:r>
        <w:rPr>
          <w:w w:val="105"/>
        </w:rPr>
        <w:t>country</w:t>
      </w:r>
      <w:r>
        <w:rPr>
          <w:spacing w:val="40"/>
          <w:w w:val="105"/>
        </w:rPr>
        <w:t> </w:t>
      </w:r>
      <w:r>
        <w:rPr>
          <w:w w:val="105"/>
        </w:rPr>
        <w:t>study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Liliana</w:t>
      </w:r>
      <w:r>
        <w:rPr>
          <w:spacing w:val="40"/>
          <w:w w:val="105"/>
        </w:rPr>
        <w:t> </w:t>
      </w:r>
      <w:r>
        <w:rPr>
          <w:w w:val="105"/>
        </w:rPr>
        <w:t>Rojas-Suárez).</w:t>
      </w:r>
    </w:p>
    <w:p>
      <w:pPr>
        <w:spacing w:line="244" w:lineRule="auto" w:before="247"/>
        <w:ind w:left="998" w:right="344" w:hanging="720"/>
        <w:jc w:val="both"/>
        <w:rPr>
          <w:sz w:val="22"/>
        </w:rPr>
      </w:pPr>
      <w:r>
        <w:rPr>
          <w:i/>
          <w:w w:val="110"/>
          <w:sz w:val="22"/>
        </w:rPr>
        <w:t>If Texas were Chile: A Primer on Banking Reform, </w:t>
      </w:r>
      <w:r>
        <w:rPr>
          <w:w w:val="110"/>
          <w:sz w:val="22"/>
        </w:rPr>
        <w:t>San Francisco: Institute for Contemporary Studies, 1992 (editor).</w:t>
      </w:r>
    </w:p>
    <w:p>
      <w:pPr>
        <w:spacing w:line="244" w:lineRule="auto" w:before="242"/>
        <w:ind w:left="998" w:right="728" w:hanging="720"/>
        <w:jc w:val="left"/>
        <w:rPr>
          <w:sz w:val="22"/>
        </w:rPr>
      </w:pPr>
      <w:r>
        <w:rPr>
          <w:i/>
          <w:w w:val="110"/>
          <w:sz w:val="22"/>
        </w:rPr>
        <w:t>Latin American Debt and Adjustment: External Shocks and Macroeconomic Policies</w:t>
      </w:r>
      <w:r>
        <w:rPr>
          <w:w w:val="110"/>
          <w:sz w:val="22"/>
        </w:rPr>
        <w:t>, New York: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Praeger Publishers, 1989 (co-editor with Michael B. Connolly and Claudio </w:t>
      </w:r>
      <w:r>
        <w:rPr>
          <w:spacing w:val="-2"/>
          <w:w w:val="110"/>
          <w:sz w:val="22"/>
        </w:rPr>
        <w:t>González-Vega).</w:t>
      </w:r>
    </w:p>
    <w:p>
      <w:pPr>
        <w:pStyle w:val="BodyText"/>
        <w:spacing w:before="208"/>
      </w:pPr>
    </w:p>
    <w:p>
      <w:pPr>
        <w:spacing w:before="0"/>
        <w:ind w:left="278" w:right="0" w:firstLine="0"/>
        <w:jc w:val="left"/>
        <w:rPr>
          <w:rFonts w:ascii="Verdana"/>
          <w:i/>
          <w:sz w:val="22"/>
        </w:rPr>
      </w:pPr>
      <w:r>
        <w:rPr>
          <w:rFonts w:ascii="Verdana"/>
          <w:i/>
          <w:sz w:val="22"/>
        </w:rPr>
        <w:t>Book</w:t>
      </w:r>
      <w:r>
        <w:rPr>
          <w:rFonts w:ascii="Verdana"/>
          <w:i/>
          <w:spacing w:val="-4"/>
          <w:sz w:val="22"/>
        </w:rPr>
        <w:t> </w:t>
      </w:r>
      <w:r>
        <w:rPr>
          <w:rFonts w:ascii="Verdana"/>
          <w:i/>
          <w:spacing w:val="-2"/>
          <w:sz w:val="22"/>
        </w:rPr>
        <w:t>Reviews</w:t>
      </w:r>
    </w:p>
    <w:p>
      <w:pPr>
        <w:pStyle w:val="BodyText"/>
        <w:spacing w:line="244" w:lineRule="auto" w:before="239"/>
        <w:ind w:left="998" w:right="358" w:hanging="720"/>
      </w:pPr>
      <w:r>
        <w:rPr>
          <w:w w:val="110"/>
        </w:rPr>
        <w:t>Monetarism and Liberalization: The Chilean Experiment, by Sebastian Edwards and Alexandra</w:t>
      </w:r>
      <w:r>
        <w:rPr>
          <w:spacing w:val="-1"/>
          <w:w w:val="110"/>
        </w:rPr>
        <w:t> </w:t>
      </w:r>
      <w:r>
        <w:rPr>
          <w:w w:val="110"/>
        </w:rPr>
        <w:t>Cox</w:t>
      </w:r>
      <w:r>
        <w:rPr>
          <w:spacing w:val="-1"/>
          <w:w w:val="110"/>
        </w:rPr>
        <w:t> </w:t>
      </w:r>
      <w:r>
        <w:rPr>
          <w:w w:val="110"/>
        </w:rPr>
        <w:t>Edwards</w:t>
      </w:r>
      <w:r>
        <w:rPr>
          <w:spacing w:val="-1"/>
          <w:w w:val="110"/>
        </w:rPr>
        <w:t> </w:t>
      </w:r>
      <w:r>
        <w:rPr>
          <w:w w:val="110"/>
        </w:rPr>
        <w:t>(Cambridge,</w:t>
      </w:r>
      <w:r>
        <w:rPr>
          <w:spacing w:val="-1"/>
          <w:w w:val="110"/>
        </w:rPr>
        <w:t> </w:t>
      </w:r>
      <w:r>
        <w:rPr>
          <w:w w:val="110"/>
        </w:rPr>
        <w:t>Mass.:</w:t>
      </w:r>
      <w:r>
        <w:rPr>
          <w:spacing w:val="-1"/>
          <w:w w:val="110"/>
        </w:rPr>
        <w:t> </w:t>
      </w:r>
      <w:r>
        <w:rPr>
          <w:w w:val="110"/>
        </w:rPr>
        <w:t>Ballinger</w:t>
      </w:r>
      <w:r>
        <w:rPr>
          <w:spacing w:val="-1"/>
          <w:w w:val="110"/>
        </w:rPr>
        <w:t> </w:t>
      </w:r>
      <w:r>
        <w:rPr>
          <w:w w:val="110"/>
        </w:rPr>
        <w:t>Publishing</w:t>
      </w:r>
      <w:r>
        <w:rPr>
          <w:spacing w:val="-1"/>
          <w:w w:val="110"/>
        </w:rPr>
        <w:t> </w:t>
      </w:r>
      <w:r>
        <w:rPr>
          <w:w w:val="110"/>
        </w:rPr>
        <w:t>Company,</w:t>
      </w:r>
      <w:r>
        <w:rPr>
          <w:spacing w:val="-1"/>
          <w:w w:val="110"/>
        </w:rPr>
        <w:t> </w:t>
      </w:r>
      <w:r>
        <w:rPr>
          <w:w w:val="110"/>
        </w:rPr>
        <w:t>1987),</w:t>
      </w:r>
      <w:r>
        <w:rPr>
          <w:spacing w:val="-1"/>
          <w:w w:val="110"/>
        </w:rPr>
        <w:t> </w:t>
      </w:r>
      <w:r>
        <w:rPr>
          <w:w w:val="110"/>
        </w:rPr>
        <w:t>in </w:t>
      </w:r>
      <w:r>
        <w:rPr>
          <w:i/>
          <w:w w:val="110"/>
        </w:rPr>
        <w:t>Journal of Money, Credit, and Banking </w:t>
      </w:r>
      <w:r>
        <w:rPr>
          <w:w w:val="110"/>
        </w:rPr>
        <w:t>20 (May 1988): 280-83.</w:t>
      </w:r>
    </w:p>
    <w:p>
      <w:pPr>
        <w:pStyle w:val="BodyText"/>
        <w:spacing w:line="244" w:lineRule="auto" w:before="247"/>
        <w:ind w:left="998" w:hanging="720"/>
      </w:pPr>
      <w:r>
        <w:rPr>
          <w:w w:val="110"/>
        </w:rPr>
        <w:t>Money and Monetary Policy in Less Developed Countries, edited by Warren L. Coats, Jr., and Deena R. Khatkhate (Oxford: Pergamon Press, 1980, 827 pages), in </w:t>
      </w:r>
      <w:r>
        <w:rPr>
          <w:i/>
          <w:w w:val="110"/>
        </w:rPr>
        <w:t>Journal of International Economics </w:t>
      </w:r>
      <w:r>
        <w:rPr>
          <w:w w:val="110"/>
        </w:rPr>
        <w:t>17 (August 1984): 196-200.</w:t>
      </w:r>
    </w:p>
    <w:p>
      <w:pPr>
        <w:pStyle w:val="BodyText"/>
        <w:spacing w:after="0" w:line="244" w:lineRule="auto"/>
        <w:sectPr>
          <w:headerReference w:type="default" r:id="rId11"/>
          <w:footerReference w:type="default" r:id="rId12"/>
          <w:pgSz w:w="12240" w:h="15840"/>
          <w:pgMar w:header="765" w:footer="791" w:top="1080" w:bottom="980" w:left="1080" w:right="1080"/>
        </w:sectPr>
      </w:pPr>
    </w:p>
    <w:p>
      <w:pPr>
        <w:pStyle w:val="Heading1"/>
        <w:spacing w:before="82"/>
      </w:pPr>
      <w:r>
        <w:rPr/>
        <w:t>Research</w:t>
      </w:r>
      <w:r>
        <w:rPr>
          <w:spacing w:val="-2"/>
        </w:rPr>
        <w:t> </w:t>
      </w:r>
      <w:r>
        <w:rPr/>
        <w:t>Projects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Grants</w:t>
      </w:r>
    </w:p>
    <w:p>
      <w:pPr>
        <w:pStyle w:val="BodyText"/>
        <w:spacing w:before="34" w:after="1"/>
        <w:rPr>
          <w:rFonts w:ascii="Arial"/>
          <w:b/>
          <w:i/>
          <w:sz w:val="20"/>
        </w:rPr>
      </w:pPr>
    </w:p>
    <w:tbl>
      <w:tblPr>
        <w:tblW w:w="0" w:type="auto"/>
        <w:jc w:val="left"/>
        <w:tblInd w:w="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7"/>
        <w:gridCol w:w="8352"/>
      </w:tblGrid>
      <w:tr>
        <w:trPr>
          <w:trHeight w:val="660" w:hRule="atLeast"/>
        </w:trPr>
        <w:tc>
          <w:tcPr>
            <w:tcW w:w="1357" w:type="dxa"/>
          </w:tcPr>
          <w:p>
            <w:pPr>
              <w:pStyle w:val="TableParagraph"/>
              <w:spacing w:before="8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2004-</w:t>
            </w:r>
            <w:r>
              <w:rPr>
                <w:spacing w:val="-4"/>
                <w:sz w:val="22"/>
              </w:rPr>
              <w:t>2006</w:t>
            </w:r>
          </w:p>
        </w:tc>
        <w:tc>
          <w:tcPr>
            <w:tcW w:w="8352" w:type="dxa"/>
          </w:tcPr>
          <w:p>
            <w:pPr>
              <w:pStyle w:val="TableParagraph"/>
              <w:spacing w:line="244" w:lineRule="auto" w:before="8"/>
              <w:rPr>
                <w:sz w:val="22"/>
              </w:rPr>
            </w:pPr>
            <w:r>
              <w:rPr>
                <w:w w:val="110"/>
                <w:sz w:val="22"/>
              </w:rPr>
              <w:t>Finance for the Long Term: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The Chilean Mortgage Bank and the Growth of Chilean Agriculture, 1855-1953, Central Bank of Chile research grant.</w:t>
            </w:r>
          </w:p>
        </w:tc>
      </w:tr>
      <w:tr>
        <w:trPr>
          <w:trHeight w:val="792" w:hRule="atLeast"/>
        </w:trPr>
        <w:tc>
          <w:tcPr>
            <w:tcW w:w="135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2002</w:t>
            </w:r>
          </w:p>
        </w:tc>
        <w:tc>
          <w:tcPr>
            <w:tcW w:w="8352" w:type="dxa"/>
          </w:tcPr>
          <w:p>
            <w:pPr>
              <w:pStyle w:val="TableParagraph"/>
              <w:spacing w:line="244" w:lineRule="auto"/>
              <w:rPr>
                <w:sz w:val="22"/>
              </w:rPr>
            </w:pPr>
            <w:r>
              <w:rPr>
                <w:w w:val="110"/>
                <w:sz w:val="22"/>
              </w:rPr>
              <w:t>Analysis of Bank Taxation on Regulatory Moral Hazard, Finance Team, Development Research Group, The World Bank.</w:t>
            </w:r>
          </w:p>
        </w:tc>
      </w:tr>
      <w:tr>
        <w:trPr>
          <w:trHeight w:val="794" w:hRule="atLeast"/>
        </w:trPr>
        <w:tc>
          <w:tcPr>
            <w:tcW w:w="135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8352" w:type="dxa"/>
          </w:tcPr>
          <w:p>
            <w:pPr>
              <w:pStyle w:val="TableParagraph"/>
              <w:spacing w:line="244" w:lineRule="auto"/>
              <w:rPr>
                <w:sz w:val="22"/>
              </w:rPr>
            </w:pPr>
            <w:r>
              <w:rPr>
                <w:w w:val="110"/>
                <w:sz w:val="22"/>
              </w:rPr>
              <w:t>Theoretical and Empirical Analysis of Interest Rate Determination in Chile, Central Bank of Chile.</w:t>
            </w:r>
          </w:p>
        </w:tc>
      </w:tr>
      <w:tr>
        <w:trPr>
          <w:trHeight w:val="794" w:hRule="atLeast"/>
        </w:trPr>
        <w:tc>
          <w:tcPr>
            <w:tcW w:w="1357" w:type="dxa"/>
          </w:tcPr>
          <w:p>
            <w:pPr>
              <w:pStyle w:val="TableParagraph"/>
              <w:spacing w:before="142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8352" w:type="dxa"/>
          </w:tcPr>
          <w:p>
            <w:pPr>
              <w:pStyle w:val="TableParagraph"/>
              <w:spacing w:line="244" w:lineRule="auto" w:before="142"/>
              <w:rPr>
                <w:sz w:val="22"/>
              </w:rPr>
            </w:pPr>
            <w:r>
              <w:rPr>
                <w:w w:val="110"/>
                <w:sz w:val="22"/>
              </w:rPr>
              <w:t>Trade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Liberalization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the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Lender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Last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Resort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the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Americas,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Center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for Research on Economic Development and Policy Reform, Stanford University.</w:t>
            </w:r>
          </w:p>
        </w:tc>
      </w:tr>
      <w:tr>
        <w:trPr>
          <w:trHeight w:val="396" w:hRule="atLeast"/>
        </w:trPr>
        <w:tc>
          <w:tcPr>
            <w:tcW w:w="1357" w:type="dxa"/>
          </w:tcPr>
          <w:p>
            <w:pPr>
              <w:pStyle w:val="TableParagraph"/>
              <w:spacing w:line="236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1999</w:t>
            </w:r>
          </w:p>
        </w:tc>
        <w:tc>
          <w:tcPr>
            <w:tcW w:w="8352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w w:val="110"/>
                <w:sz w:val="22"/>
              </w:rPr>
              <w:t>Bank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Privatization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Recapitalization:</w:t>
            </w:r>
            <w:r>
              <w:rPr>
                <w:spacing w:val="5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Lessons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from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Chile,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Financial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Sector</w:t>
            </w:r>
          </w:p>
        </w:tc>
      </w:tr>
      <w:tr>
        <w:trPr>
          <w:trHeight w:val="660" w:hRule="atLeast"/>
        </w:trPr>
        <w:tc>
          <w:tcPr>
            <w:tcW w:w="1357" w:type="dxa"/>
          </w:tcPr>
          <w:p>
            <w:pPr>
              <w:pStyle w:val="TableParagraph"/>
              <w:spacing w:before="18"/>
              <w:ind w:left="0"/>
              <w:rPr>
                <w:rFonts w:ascii="Arial"/>
                <w:b/>
                <w:i/>
                <w:sz w:val="22"/>
              </w:rPr>
            </w:pPr>
          </w:p>
          <w:p>
            <w:pPr>
              <w:pStyle w:val="TableParagraph"/>
              <w:spacing w:before="1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1998</w:t>
            </w:r>
          </w:p>
        </w:tc>
        <w:tc>
          <w:tcPr>
            <w:tcW w:w="8352" w:type="dxa"/>
          </w:tcPr>
          <w:p>
            <w:pPr>
              <w:pStyle w:val="TableParagraph"/>
              <w:spacing w:before="8"/>
              <w:rPr>
                <w:sz w:val="22"/>
              </w:rPr>
            </w:pPr>
            <w:r>
              <w:rPr>
                <w:spacing w:val="2"/>
                <w:sz w:val="22"/>
              </w:rPr>
              <w:t>Development</w:t>
            </w:r>
            <w:r>
              <w:rPr>
                <w:spacing w:val="59"/>
                <w:sz w:val="22"/>
              </w:rPr>
              <w:t> </w:t>
            </w:r>
            <w:r>
              <w:rPr>
                <w:spacing w:val="2"/>
                <w:sz w:val="22"/>
              </w:rPr>
              <w:t>Department,</w:t>
            </w:r>
            <w:r>
              <w:rPr>
                <w:spacing w:val="60"/>
                <w:sz w:val="22"/>
              </w:rPr>
              <w:t> </w:t>
            </w:r>
            <w:r>
              <w:rPr>
                <w:spacing w:val="2"/>
                <w:sz w:val="22"/>
              </w:rPr>
              <w:t>World</w:t>
            </w:r>
            <w:r>
              <w:rPr>
                <w:spacing w:val="59"/>
                <w:sz w:val="22"/>
              </w:rPr>
              <w:t> </w:t>
            </w:r>
            <w:r>
              <w:rPr>
                <w:spacing w:val="-4"/>
                <w:sz w:val="22"/>
              </w:rPr>
              <w:t>Bank.</w:t>
            </w:r>
          </w:p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w w:val="110"/>
                <w:sz w:val="22"/>
              </w:rPr>
              <w:t>Financial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Safety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Nets,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Financial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Sector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Development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Department,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World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Bank.</w:t>
            </w:r>
          </w:p>
        </w:tc>
      </w:tr>
      <w:tr>
        <w:trPr>
          <w:trHeight w:val="794" w:hRule="atLeast"/>
        </w:trPr>
        <w:tc>
          <w:tcPr>
            <w:tcW w:w="135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1996-</w:t>
            </w:r>
            <w:r>
              <w:rPr>
                <w:spacing w:val="-4"/>
                <w:sz w:val="22"/>
              </w:rPr>
              <w:t>1997</w:t>
            </w:r>
          </w:p>
        </w:tc>
        <w:tc>
          <w:tcPr>
            <w:tcW w:w="8352" w:type="dxa"/>
          </w:tcPr>
          <w:p>
            <w:pPr>
              <w:pStyle w:val="TableParagraph"/>
              <w:spacing w:line="244" w:lineRule="auto"/>
              <w:rPr>
                <w:sz w:val="22"/>
              </w:rPr>
            </w:pPr>
            <w:r>
              <w:rPr>
                <w:w w:val="110"/>
                <w:sz w:val="22"/>
              </w:rPr>
              <w:t>Financial Liberalization and the Lender of Last Resort, Office of the Senior Vice President and Chief Economist, World Bank.</w:t>
            </w:r>
          </w:p>
        </w:tc>
      </w:tr>
      <w:tr>
        <w:trPr>
          <w:trHeight w:val="794" w:hRule="atLeast"/>
        </w:trPr>
        <w:tc>
          <w:tcPr>
            <w:tcW w:w="1357" w:type="dxa"/>
          </w:tcPr>
          <w:p>
            <w:pPr>
              <w:pStyle w:val="TableParagraph"/>
              <w:spacing w:before="142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1996-</w:t>
            </w:r>
            <w:r>
              <w:rPr>
                <w:spacing w:val="-4"/>
                <w:sz w:val="22"/>
              </w:rPr>
              <w:t>1997</w:t>
            </w:r>
          </w:p>
        </w:tc>
        <w:tc>
          <w:tcPr>
            <w:tcW w:w="8352" w:type="dxa"/>
          </w:tcPr>
          <w:p>
            <w:pPr>
              <w:pStyle w:val="TableParagraph"/>
              <w:spacing w:line="244" w:lineRule="auto" w:before="142"/>
              <w:rPr>
                <w:sz w:val="22"/>
              </w:rPr>
            </w:pPr>
            <w:r>
              <w:rPr>
                <w:w w:val="110"/>
                <w:sz w:val="22"/>
              </w:rPr>
              <w:t>The Determinants of Bank Interest Rate Spreads in Latin America, Office of the Chief Economist, Inter-American Development Bank.</w:t>
            </w:r>
          </w:p>
        </w:tc>
      </w:tr>
      <w:tr>
        <w:trPr>
          <w:trHeight w:val="791" w:hRule="atLeast"/>
        </w:trPr>
        <w:tc>
          <w:tcPr>
            <w:tcW w:w="135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1995-</w:t>
            </w:r>
            <w:r>
              <w:rPr>
                <w:spacing w:val="-4"/>
                <w:sz w:val="22"/>
              </w:rPr>
              <w:t>1996</w:t>
            </w:r>
          </w:p>
        </w:tc>
        <w:tc>
          <w:tcPr>
            <w:tcW w:w="8352" w:type="dxa"/>
          </w:tcPr>
          <w:p>
            <w:pPr>
              <w:pStyle w:val="TableParagraph"/>
              <w:spacing w:line="244" w:lineRule="auto"/>
              <w:rPr>
                <w:sz w:val="22"/>
              </w:rPr>
            </w:pPr>
            <w:r>
              <w:rPr>
                <w:w w:val="110"/>
                <w:sz w:val="22"/>
              </w:rPr>
              <w:t>High Real Interest Rates, Guarantor Risk, and Bank Recapitalizations, Office of the Senior Vice President and Chief Economist, World Bank.</w:t>
            </w:r>
          </w:p>
        </w:tc>
      </w:tr>
      <w:tr>
        <w:trPr>
          <w:trHeight w:val="792" w:hRule="atLeast"/>
        </w:trPr>
        <w:tc>
          <w:tcPr>
            <w:tcW w:w="135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1994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sz w:val="22"/>
              </w:rPr>
              <w:t>1995</w:t>
            </w:r>
          </w:p>
        </w:tc>
        <w:tc>
          <w:tcPr>
            <w:tcW w:w="8352" w:type="dxa"/>
          </w:tcPr>
          <w:p>
            <w:pPr>
              <w:pStyle w:val="TableParagraph"/>
              <w:spacing w:line="244" w:lineRule="auto"/>
              <w:rPr>
                <w:sz w:val="22"/>
              </w:rPr>
            </w:pPr>
            <w:r>
              <w:rPr>
                <w:w w:val="110"/>
                <w:sz w:val="22"/>
              </w:rPr>
              <w:t>Economic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Policy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Reform,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Government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Banking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Guarantees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Financial Bailouts University of Washington Graduate School Fellowship.</w:t>
            </w:r>
          </w:p>
        </w:tc>
      </w:tr>
      <w:tr>
        <w:trPr>
          <w:trHeight w:val="794" w:hRule="atLeast"/>
        </w:trPr>
        <w:tc>
          <w:tcPr>
            <w:tcW w:w="135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1992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sz w:val="22"/>
              </w:rPr>
              <w:t>1993</w:t>
            </w:r>
          </w:p>
        </w:tc>
        <w:tc>
          <w:tcPr>
            <w:tcW w:w="8352" w:type="dxa"/>
          </w:tcPr>
          <w:p>
            <w:pPr>
              <w:pStyle w:val="TableParagraph"/>
              <w:spacing w:line="244" w:lineRule="auto"/>
              <w:rPr>
                <w:sz w:val="22"/>
              </w:rPr>
            </w:pPr>
            <w:r>
              <w:rPr>
                <w:w w:val="110"/>
                <w:sz w:val="22"/>
              </w:rPr>
              <w:t>External Shocks and Financial Collapse in the 1980s: A Cross Country Comparison University of Washington Graduate School Fellowship.</w:t>
            </w:r>
          </w:p>
        </w:tc>
      </w:tr>
      <w:tr>
        <w:trPr>
          <w:trHeight w:val="1058" w:hRule="atLeast"/>
        </w:trPr>
        <w:tc>
          <w:tcPr>
            <w:tcW w:w="1357" w:type="dxa"/>
          </w:tcPr>
          <w:p>
            <w:pPr>
              <w:pStyle w:val="TableParagraph"/>
              <w:spacing w:before="142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1991</w:t>
            </w:r>
          </w:p>
        </w:tc>
        <w:tc>
          <w:tcPr>
            <w:tcW w:w="8352" w:type="dxa"/>
          </w:tcPr>
          <w:p>
            <w:pPr>
              <w:pStyle w:val="TableParagraph"/>
              <w:spacing w:before="142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Political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Economy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of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Economic Adjustment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in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Chile</w:t>
            </w:r>
          </w:p>
          <w:p>
            <w:pPr>
              <w:pStyle w:val="TableParagraph"/>
              <w:spacing w:line="244" w:lineRule="auto" w:before="6"/>
              <w:rPr>
                <w:sz w:val="22"/>
              </w:rPr>
            </w:pPr>
            <w:r>
              <w:rPr>
                <w:w w:val="110"/>
                <w:sz w:val="22"/>
              </w:rPr>
              <w:t>Part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Ford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Foundation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Grant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administered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by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Anne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Krueger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Robert </w:t>
            </w:r>
            <w:r>
              <w:rPr>
                <w:spacing w:val="-2"/>
                <w:w w:val="110"/>
                <w:sz w:val="22"/>
              </w:rPr>
              <w:t>Bates.</w:t>
            </w:r>
          </w:p>
        </w:tc>
      </w:tr>
      <w:tr>
        <w:trPr>
          <w:trHeight w:val="791" w:hRule="atLeast"/>
        </w:trPr>
        <w:tc>
          <w:tcPr>
            <w:tcW w:w="135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1989</w:t>
            </w:r>
          </w:p>
        </w:tc>
        <w:tc>
          <w:tcPr>
            <w:tcW w:w="8352" w:type="dxa"/>
          </w:tcPr>
          <w:p>
            <w:pPr>
              <w:pStyle w:val="TableParagraph"/>
              <w:spacing w:line="244" w:lineRule="auto"/>
              <w:ind w:right="1878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Texas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were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Chile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(conference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volume) </w:t>
            </w:r>
            <w:r>
              <w:rPr>
                <w:w w:val="110"/>
                <w:sz w:val="22"/>
              </w:rPr>
              <w:t>Sequoia Institute/USAID.</w:t>
            </w:r>
          </w:p>
        </w:tc>
      </w:tr>
      <w:tr>
        <w:trPr>
          <w:trHeight w:val="794" w:hRule="atLeast"/>
        </w:trPr>
        <w:tc>
          <w:tcPr>
            <w:tcW w:w="135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1988</w:t>
            </w:r>
          </w:p>
        </w:tc>
        <w:tc>
          <w:tcPr>
            <w:tcW w:w="8352" w:type="dxa"/>
          </w:tcPr>
          <w:p>
            <w:pPr>
              <w:pStyle w:val="TableParagraph"/>
              <w:spacing w:line="244" w:lineRule="auto"/>
              <w:rPr>
                <w:sz w:val="22"/>
              </w:rPr>
            </w:pPr>
            <w:r>
              <w:rPr>
                <w:w w:val="110"/>
                <w:sz w:val="22"/>
              </w:rPr>
              <w:t>Macroeconomic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Instability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the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Growth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Nontraditional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Exports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Chile Tinker Foundation Travel Research Grant.</w:t>
            </w:r>
          </w:p>
        </w:tc>
      </w:tr>
      <w:tr>
        <w:trPr>
          <w:trHeight w:val="663" w:hRule="atLeast"/>
        </w:trPr>
        <w:tc>
          <w:tcPr>
            <w:tcW w:w="1357" w:type="dxa"/>
          </w:tcPr>
          <w:p>
            <w:pPr>
              <w:pStyle w:val="TableParagraph"/>
              <w:spacing w:before="142"/>
              <w:ind w:left="50"/>
              <w:rPr>
                <w:sz w:val="22"/>
              </w:rPr>
            </w:pPr>
            <w:r>
              <w:rPr>
                <w:sz w:val="22"/>
              </w:rPr>
              <w:t>1985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sz w:val="22"/>
              </w:rPr>
              <w:t>1986</w:t>
            </w:r>
          </w:p>
        </w:tc>
        <w:tc>
          <w:tcPr>
            <w:tcW w:w="8352" w:type="dxa"/>
          </w:tcPr>
          <w:p>
            <w:pPr>
              <w:pStyle w:val="TableParagraph"/>
              <w:spacing w:line="260" w:lineRule="atLeast" w:before="123"/>
              <w:ind w:right="2916"/>
              <w:rPr>
                <w:sz w:val="22"/>
              </w:rPr>
            </w:pPr>
            <w:r>
              <w:rPr>
                <w:w w:val="110"/>
                <w:sz w:val="22"/>
              </w:rPr>
              <w:t>The 1981-1983 Chilean Financial Collapse Fulbright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American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Republics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Research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Fellowship.</w:t>
            </w:r>
          </w:p>
        </w:tc>
      </w:tr>
    </w:tbl>
    <w:p>
      <w:pPr>
        <w:pStyle w:val="TableParagraph"/>
        <w:spacing w:after="0" w:line="260" w:lineRule="atLeast"/>
        <w:rPr>
          <w:sz w:val="22"/>
        </w:rPr>
        <w:sectPr>
          <w:headerReference w:type="default" r:id="rId13"/>
          <w:footerReference w:type="default" r:id="rId14"/>
          <w:pgSz w:w="12240" w:h="15840"/>
          <w:pgMar w:header="765" w:footer="791" w:top="1080" w:bottom="980" w:left="1080" w:right="1080"/>
        </w:sectPr>
      </w:pPr>
    </w:p>
    <w:p>
      <w:pPr>
        <w:pStyle w:val="BodyText"/>
        <w:spacing w:before="70"/>
        <w:rPr>
          <w:rFonts w:ascii="Arial"/>
          <w:b/>
          <w:i/>
          <w:sz w:val="24"/>
        </w:rPr>
      </w:pPr>
    </w:p>
    <w:p>
      <w:pPr>
        <w:spacing w:before="0"/>
        <w:ind w:left="278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Professional</w:t>
      </w:r>
      <w:r>
        <w:rPr>
          <w:rFonts w:ascii="Arial"/>
          <w:b/>
          <w:i/>
          <w:spacing w:val="-2"/>
          <w:sz w:val="24"/>
        </w:rPr>
        <w:t> </w:t>
      </w:r>
      <w:r>
        <w:rPr>
          <w:rFonts w:ascii="Arial"/>
          <w:b/>
          <w:i/>
          <w:sz w:val="24"/>
        </w:rPr>
        <w:t>Awards</w:t>
      </w:r>
      <w:r>
        <w:rPr>
          <w:rFonts w:ascii="Arial"/>
          <w:b/>
          <w:i/>
          <w:spacing w:val="-1"/>
          <w:sz w:val="24"/>
        </w:rPr>
        <w:t> </w:t>
      </w:r>
      <w:r>
        <w:rPr>
          <w:rFonts w:ascii="Arial"/>
          <w:b/>
          <w:i/>
          <w:sz w:val="24"/>
        </w:rPr>
        <w:t>and</w:t>
      </w:r>
      <w:r>
        <w:rPr>
          <w:rFonts w:ascii="Arial"/>
          <w:b/>
          <w:i/>
          <w:spacing w:val="-1"/>
          <w:sz w:val="24"/>
        </w:rPr>
        <w:t> </w:t>
      </w:r>
      <w:r>
        <w:rPr>
          <w:rFonts w:ascii="Arial"/>
          <w:b/>
          <w:i/>
          <w:spacing w:val="-2"/>
          <w:sz w:val="24"/>
        </w:rPr>
        <w:t>Experience</w:t>
      </w:r>
    </w:p>
    <w:p>
      <w:pPr>
        <w:pStyle w:val="Heading2"/>
        <w:tabs>
          <w:tab w:pos="2438" w:val="left" w:leader="none"/>
        </w:tabs>
        <w:spacing w:line="242" w:lineRule="auto" w:before="273"/>
        <w:ind w:left="2438" w:right="981" w:hanging="2160"/>
      </w:pPr>
      <w:r>
        <w:rPr/>
        <w:t>June 2019</w:t>
        <w:tab/>
        <w:t>Henry</w:t>
      </w:r>
      <w:r>
        <w:rPr>
          <w:spacing w:val="-6"/>
        </w:rPr>
        <w:t> </w:t>
      </w:r>
      <w:r>
        <w:rPr/>
        <w:t>T.</w:t>
      </w:r>
      <w:r>
        <w:rPr>
          <w:spacing w:val="-6"/>
        </w:rPr>
        <w:t> </w:t>
      </w:r>
      <w:r>
        <w:rPr/>
        <w:t>Buechel</w:t>
      </w:r>
      <w:r>
        <w:rPr>
          <w:spacing w:val="-6"/>
        </w:rPr>
        <w:t> </w:t>
      </w:r>
      <w:r>
        <w:rPr/>
        <w:t>Award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Distinguished</w:t>
      </w:r>
      <w:r>
        <w:rPr>
          <w:spacing w:val="-6"/>
        </w:rPr>
        <w:t> </w:t>
      </w:r>
      <w:r>
        <w:rPr/>
        <w:t>Undergraduate</w:t>
      </w:r>
      <w:r>
        <w:rPr>
          <w:spacing w:val="-7"/>
        </w:rPr>
        <w:t> </w:t>
      </w:r>
      <w:r>
        <w:rPr/>
        <w:t>Teaching, Department of Economics, University of Washington</w:t>
      </w:r>
    </w:p>
    <w:p>
      <w:pPr>
        <w:pStyle w:val="BodyText"/>
        <w:spacing w:before="2"/>
        <w:rPr>
          <w:rFonts w:ascii="Times New Roman"/>
          <w:sz w:val="24"/>
        </w:rPr>
      </w:pPr>
    </w:p>
    <w:p>
      <w:pPr>
        <w:pStyle w:val="BodyText"/>
        <w:tabs>
          <w:tab w:pos="2438" w:val="left" w:leader="none"/>
        </w:tabs>
        <w:ind w:left="278"/>
      </w:pPr>
      <w:r>
        <w:rPr>
          <w:w w:val="110"/>
        </w:rPr>
        <w:t>March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2017</w:t>
      </w:r>
      <w:r>
        <w:rPr/>
        <w:tab/>
      </w:r>
      <w:r>
        <w:rPr>
          <w:w w:val="110"/>
        </w:rPr>
        <w:t>Nominated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University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Washington</w:t>
      </w:r>
      <w:r>
        <w:rPr>
          <w:spacing w:val="-12"/>
          <w:w w:val="110"/>
        </w:rPr>
        <w:t> </w:t>
      </w:r>
      <w:r>
        <w:rPr>
          <w:w w:val="110"/>
        </w:rPr>
        <w:t>Distinguished</w:t>
      </w:r>
      <w:r>
        <w:rPr>
          <w:spacing w:val="-12"/>
          <w:w w:val="110"/>
        </w:rPr>
        <w:t> </w:t>
      </w:r>
      <w:r>
        <w:rPr>
          <w:w w:val="110"/>
        </w:rPr>
        <w:t>Teaching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Award</w:t>
      </w:r>
    </w:p>
    <w:p>
      <w:pPr>
        <w:pStyle w:val="BodyText"/>
        <w:spacing w:before="12"/>
      </w:pPr>
    </w:p>
    <w:p>
      <w:pPr>
        <w:pStyle w:val="BodyText"/>
        <w:tabs>
          <w:tab w:pos="2438" w:val="left" w:leader="none"/>
        </w:tabs>
        <w:spacing w:line="244" w:lineRule="auto"/>
        <w:ind w:left="2438" w:right="603" w:hanging="2160"/>
      </w:pPr>
      <w:r>
        <w:rPr>
          <w:w w:val="110"/>
        </w:rPr>
        <w:t>June 2006</w:t>
      </w:r>
      <w:r>
        <w:rPr/>
        <w:tab/>
      </w:r>
      <w:r>
        <w:rPr>
          <w:w w:val="110"/>
        </w:rPr>
        <w:t>Henry</w:t>
      </w:r>
      <w:r>
        <w:rPr>
          <w:spacing w:val="-2"/>
          <w:w w:val="110"/>
        </w:rPr>
        <w:t> </w:t>
      </w:r>
      <w:r>
        <w:rPr>
          <w:w w:val="110"/>
        </w:rPr>
        <w:t>T.</w:t>
      </w:r>
      <w:r>
        <w:rPr>
          <w:spacing w:val="-2"/>
          <w:w w:val="110"/>
        </w:rPr>
        <w:t> </w:t>
      </w:r>
      <w:r>
        <w:rPr>
          <w:w w:val="110"/>
        </w:rPr>
        <w:t>Buechel</w:t>
      </w:r>
      <w:r>
        <w:rPr>
          <w:spacing w:val="-2"/>
          <w:w w:val="110"/>
        </w:rPr>
        <w:t> </w:t>
      </w:r>
      <w:r>
        <w:rPr>
          <w:w w:val="110"/>
        </w:rPr>
        <w:t>Award</w:t>
      </w:r>
      <w:r>
        <w:rPr>
          <w:spacing w:val="-2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Distinguished</w:t>
      </w:r>
      <w:r>
        <w:rPr>
          <w:spacing w:val="-2"/>
          <w:w w:val="110"/>
        </w:rPr>
        <w:t> </w:t>
      </w:r>
      <w:r>
        <w:rPr>
          <w:w w:val="110"/>
        </w:rPr>
        <w:t>Undergraduate</w:t>
      </w:r>
      <w:r>
        <w:rPr>
          <w:spacing w:val="-2"/>
          <w:w w:val="110"/>
        </w:rPr>
        <w:t> </w:t>
      </w:r>
      <w:r>
        <w:rPr>
          <w:w w:val="110"/>
        </w:rPr>
        <w:t>Teaching, Department of Economics, University of Washington</w:t>
      </w:r>
    </w:p>
    <w:p>
      <w:pPr>
        <w:pStyle w:val="BodyText"/>
        <w:spacing w:before="8"/>
      </w:pPr>
    </w:p>
    <w:p>
      <w:pPr>
        <w:pStyle w:val="BodyText"/>
        <w:tabs>
          <w:tab w:pos="2438" w:val="left" w:leader="none"/>
        </w:tabs>
        <w:spacing w:line="244" w:lineRule="auto"/>
        <w:ind w:left="2438" w:right="728" w:hanging="2160"/>
      </w:pPr>
      <w:r>
        <w:rPr>
          <w:w w:val="110"/>
        </w:rPr>
        <w:t>December 2005</w:t>
      </w:r>
      <w:r>
        <w:rPr/>
        <w:tab/>
      </w:r>
      <w:r>
        <w:rPr>
          <w:w w:val="110"/>
        </w:rPr>
        <w:t>U.S. National Fulbright Selection Committee for choosing Fulbright Scholars to Latin America.</w:t>
      </w:r>
    </w:p>
    <w:p>
      <w:pPr>
        <w:pStyle w:val="BodyText"/>
        <w:spacing w:before="13"/>
      </w:pPr>
    </w:p>
    <w:p>
      <w:pPr>
        <w:pStyle w:val="BodyText"/>
        <w:tabs>
          <w:tab w:pos="2438" w:val="left" w:leader="none"/>
        </w:tabs>
        <w:ind w:left="278"/>
      </w:pPr>
      <w:r>
        <w:rPr>
          <w:w w:val="105"/>
        </w:rPr>
        <w:t>September</w:t>
      </w:r>
      <w:r>
        <w:rPr>
          <w:spacing w:val="21"/>
          <w:w w:val="110"/>
        </w:rPr>
        <w:t> </w:t>
      </w:r>
      <w:r>
        <w:rPr>
          <w:spacing w:val="-4"/>
          <w:w w:val="110"/>
        </w:rPr>
        <w:t>2001</w:t>
      </w:r>
      <w:r>
        <w:rPr/>
        <w:tab/>
      </w:r>
      <w:r>
        <w:rPr>
          <w:w w:val="110"/>
        </w:rPr>
        <w:t>Advisor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the Central</w:t>
      </w:r>
      <w:r>
        <w:rPr>
          <w:spacing w:val="-1"/>
          <w:w w:val="110"/>
        </w:rPr>
        <w:t> </w:t>
      </w:r>
      <w:r>
        <w:rPr>
          <w:w w:val="110"/>
        </w:rPr>
        <w:t>Bank of</w:t>
      </w:r>
      <w:r>
        <w:rPr>
          <w:spacing w:val="-1"/>
          <w:w w:val="110"/>
        </w:rPr>
        <w:t> </w:t>
      </w:r>
      <w:r>
        <w:rPr>
          <w:w w:val="110"/>
        </w:rPr>
        <w:t>Chile on</w:t>
      </w:r>
      <w:r>
        <w:rPr>
          <w:spacing w:val="-1"/>
          <w:w w:val="110"/>
        </w:rPr>
        <w:t> </w:t>
      </w:r>
      <w:r>
        <w:rPr>
          <w:w w:val="110"/>
        </w:rPr>
        <w:t>interest rate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margins.</w:t>
      </w:r>
    </w:p>
    <w:p>
      <w:pPr>
        <w:pStyle w:val="BodyText"/>
        <w:spacing w:before="12"/>
      </w:pPr>
    </w:p>
    <w:p>
      <w:pPr>
        <w:pStyle w:val="BodyText"/>
        <w:tabs>
          <w:tab w:pos="2438" w:val="left" w:leader="none"/>
        </w:tabs>
        <w:spacing w:line="244" w:lineRule="auto"/>
        <w:ind w:left="2438" w:right="358" w:hanging="2160"/>
      </w:pPr>
      <w:r>
        <w:rPr>
          <w:w w:val="105"/>
        </w:rPr>
        <w:t>November 1998</w:t>
      </w:r>
      <w:r>
        <w:rPr/>
        <w:tab/>
      </w:r>
      <w:r>
        <w:rPr>
          <w:w w:val="105"/>
        </w:rPr>
        <w:t>Advisor to the Central bank of Colombia (Banco de la Republica) on bank</w:t>
      </w:r>
      <w:r>
        <w:rPr>
          <w:spacing w:val="40"/>
          <w:w w:val="105"/>
        </w:rPr>
        <w:t> </w:t>
      </w:r>
      <w:r>
        <w:rPr>
          <w:w w:val="105"/>
        </w:rPr>
        <w:t>solvency issues.</w:t>
      </w:r>
    </w:p>
    <w:p>
      <w:pPr>
        <w:pStyle w:val="BodyText"/>
        <w:spacing w:before="8"/>
      </w:pPr>
    </w:p>
    <w:p>
      <w:pPr>
        <w:pStyle w:val="BodyText"/>
        <w:tabs>
          <w:tab w:pos="2438" w:val="left" w:leader="none"/>
        </w:tabs>
        <w:ind w:left="278"/>
      </w:pPr>
      <w:r>
        <w:rPr>
          <w:w w:val="110"/>
        </w:rPr>
        <w:t>Summer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1997</w:t>
      </w:r>
      <w:r>
        <w:rPr/>
        <w:tab/>
      </w:r>
      <w:r>
        <w:rPr>
          <w:w w:val="110"/>
        </w:rPr>
        <w:t>Visiting</w:t>
      </w:r>
      <w:r>
        <w:rPr>
          <w:spacing w:val="1"/>
          <w:w w:val="110"/>
        </w:rPr>
        <w:t> </w:t>
      </w:r>
      <w:r>
        <w:rPr>
          <w:w w:val="110"/>
        </w:rPr>
        <w:t>Scholar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Bank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2"/>
          <w:w w:val="110"/>
        </w:rPr>
        <w:t> </w:t>
      </w:r>
      <w:r>
        <w:rPr>
          <w:w w:val="110"/>
        </w:rPr>
        <w:t>Mexico,</w:t>
      </w:r>
      <w:r>
        <w:rPr>
          <w:spacing w:val="1"/>
          <w:w w:val="110"/>
        </w:rPr>
        <w:t> </w:t>
      </w:r>
      <w:r>
        <w:rPr>
          <w:w w:val="110"/>
        </w:rPr>
        <w:t>Mexico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City.</w:t>
      </w:r>
    </w:p>
    <w:p>
      <w:pPr>
        <w:pStyle w:val="BodyText"/>
        <w:spacing w:before="12"/>
      </w:pPr>
    </w:p>
    <w:p>
      <w:pPr>
        <w:pStyle w:val="BodyText"/>
        <w:tabs>
          <w:tab w:pos="2438" w:val="left" w:leader="none"/>
        </w:tabs>
        <w:spacing w:line="244" w:lineRule="auto"/>
        <w:ind w:left="2438" w:right="728" w:hanging="2160"/>
      </w:pPr>
      <w:r>
        <w:rPr>
          <w:spacing w:val="-2"/>
          <w:w w:val="105"/>
        </w:rPr>
        <w:t>1997-1999</w:t>
      </w:r>
      <w:r>
        <w:rPr/>
        <w:tab/>
      </w:r>
      <w:r>
        <w:rPr>
          <w:w w:val="105"/>
        </w:rPr>
        <w:t>Co-editor and author of a six-country study on the determinants of interest rate spreads in Latin America (funded by the Inter American</w:t>
      </w:r>
      <w:r>
        <w:rPr>
          <w:spacing w:val="80"/>
          <w:w w:val="105"/>
        </w:rPr>
        <w:t> </w:t>
      </w:r>
      <w:r>
        <w:rPr>
          <w:w w:val="105"/>
        </w:rPr>
        <w:t>Development Bank).</w:t>
      </w:r>
    </w:p>
    <w:p>
      <w:pPr>
        <w:pStyle w:val="BodyText"/>
        <w:spacing w:before="13"/>
      </w:pPr>
    </w:p>
    <w:p>
      <w:pPr>
        <w:pStyle w:val="BodyText"/>
        <w:tabs>
          <w:tab w:pos="2438" w:val="left" w:leader="none"/>
        </w:tabs>
        <w:spacing w:line="244" w:lineRule="auto" w:before="1"/>
        <w:ind w:left="2438" w:right="687" w:hanging="2160"/>
      </w:pPr>
      <w:r>
        <w:rPr>
          <w:w w:val="110"/>
        </w:rPr>
        <w:t>September 1996</w:t>
      </w:r>
      <w:r>
        <w:rPr/>
        <w:tab/>
      </w:r>
      <w:r>
        <w:rPr>
          <w:w w:val="110"/>
        </w:rPr>
        <w:t>Visiting</w:t>
      </w:r>
      <w:r>
        <w:rPr>
          <w:spacing w:val="-5"/>
          <w:w w:val="110"/>
        </w:rPr>
        <w:t> </w:t>
      </w:r>
      <w:r>
        <w:rPr>
          <w:w w:val="110"/>
        </w:rPr>
        <w:t>Scholar,</w:t>
      </w:r>
      <w:r>
        <w:rPr>
          <w:spacing w:val="-5"/>
          <w:w w:val="110"/>
        </w:rPr>
        <w:t> </w:t>
      </w:r>
      <w:r>
        <w:rPr>
          <w:w w:val="110"/>
        </w:rPr>
        <w:t>Board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Governors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Federal</w:t>
      </w:r>
      <w:r>
        <w:rPr>
          <w:spacing w:val="-5"/>
          <w:w w:val="110"/>
        </w:rPr>
        <w:t> </w:t>
      </w:r>
      <w:r>
        <w:rPr>
          <w:w w:val="110"/>
        </w:rPr>
        <w:t>Reserve</w:t>
      </w:r>
      <w:r>
        <w:rPr>
          <w:spacing w:val="-5"/>
          <w:w w:val="110"/>
        </w:rPr>
        <w:t> </w:t>
      </w:r>
      <w:r>
        <w:rPr>
          <w:w w:val="110"/>
        </w:rPr>
        <w:t>System, International Finance Division.</w:t>
      </w:r>
    </w:p>
    <w:p>
      <w:pPr>
        <w:pStyle w:val="BodyText"/>
        <w:spacing w:before="7"/>
      </w:pPr>
    </w:p>
    <w:p>
      <w:pPr>
        <w:pStyle w:val="BodyText"/>
        <w:tabs>
          <w:tab w:pos="2438" w:val="left" w:leader="none"/>
        </w:tabs>
        <w:spacing w:line="244" w:lineRule="auto" w:before="1"/>
        <w:ind w:left="2438" w:right="350" w:hanging="2160"/>
      </w:pPr>
      <w:r>
        <w:rPr>
          <w:w w:val="110"/>
        </w:rPr>
        <w:t>June 1994</w:t>
      </w:r>
      <w:r>
        <w:rPr/>
        <w:tab/>
      </w:r>
      <w:r>
        <w:rPr>
          <w:w w:val="110"/>
        </w:rPr>
        <w:t>Visiting</w:t>
      </w:r>
      <w:r>
        <w:rPr>
          <w:spacing w:val="-1"/>
          <w:w w:val="110"/>
        </w:rPr>
        <w:t> </w:t>
      </w:r>
      <w:r>
        <w:rPr>
          <w:w w:val="110"/>
        </w:rPr>
        <w:t>Scholar,</w:t>
      </w:r>
      <w:r>
        <w:rPr>
          <w:spacing w:val="-1"/>
          <w:w w:val="110"/>
        </w:rPr>
        <w:t> </w:t>
      </w:r>
      <w:r>
        <w:rPr>
          <w:w w:val="110"/>
        </w:rPr>
        <w:t>Finance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Private</w:t>
      </w:r>
      <w:r>
        <w:rPr>
          <w:spacing w:val="-1"/>
          <w:w w:val="110"/>
        </w:rPr>
        <w:t> </w:t>
      </w:r>
      <w:r>
        <w:rPr>
          <w:w w:val="110"/>
        </w:rPr>
        <w:t>Sector</w:t>
      </w:r>
      <w:r>
        <w:rPr>
          <w:spacing w:val="-1"/>
          <w:w w:val="110"/>
        </w:rPr>
        <w:t> </w:t>
      </w:r>
      <w:r>
        <w:rPr>
          <w:w w:val="110"/>
        </w:rPr>
        <w:t>Development</w:t>
      </w:r>
      <w:r>
        <w:rPr>
          <w:spacing w:val="-1"/>
          <w:w w:val="110"/>
        </w:rPr>
        <w:t> </w:t>
      </w:r>
      <w:r>
        <w:rPr>
          <w:w w:val="110"/>
        </w:rPr>
        <w:t>Division,</w:t>
      </w:r>
      <w:r>
        <w:rPr>
          <w:spacing w:val="-1"/>
          <w:w w:val="110"/>
        </w:rPr>
        <w:t> </w:t>
      </w:r>
      <w:r>
        <w:rPr>
          <w:w w:val="110"/>
        </w:rPr>
        <w:t>the World Bank.</w:t>
      </w:r>
    </w:p>
    <w:p>
      <w:pPr>
        <w:pStyle w:val="BodyText"/>
        <w:spacing w:before="7"/>
      </w:pPr>
    </w:p>
    <w:p>
      <w:pPr>
        <w:pStyle w:val="BodyText"/>
        <w:tabs>
          <w:tab w:pos="2438" w:val="left" w:leader="none"/>
        </w:tabs>
        <w:spacing w:line="244" w:lineRule="auto"/>
        <w:ind w:left="2438" w:right="728" w:hanging="2160"/>
      </w:pPr>
      <w:r>
        <w:rPr>
          <w:w w:val="105"/>
        </w:rPr>
        <w:t>December 1991</w:t>
      </w:r>
      <w:r>
        <w:rPr/>
        <w:tab/>
      </w:r>
      <w:r>
        <w:rPr>
          <w:w w:val="105"/>
        </w:rPr>
        <w:t>Advisor to the central bank of Costa Rica on the taxation of banking</w:t>
      </w:r>
      <w:r>
        <w:rPr>
          <w:spacing w:val="80"/>
          <w:w w:val="105"/>
        </w:rPr>
        <w:t> </w:t>
      </w:r>
      <w:r>
        <w:rPr>
          <w:spacing w:val="-2"/>
          <w:w w:val="105"/>
        </w:rPr>
        <w:t>activity.</w:t>
      </w:r>
    </w:p>
    <w:p>
      <w:pPr>
        <w:pStyle w:val="BodyText"/>
        <w:spacing w:before="13"/>
      </w:pPr>
    </w:p>
    <w:p>
      <w:pPr>
        <w:pStyle w:val="BodyText"/>
        <w:tabs>
          <w:tab w:pos="2438" w:val="left" w:leader="none"/>
        </w:tabs>
        <w:spacing w:line="244" w:lineRule="auto"/>
        <w:ind w:left="2438" w:right="326" w:hanging="2160"/>
      </w:pPr>
      <w:r>
        <w:rPr>
          <w:w w:val="110"/>
        </w:rPr>
        <w:t>May - June 1989</w:t>
      </w:r>
      <w:r>
        <w:rPr/>
        <w:tab/>
      </w:r>
      <w:r>
        <w:rPr>
          <w:w w:val="110"/>
        </w:rPr>
        <w:t>Advisor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central</w:t>
      </w:r>
      <w:r>
        <w:rPr>
          <w:spacing w:val="-11"/>
          <w:w w:val="110"/>
        </w:rPr>
        <w:t> </w:t>
      </w:r>
      <w:r>
        <w:rPr>
          <w:w w:val="110"/>
        </w:rPr>
        <w:t>bank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Dominican</w:t>
      </w:r>
      <w:r>
        <w:rPr>
          <w:spacing w:val="-11"/>
          <w:w w:val="110"/>
        </w:rPr>
        <w:t> </w:t>
      </w:r>
      <w:r>
        <w:rPr>
          <w:w w:val="110"/>
        </w:rPr>
        <w:t>Republic</w:t>
      </w:r>
      <w:r>
        <w:rPr>
          <w:spacing w:val="-11"/>
          <w:w w:val="110"/>
        </w:rPr>
        <w:t> </w:t>
      </w: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monetary</w:t>
      </w:r>
      <w:r>
        <w:rPr>
          <w:spacing w:val="-11"/>
          <w:w w:val="110"/>
        </w:rPr>
        <w:t> </w:t>
      </w:r>
      <w:r>
        <w:rPr>
          <w:w w:val="110"/>
        </w:rPr>
        <w:t>and exchange rate policy.</w:t>
      </w:r>
    </w:p>
    <w:p>
      <w:pPr>
        <w:pStyle w:val="BodyText"/>
        <w:spacing w:before="8"/>
      </w:pPr>
    </w:p>
    <w:p>
      <w:pPr>
        <w:pStyle w:val="BodyText"/>
        <w:tabs>
          <w:tab w:pos="2438" w:val="left" w:leader="none"/>
        </w:tabs>
        <w:spacing w:line="244" w:lineRule="auto"/>
        <w:ind w:left="2438" w:right="502" w:hanging="2160"/>
      </w:pPr>
      <w:r>
        <w:rPr>
          <w:w w:val="110"/>
        </w:rPr>
        <w:t>1987 - 1988</w:t>
      </w:r>
      <w:r>
        <w:rPr/>
        <w:tab/>
      </w:r>
      <w:r>
        <w:rPr>
          <w:w w:val="110"/>
        </w:rPr>
        <w:t>Member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Study</w:t>
      </w:r>
      <w:r>
        <w:rPr>
          <w:spacing w:val="-8"/>
          <w:w w:val="110"/>
        </w:rPr>
        <w:t> </w:t>
      </w:r>
      <w:r>
        <w:rPr>
          <w:w w:val="110"/>
        </w:rPr>
        <w:t>Task</w:t>
      </w:r>
      <w:r>
        <w:rPr>
          <w:spacing w:val="-8"/>
          <w:w w:val="110"/>
        </w:rPr>
        <w:t> </w:t>
      </w:r>
      <w:r>
        <w:rPr>
          <w:w w:val="110"/>
        </w:rPr>
        <w:t>Force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International</w:t>
      </w:r>
      <w:r>
        <w:rPr>
          <w:spacing w:val="-8"/>
          <w:w w:val="110"/>
        </w:rPr>
        <w:t> </w:t>
      </w:r>
      <w:r>
        <w:rPr>
          <w:w w:val="110"/>
        </w:rPr>
        <w:t>Commission</w:t>
      </w:r>
      <w:r>
        <w:rPr>
          <w:spacing w:val="-8"/>
          <w:w w:val="110"/>
        </w:rPr>
        <w:t> </w:t>
      </w:r>
      <w:r>
        <w:rPr>
          <w:w w:val="110"/>
        </w:rPr>
        <w:t>for Central American Recovery and Development.</w:t>
      </w:r>
    </w:p>
    <w:p>
      <w:pPr>
        <w:pStyle w:val="BodyText"/>
        <w:spacing w:before="8"/>
      </w:pPr>
    </w:p>
    <w:p>
      <w:pPr>
        <w:pStyle w:val="BodyText"/>
        <w:tabs>
          <w:tab w:pos="2438" w:val="left" w:leader="none"/>
        </w:tabs>
        <w:spacing w:line="244" w:lineRule="auto"/>
        <w:ind w:left="2438" w:right="989" w:hanging="2160"/>
      </w:pPr>
      <w:r>
        <w:rPr>
          <w:w w:val="110"/>
        </w:rPr>
        <w:t>1981 - 1982</w:t>
      </w:r>
      <w:r>
        <w:rPr/>
        <w:tab/>
      </w:r>
      <w:r>
        <w:rPr>
          <w:w w:val="110"/>
        </w:rPr>
        <w:t>Department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Education</w:t>
      </w:r>
      <w:r>
        <w:rPr>
          <w:spacing w:val="-9"/>
          <w:w w:val="110"/>
        </w:rPr>
        <w:t> </w:t>
      </w:r>
      <w:r>
        <w:rPr>
          <w:w w:val="110"/>
        </w:rPr>
        <w:t>National</w:t>
      </w:r>
      <w:r>
        <w:rPr>
          <w:spacing w:val="-9"/>
          <w:w w:val="110"/>
        </w:rPr>
        <w:t> </w:t>
      </w:r>
      <w:r>
        <w:rPr>
          <w:w w:val="110"/>
        </w:rPr>
        <w:t>Resource</w:t>
      </w:r>
      <w:r>
        <w:rPr>
          <w:spacing w:val="-9"/>
          <w:w w:val="110"/>
        </w:rPr>
        <w:t> </w:t>
      </w:r>
      <w:r>
        <w:rPr>
          <w:w w:val="110"/>
        </w:rPr>
        <w:t>Fellowship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Latin American area studies.</w:t>
      </w:r>
    </w:p>
    <w:p>
      <w:pPr>
        <w:pStyle w:val="BodyText"/>
        <w:spacing w:before="8"/>
      </w:pPr>
    </w:p>
    <w:p>
      <w:pPr>
        <w:pStyle w:val="BodyText"/>
        <w:tabs>
          <w:tab w:pos="2438" w:val="left" w:leader="none"/>
        </w:tabs>
        <w:spacing w:line="249" w:lineRule="auto"/>
        <w:ind w:left="2438" w:right="940" w:hanging="2160"/>
      </w:pPr>
      <w:r>
        <w:rPr>
          <w:w w:val="110"/>
        </w:rPr>
        <w:t>1980 - 1981</w:t>
      </w:r>
      <w:r>
        <w:rPr/>
        <w:tab/>
      </w:r>
      <w:r>
        <w:rPr>
          <w:w w:val="110"/>
        </w:rPr>
        <w:t>Center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Research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International</w:t>
      </w:r>
      <w:r>
        <w:rPr>
          <w:spacing w:val="-8"/>
          <w:w w:val="110"/>
        </w:rPr>
        <w:t> </w:t>
      </w:r>
      <w:r>
        <w:rPr>
          <w:w w:val="110"/>
        </w:rPr>
        <w:t>Studies</w:t>
      </w:r>
      <w:r>
        <w:rPr>
          <w:spacing w:val="-8"/>
          <w:w w:val="110"/>
        </w:rPr>
        <w:t> </w:t>
      </w:r>
      <w:r>
        <w:rPr>
          <w:w w:val="110"/>
        </w:rPr>
        <w:t>Fellowship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seven months of dissertation research in Chile.</w:t>
      </w:r>
    </w:p>
    <w:p>
      <w:pPr>
        <w:pStyle w:val="BodyText"/>
        <w:spacing w:before="2"/>
      </w:pPr>
    </w:p>
    <w:p>
      <w:pPr>
        <w:pStyle w:val="BodyText"/>
        <w:tabs>
          <w:tab w:pos="2438" w:val="left" w:leader="none"/>
        </w:tabs>
        <w:spacing w:line="244" w:lineRule="auto"/>
        <w:ind w:left="2438" w:right="493" w:hanging="2160"/>
      </w:pPr>
      <w:r>
        <w:rPr>
          <w:spacing w:val="-4"/>
          <w:w w:val="110"/>
        </w:rPr>
        <w:t>1975</w:t>
      </w:r>
      <w:r>
        <w:rPr/>
        <w:tab/>
      </w:r>
      <w:r>
        <w:rPr>
          <w:w w:val="110"/>
        </w:rPr>
        <w:t>Doherty</w:t>
      </w:r>
      <w:r>
        <w:rPr>
          <w:spacing w:val="-14"/>
          <w:w w:val="110"/>
        </w:rPr>
        <w:t> </w:t>
      </w:r>
      <w:r>
        <w:rPr>
          <w:w w:val="110"/>
        </w:rPr>
        <w:t>Foundation</w:t>
      </w:r>
      <w:r>
        <w:rPr>
          <w:spacing w:val="-13"/>
          <w:w w:val="110"/>
        </w:rPr>
        <w:t> </w:t>
      </w:r>
      <w:r>
        <w:rPr>
          <w:w w:val="110"/>
        </w:rPr>
        <w:t>Summer</w:t>
      </w:r>
      <w:r>
        <w:rPr>
          <w:spacing w:val="-13"/>
          <w:w w:val="110"/>
        </w:rPr>
        <w:t> </w:t>
      </w:r>
      <w:r>
        <w:rPr>
          <w:w w:val="110"/>
        </w:rPr>
        <w:t>Scholarship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senior</w:t>
      </w:r>
      <w:r>
        <w:rPr>
          <w:spacing w:val="-13"/>
          <w:w w:val="110"/>
        </w:rPr>
        <w:t> </w:t>
      </w:r>
      <w:r>
        <w:rPr>
          <w:w w:val="110"/>
        </w:rPr>
        <w:t>thesis</w:t>
      </w:r>
      <w:r>
        <w:rPr>
          <w:spacing w:val="-13"/>
          <w:w w:val="110"/>
        </w:rPr>
        <w:t> </w:t>
      </w:r>
      <w:r>
        <w:rPr>
          <w:w w:val="110"/>
        </w:rPr>
        <w:t>research</w:t>
      </w:r>
      <w:r>
        <w:rPr>
          <w:spacing w:val="-14"/>
          <w:w w:val="110"/>
        </w:rPr>
        <w:t> </w:t>
      </w:r>
      <w:r>
        <w:rPr>
          <w:w w:val="110"/>
        </w:rPr>
        <w:t>in Peru, Ecuador, Colombia, and Venezuela.</w:t>
      </w:r>
    </w:p>
    <w:sectPr>
      <w:headerReference w:type="default" r:id="rId15"/>
      <w:footerReference w:type="default" r:id="rId16"/>
      <w:pgSz w:w="12240" w:h="15840"/>
      <w:pgMar w:header="765" w:footer="791" w:top="1080" w:bottom="9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616">
              <wp:simplePos x="0" y="0"/>
              <wp:positionH relativeFrom="page">
                <wp:posOffset>6862452</wp:posOffset>
              </wp:positionH>
              <wp:positionV relativeFrom="page">
                <wp:posOffset>9416629</wp:posOffset>
              </wp:positionV>
              <wp:extent cx="167005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70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350586pt;margin-top:741.466919pt;width:13.15pt;height:15.3pt;mso-position-horizontal-relative:page;mso-position-vertical-relative:page;z-index:-1590886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8640">
              <wp:simplePos x="0" y="0"/>
              <wp:positionH relativeFrom="page">
                <wp:posOffset>6862452</wp:posOffset>
              </wp:positionH>
              <wp:positionV relativeFrom="page">
                <wp:posOffset>9416629</wp:posOffset>
              </wp:positionV>
              <wp:extent cx="167005" cy="194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70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350586pt;margin-top:741.466919pt;width:13.15pt;height:15.3pt;mso-position-horizontal-relative:page;mso-position-vertical-relative:page;z-index:-1590784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664">
              <wp:simplePos x="0" y="0"/>
              <wp:positionH relativeFrom="page">
                <wp:posOffset>6862452</wp:posOffset>
              </wp:positionH>
              <wp:positionV relativeFrom="page">
                <wp:posOffset>9416629</wp:posOffset>
              </wp:positionV>
              <wp:extent cx="167005" cy="1943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70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350586pt;margin-top:741.466919pt;width:13.15pt;height:15.3pt;mso-position-horizontal-relative:page;mso-position-vertical-relative:page;z-index:-15906816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688">
              <wp:simplePos x="0" y="0"/>
              <wp:positionH relativeFrom="page">
                <wp:posOffset>6862452</wp:posOffset>
              </wp:positionH>
              <wp:positionV relativeFrom="page">
                <wp:posOffset>9416629</wp:posOffset>
              </wp:positionV>
              <wp:extent cx="167005" cy="19431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70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350586pt;margin-top:741.466919pt;width:13.15pt;height:15.3pt;mso-position-horizontal-relative:page;mso-position-vertical-relative:page;z-index:-15905792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1712">
              <wp:simplePos x="0" y="0"/>
              <wp:positionH relativeFrom="page">
                <wp:posOffset>6862452</wp:posOffset>
              </wp:positionH>
              <wp:positionV relativeFrom="page">
                <wp:posOffset>9416629</wp:posOffset>
              </wp:positionV>
              <wp:extent cx="167005" cy="19431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670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350586pt;margin-top:741.466919pt;width:13.15pt;height:15.3pt;mso-position-horizontal-relative:page;mso-position-vertical-relative:page;z-index:-15904768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104">
              <wp:simplePos x="0" y="0"/>
              <wp:positionH relativeFrom="page">
                <wp:posOffset>3844932</wp:posOffset>
              </wp:positionH>
              <wp:positionV relativeFrom="page">
                <wp:posOffset>473336</wp:posOffset>
              </wp:positionV>
              <wp:extent cx="165100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2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2.75061pt;margin-top:37.270599pt;width:13pt;height:14pt;mso-position-horizontal-relative:page;mso-position-vertical-relative:page;z-index:-15909376" type="#_x0000_t202" id="docshape1" filled="false" stroked="false">
              <v:textbox inset="0,0,0,0">
                <w:txbxContent>
                  <w:p>
                    <w:pPr>
                      <w:spacing w:line="252" w:lineRule="exact" w:before="0"/>
                      <w:ind w:left="6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8128">
              <wp:simplePos x="0" y="0"/>
              <wp:positionH relativeFrom="page">
                <wp:posOffset>3844932</wp:posOffset>
              </wp:positionH>
              <wp:positionV relativeFrom="page">
                <wp:posOffset>473336</wp:posOffset>
              </wp:positionV>
              <wp:extent cx="165100" cy="1778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51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2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75061pt;margin-top:37.270599pt;width:13pt;height:14pt;mso-position-horizontal-relative:page;mso-position-vertical-relative:page;z-index:-15908352" type="#_x0000_t202" id="docshape3" filled="false" stroked="false">
              <v:textbox inset="0,0,0,0">
                <w:txbxContent>
                  <w:p>
                    <w:pPr>
                      <w:spacing w:line="252" w:lineRule="exact" w:before="0"/>
                      <w:ind w:left="6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152">
              <wp:simplePos x="0" y="0"/>
              <wp:positionH relativeFrom="page">
                <wp:posOffset>3844932</wp:posOffset>
              </wp:positionH>
              <wp:positionV relativeFrom="page">
                <wp:posOffset>473336</wp:posOffset>
              </wp:positionV>
              <wp:extent cx="165100" cy="1778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651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2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75061pt;margin-top:37.270599pt;width:13pt;height:14pt;mso-position-horizontal-relative:page;mso-position-vertical-relative:page;z-index:-15907328" type="#_x0000_t202" id="docshape5" filled="false" stroked="false">
              <v:textbox inset="0,0,0,0">
                <w:txbxContent>
                  <w:p>
                    <w:pPr>
                      <w:spacing w:line="252" w:lineRule="exact" w:before="0"/>
                      <w:ind w:left="6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4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176">
              <wp:simplePos x="0" y="0"/>
              <wp:positionH relativeFrom="page">
                <wp:posOffset>3844932</wp:posOffset>
              </wp:positionH>
              <wp:positionV relativeFrom="page">
                <wp:posOffset>473336</wp:posOffset>
              </wp:positionV>
              <wp:extent cx="165100" cy="1778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51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2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75061pt;margin-top:37.270599pt;width:13pt;height:14pt;mso-position-horizontal-relative:page;mso-position-vertical-relative:page;z-index:-15906304" type="#_x0000_t202" id="docshape7" filled="false" stroked="false">
              <v:textbox inset="0,0,0,0">
                <w:txbxContent>
                  <w:p>
                    <w:pPr>
                      <w:spacing w:line="252" w:lineRule="exact" w:before="0"/>
                      <w:ind w:left="6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1200">
              <wp:simplePos x="0" y="0"/>
              <wp:positionH relativeFrom="page">
                <wp:posOffset>3844932</wp:posOffset>
              </wp:positionH>
              <wp:positionV relativeFrom="page">
                <wp:posOffset>473336</wp:posOffset>
              </wp:positionV>
              <wp:extent cx="165100" cy="17780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651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2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75061pt;margin-top:37.270599pt;width:13pt;height:14pt;mso-position-horizontal-relative:page;mso-position-vertical-relative:page;z-index:-15905280" type="#_x0000_t202" id="docshape9" filled="false" stroked="false">
              <v:textbox inset="0,0,0,0">
                <w:txbxContent>
                  <w:p>
                    <w:pPr>
                      <w:spacing w:line="252" w:lineRule="exact" w:before="0"/>
                      <w:ind w:left="6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6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78"/>
      <w:outlineLvl w:val="1"/>
    </w:pPr>
    <w:rPr>
      <w:rFonts w:ascii="Arial" w:hAnsi="Arial" w:eastAsia="Arial" w:cs="Arial"/>
      <w:b/>
      <w:bCs/>
      <w:i/>
      <w:i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52" w:lineRule="exact"/>
      <w:ind w:left="60"/>
      <w:outlineLvl w:val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113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0"/>
      <w:ind w:left="132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lbrock@u.washington.edu" TargetMode="External"/><Relationship Id="rId6" Type="http://schemas.openxmlformats.org/officeDocument/2006/relationships/hyperlink" Target="http://www.philiplbrock.com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cv050122.doc</dc:title>
  <dcterms:created xsi:type="dcterms:W3CDTF">2026-01-29T10:12:04Z</dcterms:created>
  <dcterms:modified xsi:type="dcterms:W3CDTF">2026-01-29T10:12:04Z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2022-05-07T00:00:00Z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12.3 (Build 21E230) Quartz PDFContext</vt:lpwstr>
  </property>
</Properties>
</file>