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0"/>
        <w:ind w:left="144" w:right="1" w:firstLine="0"/>
        <w:jc w:val="center"/>
        <w:rPr>
          <w:sz w:val="18"/>
        </w:rPr>
      </w:pPr>
      <w:r>
        <w:rPr>
          <w:sz w:val="18"/>
        </w:rPr>
        <w:t>CURRICULUM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VITAE</w:t>
      </w:r>
    </w:p>
    <w:p>
      <w:pPr>
        <w:pStyle w:val="BodyText"/>
        <w:spacing w:before="167"/>
        <w:rPr>
          <w:sz w:val="22"/>
        </w:rPr>
      </w:pPr>
    </w:p>
    <w:p>
      <w:pPr>
        <w:pStyle w:val="Heading1"/>
        <w:ind w:left="144"/>
        <w:jc w:val="center"/>
      </w:pPr>
      <w:r>
        <w:rPr>
          <w:smallCaps/>
        </w:rPr>
        <w:t>Todd</w:t>
      </w:r>
      <w:r>
        <w:rPr>
          <w:smallCaps/>
          <w:spacing w:val="-3"/>
        </w:rPr>
        <w:t> </w:t>
      </w:r>
      <w:r>
        <w:rPr>
          <w:smallCaps/>
          <w:spacing w:val="-2"/>
        </w:rPr>
        <w:t>Keister</w:t>
      </w:r>
    </w:p>
    <w:p>
      <w:pPr>
        <w:spacing w:before="178"/>
        <w:ind w:left="215" w:right="0" w:firstLine="0"/>
        <w:jc w:val="left"/>
        <w:rPr>
          <w:b/>
          <w:sz w:val="22"/>
        </w:rPr>
      </w:pPr>
      <w:bookmarkStart w:name="address" w:id="1"/>
      <w:bookmarkEnd w:id="1"/>
      <w:r>
        <w:rPr/>
      </w:r>
      <w:r>
        <w:rPr>
          <w:b/>
          <w:color w:val="1F487C"/>
          <w:spacing w:val="-2"/>
          <w:sz w:val="22"/>
        </w:rPr>
        <w:t>ADDRESS</w:t>
      </w:r>
    </w:p>
    <w:p>
      <w:pPr>
        <w:pStyle w:val="BodyText"/>
        <w:tabs>
          <w:tab w:pos="6695" w:val="left" w:leader="none"/>
        </w:tabs>
        <w:spacing w:before="194"/>
        <w:ind w:left="215"/>
      </w:pPr>
      <w:r>
        <w:rPr/>
        <w:t>Research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Statistics</w:t>
      </w:r>
      <w:r>
        <w:rPr>
          <w:spacing w:val="-2"/>
        </w:rPr>
        <w:t> </w:t>
      </w:r>
      <w:r>
        <w:rPr>
          <w:spacing w:val="-4"/>
        </w:rPr>
        <w:t>Group</w:t>
      </w:r>
      <w:r>
        <w:rPr/>
        <w:tab/>
        <w:t>email:</w:t>
      </w:r>
      <w:r>
        <w:rPr>
          <w:spacing w:val="-4"/>
        </w:rPr>
        <w:t> </w:t>
      </w:r>
      <w:hyperlink r:id="rId5">
        <w:r>
          <w:rPr>
            <w:color w:val="1F487C"/>
            <w:spacing w:val="-2"/>
          </w:rPr>
          <w:t>todd.keister@ny.frb.org</w:t>
        </w:r>
      </w:hyperlink>
    </w:p>
    <w:p>
      <w:pPr>
        <w:pStyle w:val="BodyText"/>
        <w:tabs>
          <w:tab w:pos="6695" w:val="left" w:leader="none"/>
        </w:tabs>
        <w:ind w:left="216" w:right="96"/>
      </w:pPr>
      <w:r>
        <w:rPr/>
        <w:t>Federal Reserve Bank of New York</w:t>
        <w:tab/>
        <w:t>web:</w:t>
      </w:r>
      <w:r>
        <w:rPr>
          <w:spacing w:val="-15"/>
        </w:rPr>
        <w:t> </w:t>
      </w:r>
      <w:hyperlink r:id="rId6">
        <w:r>
          <w:rPr>
            <w:color w:val="1F487C"/>
          </w:rPr>
          <w:t>http://www.toddkeister.com/</w:t>
        </w:r>
      </w:hyperlink>
      <w:r>
        <w:rPr>
          <w:color w:val="1F487C"/>
        </w:rPr>
        <w:t> </w:t>
      </w:r>
      <w:r>
        <w:rPr/>
        <w:t>33 Liberty Street</w:t>
      </w:r>
    </w:p>
    <w:p>
      <w:pPr>
        <w:pStyle w:val="BodyText"/>
        <w:ind w:left="216"/>
      </w:pPr>
      <w:r>
        <w:rPr/>
        <w:t>New</w:t>
      </w:r>
      <w:r>
        <w:rPr>
          <w:spacing w:val="-5"/>
        </w:rPr>
        <w:t> </w:t>
      </w:r>
      <w:r>
        <w:rPr/>
        <w:t>York,</w:t>
      </w:r>
      <w:r>
        <w:rPr>
          <w:spacing w:val="-1"/>
        </w:rPr>
        <w:t> </w:t>
      </w:r>
      <w:r>
        <w:rPr/>
        <w:t>NY</w:t>
      </w:r>
      <w:r>
        <w:rPr>
          <w:spacing w:val="-2"/>
        </w:rPr>
        <w:t> 10045</w:t>
      </w:r>
    </w:p>
    <w:p>
      <w:pPr>
        <w:pStyle w:val="BodyText"/>
        <w:spacing w:before="57"/>
      </w:pPr>
    </w:p>
    <w:p>
      <w:pPr>
        <w:spacing w:before="0"/>
        <w:ind w:left="215" w:right="0" w:firstLine="0"/>
        <w:jc w:val="left"/>
        <w:rPr>
          <w:b/>
          <w:sz w:val="22"/>
        </w:rPr>
      </w:pPr>
      <w:bookmarkStart w:name="current positions" w:id="2"/>
      <w:bookmarkEnd w:id="2"/>
      <w:r>
        <w:rPr/>
      </w:r>
      <w:r>
        <w:rPr>
          <w:b/>
          <w:color w:val="1F487C"/>
          <w:sz w:val="22"/>
        </w:rPr>
        <w:t>CURRENT</w:t>
      </w:r>
      <w:r>
        <w:rPr>
          <w:b/>
          <w:color w:val="1F487C"/>
          <w:spacing w:val="-12"/>
          <w:sz w:val="22"/>
        </w:rPr>
        <w:t> </w:t>
      </w:r>
      <w:r>
        <w:rPr>
          <w:b/>
          <w:color w:val="1F487C"/>
          <w:spacing w:val="-2"/>
          <w:sz w:val="22"/>
        </w:rPr>
        <w:t>POSITIONS</w:t>
      </w:r>
    </w:p>
    <w:p>
      <w:pPr>
        <w:pStyle w:val="BodyText"/>
        <w:spacing w:before="220"/>
        <w:ind w:left="935" w:right="412" w:hanging="720"/>
      </w:pPr>
      <w:r>
        <w:rPr/>
        <w:t>Financial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Advisor,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Statistics</w:t>
      </w:r>
      <w:r>
        <w:rPr>
          <w:spacing w:val="-3"/>
        </w:rPr>
        <w:t> </w:t>
      </w:r>
      <w:r>
        <w:rPr/>
        <w:t>Group,</w:t>
      </w:r>
      <w:r>
        <w:rPr>
          <w:spacing w:val="-3"/>
        </w:rPr>
        <w:t> </w:t>
      </w:r>
      <w:r>
        <w:rPr/>
        <w:t>Federal</w:t>
      </w:r>
      <w:r>
        <w:rPr>
          <w:spacing w:val="-3"/>
        </w:rPr>
        <w:t> </w:t>
      </w:r>
      <w:r>
        <w:rPr/>
        <w:t>Reserve</w:t>
      </w:r>
      <w:r>
        <w:rPr>
          <w:spacing w:val="-4"/>
        </w:rPr>
        <w:t> </w:t>
      </w:r>
      <w:r>
        <w:rPr/>
        <w:t>Bank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York, since July 2025</w:t>
      </w:r>
    </w:p>
    <w:p>
      <w:pPr>
        <w:pStyle w:val="BodyText"/>
        <w:spacing w:before="207"/>
        <w:ind w:left="215"/>
      </w:pPr>
      <w:r>
        <w:rPr/>
        <w:t>Professor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Rutgers</w:t>
      </w:r>
      <w:r>
        <w:rPr>
          <w:spacing w:val="-2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since September</w:t>
      </w:r>
      <w:r>
        <w:rPr>
          <w:spacing w:val="-3"/>
        </w:rPr>
        <w:t> </w:t>
      </w:r>
      <w:r>
        <w:rPr/>
        <w:t>2012</w:t>
      </w:r>
      <w:r>
        <w:rPr>
          <w:spacing w:val="58"/>
        </w:rPr>
        <w:t> </w:t>
      </w:r>
      <w:r>
        <w:rPr/>
        <w:t>(on</w:t>
      </w:r>
      <w:r>
        <w:rPr>
          <w:spacing w:val="-1"/>
        </w:rPr>
        <w:t> </w:t>
      </w:r>
      <w:r>
        <w:rPr>
          <w:spacing w:val="-2"/>
        </w:rPr>
        <w:t>leave).</w:t>
      </w:r>
    </w:p>
    <w:p>
      <w:pPr>
        <w:pStyle w:val="BodyText"/>
        <w:spacing w:before="57"/>
      </w:pPr>
    </w:p>
    <w:p>
      <w:pPr>
        <w:spacing w:before="0"/>
        <w:ind w:left="215" w:right="0" w:firstLine="0"/>
        <w:jc w:val="left"/>
        <w:rPr>
          <w:b/>
          <w:sz w:val="22"/>
        </w:rPr>
      </w:pPr>
      <w:bookmarkStart w:name="past positions" w:id="3"/>
      <w:bookmarkEnd w:id="3"/>
      <w:r>
        <w:rPr/>
      </w:r>
      <w:r>
        <w:rPr>
          <w:b/>
          <w:color w:val="1F487C"/>
          <w:sz w:val="22"/>
        </w:rPr>
        <w:t>PAST</w:t>
      </w:r>
      <w:r>
        <w:rPr>
          <w:b/>
          <w:color w:val="1F487C"/>
          <w:spacing w:val="-5"/>
          <w:sz w:val="22"/>
        </w:rPr>
        <w:t> </w:t>
      </w:r>
      <w:r>
        <w:rPr>
          <w:b/>
          <w:color w:val="1F487C"/>
          <w:spacing w:val="-2"/>
          <w:sz w:val="22"/>
        </w:rPr>
        <w:t>POSITIONS</w:t>
      </w:r>
    </w:p>
    <w:p>
      <w:pPr>
        <w:pStyle w:val="BodyText"/>
        <w:spacing w:before="242"/>
        <w:ind w:left="936" w:right="2967" w:hanging="720"/>
      </w:pPr>
      <w:r>
        <w:rPr/>
        <w:t>Federal</w:t>
      </w:r>
      <w:r>
        <w:rPr>
          <w:spacing w:val="-5"/>
        </w:rPr>
        <w:t> </w:t>
      </w:r>
      <w:r>
        <w:rPr/>
        <w:t>Reserve</w:t>
      </w:r>
      <w:r>
        <w:rPr>
          <w:spacing w:val="-6"/>
        </w:rPr>
        <w:t> </w:t>
      </w:r>
      <w:r>
        <w:rPr/>
        <w:t>Bank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New</w:t>
      </w:r>
      <w:r>
        <w:rPr>
          <w:spacing w:val="-6"/>
        </w:rPr>
        <w:t> </w:t>
      </w:r>
      <w:r>
        <w:rPr/>
        <w:t>York,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Statistics</w:t>
      </w:r>
      <w:r>
        <w:rPr>
          <w:spacing w:val="-5"/>
        </w:rPr>
        <w:t> </w:t>
      </w:r>
      <w:r>
        <w:rPr/>
        <w:t>Group Assistant Vice President, 2009-2012.</w:t>
      </w:r>
    </w:p>
    <w:p>
      <w:pPr>
        <w:pStyle w:val="BodyText"/>
        <w:ind w:left="936"/>
      </w:pPr>
      <w:r>
        <w:rPr/>
        <w:t>Research</w:t>
      </w:r>
      <w:r>
        <w:rPr>
          <w:spacing w:val="-3"/>
        </w:rPr>
        <w:t> </w:t>
      </w:r>
      <w:r>
        <w:rPr/>
        <w:t>Officer,</w:t>
      </w:r>
      <w:r>
        <w:rPr>
          <w:spacing w:val="-3"/>
        </w:rPr>
        <w:t> </w:t>
      </w:r>
      <w:r>
        <w:rPr/>
        <w:t>2008-</w:t>
      </w:r>
      <w:r>
        <w:rPr>
          <w:spacing w:val="-2"/>
        </w:rPr>
        <w:t>2009.</w:t>
      </w:r>
    </w:p>
    <w:p>
      <w:pPr>
        <w:pStyle w:val="BodyText"/>
        <w:ind w:left="936"/>
      </w:pPr>
      <w:r>
        <w:rPr/>
        <w:t>Senior</w:t>
      </w:r>
      <w:r>
        <w:rPr>
          <w:spacing w:val="-3"/>
        </w:rPr>
        <w:t> </w:t>
      </w:r>
      <w:r>
        <w:rPr/>
        <w:t>Economist,</w:t>
      </w:r>
      <w:r>
        <w:rPr>
          <w:spacing w:val="-2"/>
        </w:rPr>
        <w:t> </w:t>
      </w:r>
      <w:r>
        <w:rPr/>
        <w:t>2006-</w:t>
      </w:r>
      <w:r>
        <w:rPr>
          <w:spacing w:val="-2"/>
        </w:rPr>
        <w:t>2007.</w:t>
      </w:r>
    </w:p>
    <w:p>
      <w:pPr>
        <w:pStyle w:val="BodyText"/>
        <w:spacing w:before="206"/>
        <w:ind w:left="935" w:right="412" w:hanging="720"/>
      </w:pPr>
      <w:r>
        <w:rPr/>
        <w:t>Instituto</w:t>
      </w:r>
      <w:r>
        <w:rPr>
          <w:spacing w:val="-5"/>
        </w:rPr>
        <w:t> </w:t>
      </w:r>
      <w:r>
        <w:rPr/>
        <w:t>Tecnológico</w:t>
      </w:r>
      <w:r>
        <w:rPr>
          <w:spacing w:val="-5"/>
        </w:rPr>
        <w:t> </w:t>
      </w:r>
      <w:r>
        <w:rPr/>
        <w:t>Autónomo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México</w:t>
      </w:r>
      <w:r>
        <w:rPr>
          <w:spacing w:val="-5"/>
        </w:rPr>
        <w:t> </w:t>
      </w:r>
      <w:r>
        <w:rPr/>
        <w:t>(ITAM),</w:t>
      </w:r>
      <w:r>
        <w:rPr>
          <w:spacing w:val="-5"/>
        </w:rPr>
        <w:t> </w:t>
      </w:r>
      <w:r>
        <w:rPr/>
        <w:t>Centro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Investigación</w:t>
      </w:r>
      <w:r>
        <w:rPr>
          <w:spacing w:val="-5"/>
        </w:rPr>
        <w:t> </w:t>
      </w:r>
      <w:r>
        <w:rPr/>
        <w:t>Económica Professor of Economics, 2004-2005.</w:t>
      </w:r>
    </w:p>
    <w:p>
      <w:pPr>
        <w:pStyle w:val="BodyText"/>
        <w:ind w:left="935"/>
      </w:pPr>
      <w:r>
        <w:rPr/>
        <w:t>Assistant</w:t>
      </w:r>
      <w:r>
        <w:rPr>
          <w:spacing w:val="-3"/>
        </w:rPr>
        <w:t> </w:t>
      </w:r>
      <w:r>
        <w:rPr/>
        <w:t>Professor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1998-</w:t>
      </w:r>
      <w:r>
        <w:rPr>
          <w:spacing w:val="-2"/>
        </w:rPr>
        <w:t>2003.</w:t>
      </w:r>
    </w:p>
    <w:p>
      <w:pPr>
        <w:pStyle w:val="BodyText"/>
        <w:spacing w:before="57"/>
      </w:pPr>
    </w:p>
    <w:p>
      <w:pPr>
        <w:spacing w:before="0"/>
        <w:ind w:left="215" w:right="0" w:firstLine="0"/>
        <w:jc w:val="left"/>
        <w:rPr>
          <w:b/>
          <w:sz w:val="22"/>
        </w:rPr>
      </w:pPr>
      <w:bookmarkStart w:name="editorial positions" w:id="4"/>
      <w:bookmarkEnd w:id="4"/>
      <w:r>
        <w:rPr/>
      </w:r>
      <w:r>
        <w:rPr>
          <w:b/>
          <w:color w:val="1F487C"/>
          <w:sz w:val="22"/>
        </w:rPr>
        <w:t>EDITORIAL</w:t>
      </w:r>
      <w:r>
        <w:rPr>
          <w:b/>
          <w:color w:val="1F487C"/>
          <w:spacing w:val="-8"/>
          <w:sz w:val="22"/>
        </w:rPr>
        <w:t> </w:t>
      </w:r>
      <w:r>
        <w:rPr>
          <w:b/>
          <w:color w:val="1F487C"/>
          <w:spacing w:val="-2"/>
          <w:sz w:val="22"/>
        </w:rPr>
        <w:t>POSITIONS</w:t>
      </w:r>
    </w:p>
    <w:p>
      <w:pPr>
        <w:pStyle w:val="BodyText"/>
        <w:spacing w:before="242"/>
        <w:ind w:left="215"/>
      </w:pPr>
      <w:r>
        <w:rPr/>
        <w:t>Associate</w:t>
      </w:r>
      <w:r>
        <w:rPr>
          <w:spacing w:val="-5"/>
        </w:rPr>
        <w:t> </w:t>
      </w:r>
      <w:r>
        <w:rPr/>
        <w:t>Editor,</w:t>
      </w:r>
      <w:r>
        <w:rPr>
          <w:spacing w:val="-1"/>
        </w:rPr>
        <w:t> </w:t>
      </w:r>
      <w:hyperlink r:id="rId7">
        <w:r>
          <w:rPr>
            <w:color w:val="1F487C"/>
          </w:rPr>
          <w:t>Journal</w:t>
        </w:r>
        <w:r>
          <w:rPr>
            <w:color w:val="1F487C"/>
            <w:spacing w:val="1"/>
          </w:rPr>
          <w:t> </w:t>
        </w:r>
        <w:r>
          <w:rPr>
            <w:color w:val="1F487C"/>
          </w:rPr>
          <w:t>of</w:t>
        </w:r>
        <w:r>
          <w:rPr>
            <w:color w:val="1F487C"/>
            <w:spacing w:val="-2"/>
          </w:rPr>
          <w:t> </w:t>
        </w:r>
        <w:r>
          <w:rPr>
            <w:color w:val="1F487C"/>
          </w:rPr>
          <w:t>Monetary</w:t>
        </w:r>
        <w:r>
          <w:rPr>
            <w:color w:val="1F487C"/>
            <w:spacing w:val="-2"/>
          </w:rPr>
          <w:t> </w:t>
        </w:r>
        <w:r>
          <w:rPr>
            <w:color w:val="1F487C"/>
          </w:rPr>
          <w:t>Economics</w:t>
        </w:r>
        <w:r>
          <w:rPr/>
          <w:t>,</w:t>
        </w:r>
      </w:hyperlink>
      <w:r>
        <w:rPr>
          <w:spacing w:val="-1"/>
        </w:rPr>
        <w:t> </w:t>
      </w:r>
      <w:r>
        <w:rPr/>
        <w:t>July</w:t>
      </w:r>
      <w:r>
        <w:rPr>
          <w:spacing w:val="-1"/>
        </w:rPr>
        <w:t> </w:t>
      </w:r>
      <w:r>
        <w:rPr/>
        <w:t>2024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present.</w:t>
      </w:r>
    </w:p>
    <w:p>
      <w:pPr>
        <w:pStyle w:val="BodyText"/>
        <w:ind w:left="215"/>
      </w:pPr>
      <w:r>
        <w:rPr/>
        <w:t>Editorial Board Member, </w:t>
      </w:r>
      <w:hyperlink r:id="rId8">
        <w:r>
          <w:rPr>
            <w:color w:val="1F487C"/>
          </w:rPr>
          <w:t>American Economic Journal: Macroeconomics</w:t>
        </w:r>
        <w:r>
          <w:rPr/>
          <w:t>,</w:t>
        </w:r>
      </w:hyperlink>
      <w:r>
        <w:rPr/>
        <w:t> May 2024 – present. Associate</w:t>
      </w:r>
      <w:r>
        <w:rPr>
          <w:spacing w:val="-5"/>
        </w:rPr>
        <w:t> </w:t>
      </w:r>
      <w:r>
        <w:rPr/>
        <w:t>Editor,</w:t>
      </w:r>
      <w:r>
        <w:rPr>
          <w:spacing w:val="-4"/>
        </w:rPr>
        <w:t> </w:t>
      </w:r>
      <w:r>
        <w:rPr/>
        <w:t>Journal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Dynamics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Control,</w:t>
      </w:r>
      <w:r>
        <w:rPr>
          <w:spacing w:val="-4"/>
        </w:rPr>
        <w:t> </w:t>
      </w:r>
      <w:r>
        <w:rPr/>
        <w:t>January</w:t>
      </w:r>
      <w:r>
        <w:rPr>
          <w:spacing w:val="-4"/>
        </w:rPr>
        <w:t> </w:t>
      </w:r>
      <w:r>
        <w:rPr/>
        <w:t>2022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December</w:t>
      </w:r>
      <w:r>
        <w:rPr>
          <w:spacing w:val="-5"/>
        </w:rPr>
        <w:t> </w:t>
      </w:r>
      <w:r>
        <w:rPr/>
        <w:t>2024. Associate Editor, Macroeconomic Dynamics, 2008 – 2019.</w:t>
      </w:r>
    </w:p>
    <w:p>
      <w:pPr>
        <w:pStyle w:val="BodyText"/>
        <w:ind w:left="215"/>
      </w:pPr>
      <w:r>
        <w:rPr/>
        <w:t>Associate</w:t>
      </w:r>
      <w:r>
        <w:rPr>
          <w:spacing w:val="-3"/>
        </w:rPr>
        <w:t> </w:t>
      </w:r>
      <w:r>
        <w:rPr/>
        <w:t>Editor,</w:t>
      </w:r>
      <w:r>
        <w:rPr>
          <w:spacing w:val="-1"/>
        </w:rPr>
        <w:t> </w:t>
      </w:r>
      <w:r>
        <w:rPr/>
        <w:t>Journal of</w:t>
      </w:r>
      <w:r>
        <w:rPr>
          <w:spacing w:val="-2"/>
        </w:rPr>
        <w:t> </w:t>
      </w:r>
      <w:r>
        <w:rPr/>
        <w:t>Mathematical</w:t>
      </w:r>
      <w:r>
        <w:rPr>
          <w:spacing w:val="-1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2010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2013.</w:t>
      </w:r>
    </w:p>
    <w:p>
      <w:pPr>
        <w:pStyle w:val="BodyText"/>
        <w:spacing w:before="57"/>
      </w:pPr>
    </w:p>
    <w:p>
      <w:pPr>
        <w:spacing w:before="1"/>
        <w:ind w:left="215" w:right="0" w:firstLine="0"/>
        <w:jc w:val="left"/>
        <w:rPr>
          <w:b/>
          <w:sz w:val="22"/>
        </w:rPr>
      </w:pPr>
      <w:bookmarkStart w:name="visiting and temporary positions" w:id="5"/>
      <w:bookmarkEnd w:id="5"/>
      <w:r>
        <w:rPr/>
      </w:r>
      <w:r>
        <w:rPr>
          <w:b/>
          <w:color w:val="1F487C"/>
          <w:sz w:val="22"/>
        </w:rPr>
        <w:t>VISITING</w:t>
      </w:r>
      <w:r>
        <w:rPr>
          <w:b/>
          <w:color w:val="1F487C"/>
          <w:spacing w:val="-7"/>
          <w:sz w:val="22"/>
        </w:rPr>
        <w:t> </w:t>
      </w:r>
      <w:r>
        <w:rPr>
          <w:b/>
          <w:color w:val="1F487C"/>
          <w:sz w:val="22"/>
        </w:rPr>
        <w:t>AND</w:t>
      </w:r>
      <w:r>
        <w:rPr>
          <w:b/>
          <w:color w:val="1F487C"/>
          <w:spacing w:val="-9"/>
          <w:sz w:val="22"/>
        </w:rPr>
        <w:t> </w:t>
      </w:r>
      <w:r>
        <w:rPr>
          <w:b/>
          <w:color w:val="1F487C"/>
          <w:sz w:val="22"/>
        </w:rPr>
        <w:t>TEMPORARY</w:t>
      </w:r>
      <w:r>
        <w:rPr>
          <w:b/>
          <w:color w:val="1F487C"/>
          <w:spacing w:val="-8"/>
          <w:sz w:val="22"/>
        </w:rPr>
        <w:t> </w:t>
      </w:r>
      <w:r>
        <w:rPr>
          <w:b/>
          <w:color w:val="1F487C"/>
          <w:spacing w:val="-2"/>
          <w:sz w:val="22"/>
        </w:rPr>
        <w:t>POSITIONS</w:t>
      </w:r>
    </w:p>
    <w:p>
      <w:pPr>
        <w:pStyle w:val="BodyText"/>
        <w:spacing w:before="196"/>
        <w:ind w:left="936" w:right="412" w:hanging="720"/>
      </w:pPr>
      <w:r>
        <w:rPr/>
        <w:t>Short-term</w:t>
      </w:r>
      <w:r>
        <w:rPr>
          <w:spacing w:val="-4"/>
        </w:rPr>
        <w:t> </w:t>
      </w:r>
      <w:r>
        <w:rPr/>
        <w:t>Visitor,</w:t>
      </w:r>
      <w:r>
        <w:rPr>
          <w:spacing w:val="-4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Japanese</w:t>
      </w:r>
      <w:r>
        <w:rPr>
          <w:spacing w:val="-5"/>
        </w:rPr>
        <w:t> </w:t>
      </w:r>
      <w:r>
        <w:rPr/>
        <w:t>Economy</w:t>
      </w:r>
      <w:r>
        <w:rPr>
          <w:spacing w:val="-4"/>
        </w:rPr>
        <w:t> </w:t>
      </w:r>
      <w:r>
        <w:rPr/>
        <w:t>(CIRJE), University of Tokyo, April – May, 2023.</w:t>
      </w:r>
    </w:p>
    <w:p>
      <w:pPr>
        <w:pStyle w:val="BodyText"/>
        <w:ind w:left="216"/>
      </w:pPr>
      <w:r>
        <w:rPr/>
        <w:t>IPA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Consultant,</w:t>
      </w:r>
      <w:r>
        <w:rPr>
          <w:spacing w:val="-4"/>
        </w:rPr>
        <w:t> </w:t>
      </w:r>
      <w:r>
        <w:rPr/>
        <w:t>Office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Research,</w:t>
      </w:r>
      <w:r>
        <w:rPr>
          <w:spacing w:val="-2"/>
        </w:rPr>
        <w:t> </w:t>
      </w:r>
      <w:r>
        <w:rPr/>
        <w:t>U.S.</w:t>
      </w:r>
      <w:r>
        <w:rPr>
          <w:spacing w:val="-4"/>
        </w:rPr>
        <w:t> </w:t>
      </w:r>
      <w:r>
        <w:rPr/>
        <w:t>Dept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Treasury,</w:t>
      </w:r>
      <w:r>
        <w:rPr>
          <w:spacing w:val="-4"/>
        </w:rPr>
        <w:t> </w:t>
      </w:r>
      <w:r>
        <w:rPr/>
        <w:t>2020</w:t>
      </w:r>
      <w:r>
        <w:rPr>
          <w:spacing w:val="-4"/>
        </w:rPr>
        <w:t> </w:t>
      </w:r>
      <w:r>
        <w:rPr/>
        <w:t>–2022. Visiting Scholar, Federal Reserve Bank of Philadelphia, 2014 – 2018; 2022; 2025.</w:t>
      </w:r>
    </w:p>
    <w:p>
      <w:pPr>
        <w:pStyle w:val="BodyText"/>
        <w:ind w:left="216" w:right="2967"/>
      </w:pPr>
      <w:r>
        <w:rPr/>
        <w:t>Visiting</w:t>
      </w:r>
      <w:r>
        <w:rPr>
          <w:spacing w:val="-6"/>
        </w:rPr>
        <w:t> </w:t>
      </w:r>
      <w:r>
        <w:rPr/>
        <w:t>Scholar,</w:t>
      </w:r>
      <w:r>
        <w:rPr>
          <w:spacing w:val="-6"/>
        </w:rPr>
        <w:t> </w:t>
      </w:r>
      <w:r>
        <w:rPr/>
        <w:t>Federal</w:t>
      </w:r>
      <w:r>
        <w:rPr>
          <w:spacing w:val="-4"/>
        </w:rPr>
        <w:t> </w:t>
      </w:r>
      <w:r>
        <w:rPr/>
        <w:t>Reserve</w:t>
      </w:r>
      <w:r>
        <w:rPr>
          <w:spacing w:val="-7"/>
        </w:rPr>
        <w:t> </w:t>
      </w:r>
      <w:r>
        <w:rPr/>
        <w:t>Bank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Minneapolis,</w:t>
      </w:r>
      <w:r>
        <w:rPr>
          <w:spacing w:val="-6"/>
        </w:rPr>
        <w:t> </w:t>
      </w:r>
      <w:r>
        <w:rPr/>
        <w:t>2019. Academic Visitor, Bank of Canada, 2019.</w:t>
      </w:r>
    </w:p>
    <w:p>
      <w:pPr>
        <w:pStyle w:val="BodyText"/>
        <w:ind w:left="216"/>
      </w:pPr>
      <w:r>
        <w:rPr/>
        <w:t>Academic</w:t>
      </w:r>
      <w:r>
        <w:rPr>
          <w:spacing w:val="-1"/>
        </w:rPr>
        <w:t> </w:t>
      </w:r>
      <w:r>
        <w:rPr/>
        <w:t>Visitor,</w:t>
      </w:r>
      <w:r>
        <w:rPr>
          <w:spacing w:val="-1"/>
        </w:rPr>
        <w:t> </w:t>
      </w:r>
      <w:r>
        <w:rPr/>
        <w:t>Federal</w:t>
      </w:r>
      <w:r>
        <w:rPr>
          <w:spacing w:val="-1"/>
        </w:rPr>
        <w:t> </w:t>
      </w:r>
      <w:r>
        <w:rPr/>
        <w:t>Reserve</w:t>
      </w:r>
      <w:r>
        <w:rPr>
          <w:spacing w:val="-2"/>
        </w:rPr>
        <w:t> </w:t>
      </w:r>
      <w:r>
        <w:rPr/>
        <w:t>Bank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New York,</w:t>
      </w:r>
      <w:r>
        <w:rPr>
          <w:spacing w:val="-1"/>
        </w:rPr>
        <w:t> </w:t>
      </w:r>
      <w:r>
        <w:rPr/>
        <w:t>2013,</w:t>
      </w:r>
      <w:r>
        <w:rPr>
          <w:spacing w:val="-1"/>
        </w:rPr>
        <w:t> </w:t>
      </w:r>
      <w:r>
        <w:rPr/>
        <w:t>2015,</w:t>
      </w:r>
      <w:r>
        <w:rPr>
          <w:spacing w:val="-1"/>
        </w:rPr>
        <w:t> </w:t>
      </w:r>
      <w:r>
        <w:rPr>
          <w:spacing w:val="-2"/>
        </w:rPr>
        <w:t>2018.</w:t>
      </w:r>
    </w:p>
    <w:p>
      <w:pPr>
        <w:pStyle w:val="BodyText"/>
        <w:ind w:left="216" w:right="1001"/>
      </w:pPr>
      <w:r>
        <w:rPr/>
        <w:t>Guest</w:t>
      </w:r>
      <w:r>
        <w:rPr>
          <w:spacing w:val="-4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Barcelona</w:t>
      </w:r>
      <w:r>
        <w:rPr>
          <w:spacing w:val="-5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2013;</w:t>
      </w:r>
      <w:r>
        <w:rPr>
          <w:spacing w:val="-4"/>
        </w:rPr>
        <w:t> </w:t>
      </w:r>
      <w:r>
        <w:rPr/>
        <w:t>2014;</w:t>
      </w:r>
      <w:r>
        <w:rPr>
          <w:spacing w:val="-4"/>
        </w:rPr>
        <w:t> </w:t>
      </w:r>
      <w:r>
        <w:rPr/>
        <w:t>2015;</w:t>
      </w:r>
      <w:r>
        <w:rPr>
          <w:spacing w:val="-4"/>
        </w:rPr>
        <w:t> </w:t>
      </w:r>
      <w:r>
        <w:rPr/>
        <w:t>2016. Visiting Professor, Paris School of Economics, September – December 2015.</w:t>
      </w:r>
    </w:p>
    <w:p>
      <w:pPr>
        <w:pStyle w:val="BodyText"/>
        <w:ind w:left="216"/>
      </w:pPr>
      <w:r>
        <w:rPr/>
        <w:t>Visiting</w:t>
      </w:r>
      <w:r>
        <w:rPr>
          <w:spacing w:val="-4"/>
        </w:rPr>
        <w:t> </w:t>
      </w:r>
      <w:r>
        <w:rPr/>
        <w:t>Scholar,</w:t>
      </w:r>
      <w:r>
        <w:rPr>
          <w:spacing w:val="-4"/>
        </w:rPr>
        <w:t> </w:t>
      </w:r>
      <w:r>
        <w:rPr/>
        <w:t>Wharton</w:t>
      </w:r>
      <w:r>
        <w:rPr>
          <w:spacing w:val="-4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Institutions</w:t>
      </w:r>
      <w:r>
        <w:rPr>
          <w:spacing w:val="-4"/>
        </w:rPr>
        <w:t> </w:t>
      </w:r>
      <w:r>
        <w:rPr/>
        <w:t>Center,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Pennsylvania,</w:t>
      </w:r>
      <w:r>
        <w:rPr>
          <w:spacing w:val="-4"/>
        </w:rPr>
        <w:t> </w:t>
      </w:r>
      <w:r>
        <w:rPr/>
        <w:t>April</w:t>
      </w:r>
      <w:r>
        <w:rPr>
          <w:spacing w:val="-4"/>
        </w:rPr>
        <w:t> </w:t>
      </w:r>
      <w:r>
        <w:rPr/>
        <w:t>2011. Visiting Scholar, Stern School of Business, New York University, August – December 2010.</w:t>
      </w:r>
    </w:p>
    <w:p>
      <w:pPr>
        <w:pStyle w:val="BodyText"/>
        <w:ind w:left="216"/>
      </w:pPr>
      <w:r>
        <w:rPr/>
        <w:t>Fernand</w:t>
      </w:r>
      <w:r>
        <w:rPr>
          <w:spacing w:val="-3"/>
        </w:rPr>
        <w:t> </w:t>
      </w:r>
      <w:r>
        <w:rPr/>
        <w:t>Braudel</w:t>
      </w:r>
      <w:r>
        <w:rPr>
          <w:spacing w:val="-3"/>
        </w:rPr>
        <w:t> </w:t>
      </w:r>
      <w:r>
        <w:rPr/>
        <w:t>Fellow, European</w:t>
      </w:r>
      <w:r>
        <w:rPr>
          <w:spacing w:val="-3"/>
        </w:rPr>
        <w:t> </w:t>
      </w:r>
      <w:r>
        <w:rPr/>
        <w:t>University Institute,</w:t>
      </w:r>
      <w:r>
        <w:rPr>
          <w:spacing w:val="-3"/>
        </w:rPr>
        <w:t> </w:t>
      </w:r>
      <w:r>
        <w:rPr/>
        <w:t>January</w:t>
      </w:r>
      <w:r>
        <w:rPr>
          <w:spacing w:val="-2"/>
        </w:rPr>
        <w:t> </w:t>
      </w:r>
      <w:r>
        <w:rPr/>
        <w:t>–</w:t>
      </w:r>
      <w:r>
        <w:rPr>
          <w:spacing w:val="-3"/>
        </w:rPr>
        <w:t> </w:t>
      </w:r>
      <w:r>
        <w:rPr/>
        <w:t>July</w:t>
      </w:r>
      <w:r>
        <w:rPr>
          <w:spacing w:val="-2"/>
        </w:rPr>
        <w:t> 2010.</w:t>
      </w:r>
    </w:p>
    <w:p>
      <w:pPr>
        <w:pStyle w:val="BodyText"/>
        <w:ind w:left="216"/>
      </w:pPr>
      <w:r>
        <w:rPr/>
        <w:t>Visiting</w:t>
      </w:r>
      <w:r>
        <w:rPr>
          <w:spacing w:val="-4"/>
        </w:rPr>
        <w:t> </w:t>
      </w:r>
      <w:r>
        <w:rPr/>
        <w:t>Assistant</w:t>
      </w:r>
      <w:r>
        <w:rPr>
          <w:spacing w:val="-1"/>
        </w:rPr>
        <w:t> </w:t>
      </w:r>
      <w:r>
        <w:rPr/>
        <w:t>Professor,</w:t>
      </w:r>
      <w:r>
        <w:rPr>
          <w:spacing w:val="-2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Texas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Austin,</w:t>
      </w:r>
      <w:r>
        <w:rPr>
          <w:spacing w:val="-2"/>
        </w:rPr>
        <w:t> </w:t>
      </w:r>
      <w:r>
        <w:rPr/>
        <w:t>2001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2002.</w:t>
      </w:r>
    </w:p>
    <w:p>
      <w:pPr>
        <w:pStyle w:val="BodyText"/>
        <w:spacing w:after="0"/>
        <w:sectPr>
          <w:type w:val="continuous"/>
          <w:pgSz w:w="12240" w:h="15840"/>
          <w:pgMar w:top="520" w:bottom="280" w:left="1080" w:right="108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22"/>
        </w:rPr>
      </w:pPr>
    </w:p>
    <w:p>
      <w:pPr>
        <w:spacing w:before="0"/>
        <w:ind w:left="215" w:right="0" w:firstLine="0"/>
        <w:jc w:val="left"/>
        <w:rPr>
          <w:b/>
          <w:sz w:val="22"/>
        </w:rPr>
      </w:pPr>
      <w:bookmarkStart w:name="education" w:id="6"/>
      <w:bookmarkEnd w:id="6"/>
      <w:r>
        <w:rPr/>
      </w:r>
      <w:r>
        <w:rPr>
          <w:b/>
          <w:color w:val="1F487C"/>
          <w:spacing w:val="-2"/>
          <w:sz w:val="22"/>
        </w:rPr>
        <w:t>EDUCATION</w:t>
      </w:r>
    </w:p>
    <w:p>
      <w:pPr>
        <w:pStyle w:val="BodyText"/>
        <w:spacing w:before="197"/>
        <w:ind w:left="215" w:right="5048"/>
      </w:pPr>
      <w:r>
        <w:rPr/>
        <w:t>Ph.D.,</w:t>
      </w:r>
      <w:r>
        <w:rPr>
          <w:spacing w:val="-9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Cornell</w:t>
      </w:r>
      <w:r>
        <w:rPr>
          <w:spacing w:val="-9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1998. M.A.,</w:t>
      </w:r>
      <w:r>
        <w:rPr>
          <w:spacing w:val="-4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Cornell</w:t>
      </w:r>
      <w:r>
        <w:rPr>
          <w:spacing w:val="-2"/>
        </w:rPr>
        <w:t> </w:t>
      </w:r>
      <w:r>
        <w:rPr/>
        <w:t>University,</w:t>
      </w:r>
      <w:r>
        <w:rPr>
          <w:spacing w:val="-2"/>
        </w:rPr>
        <w:t> 1996.</w:t>
      </w:r>
    </w:p>
    <w:p>
      <w:pPr>
        <w:pStyle w:val="BodyText"/>
        <w:ind w:left="215"/>
      </w:pPr>
      <w:r>
        <w:rPr/>
        <w:t>B.S.,</w:t>
      </w:r>
      <w:r>
        <w:rPr>
          <w:spacing w:val="-2"/>
        </w:rPr>
        <w:t> </w:t>
      </w:r>
      <w:r>
        <w:rPr/>
        <w:t>Computer</w:t>
      </w:r>
      <w:r>
        <w:rPr>
          <w:spacing w:val="-3"/>
        </w:rPr>
        <w:t> </w:t>
      </w:r>
      <w:r>
        <w:rPr/>
        <w:t>Science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Duke</w:t>
      </w:r>
      <w:r>
        <w:rPr>
          <w:spacing w:val="-1"/>
        </w:rPr>
        <w:t> </w:t>
      </w:r>
      <w:r>
        <w:rPr/>
        <w:t>University,</w:t>
      </w:r>
      <w:r>
        <w:rPr>
          <w:spacing w:val="-1"/>
        </w:rPr>
        <w:t> </w:t>
      </w:r>
      <w:r>
        <w:rPr>
          <w:spacing w:val="-2"/>
        </w:rPr>
        <w:t>1989.</w:t>
      </w:r>
    </w:p>
    <w:p>
      <w:pPr>
        <w:pStyle w:val="BodyText"/>
        <w:spacing w:before="196"/>
      </w:pPr>
    </w:p>
    <w:p>
      <w:pPr>
        <w:spacing w:before="0"/>
        <w:ind w:left="215" w:right="0" w:firstLine="0"/>
        <w:jc w:val="left"/>
        <w:rPr>
          <w:b/>
          <w:sz w:val="22"/>
        </w:rPr>
      </w:pPr>
      <w:bookmarkStart w:name="publications" w:id="7"/>
      <w:bookmarkEnd w:id="7"/>
      <w:r>
        <w:rPr/>
      </w:r>
      <w:hyperlink r:id="rId10">
        <w:r>
          <w:rPr>
            <w:b/>
            <w:color w:val="1F487C"/>
            <w:spacing w:val="-2"/>
            <w:sz w:val="22"/>
          </w:rPr>
          <w:t>PUBLICATIONS</w:t>
        </w:r>
      </w:hyperlink>
    </w:p>
    <w:p>
      <w:pPr>
        <w:pStyle w:val="BodyText"/>
        <w:spacing w:before="242"/>
        <w:ind w:left="936" w:hanging="720"/>
      </w:pPr>
      <w:r>
        <w:rPr/>
        <w:t>“</w:t>
      </w:r>
      <w:hyperlink r:id="rId11">
        <w:r>
          <w:rPr>
            <w:color w:val="1F487C"/>
          </w:rPr>
          <w:t>Allocating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Losses: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Bail-ins,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Bailouts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and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Bank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Regulation</w:t>
        </w:r>
      </w:hyperlink>
      <w:r>
        <w:rPr/>
        <w:t>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Yuliyan</w:t>
      </w:r>
      <w:r>
        <w:rPr>
          <w:spacing w:val="-2"/>
        </w:rPr>
        <w:t> </w:t>
      </w:r>
      <w:r>
        <w:rPr/>
        <w:t>Mitkov),</w:t>
      </w:r>
      <w:r>
        <w:rPr>
          <w:spacing w:val="-4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 Economic Theory</w:t>
      </w:r>
      <w:r>
        <w:rPr/>
        <w:t>, Vol. 210 (2023) 105672.</w:t>
      </w:r>
    </w:p>
    <w:p>
      <w:pPr>
        <w:spacing w:before="274"/>
        <w:ind w:left="935" w:right="0" w:hanging="720"/>
        <w:jc w:val="left"/>
        <w:rPr>
          <w:sz w:val="24"/>
        </w:rPr>
      </w:pPr>
      <w:r>
        <w:rPr>
          <w:sz w:val="24"/>
        </w:rPr>
        <w:t>“</w:t>
      </w:r>
      <w:hyperlink r:id="rId12">
        <w:r>
          <w:rPr>
            <w:color w:val="1F487C"/>
            <w:sz w:val="24"/>
          </w:rPr>
          <w:t>Should</w:t>
        </w:r>
        <w:r>
          <w:rPr>
            <w:color w:val="1F487C"/>
            <w:spacing w:val="-3"/>
            <w:sz w:val="24"/>
          </w:rPr>
          <w:t> </w:t>
        </w:r>
        <w:r>
          <w:rPr>
            <w:color w:val="1F487C"/>
            <w:sz w:val="24"/>
          </w:rPr>
          <w:t>Central</w:t>
        </w:r>
        <w:r>
          <w:rPr>
            <w:color w:val="1F487C"/>
            <w:spacing w:val="-3"/>
            <w:sz w:val="24"/>
          </w:rPr>
          <w:t> </w:t>
        </w:r>
        <w:r>
          <w:rPr>
            <w:color w:val="1F487C"/>
            <w:sz w:val="24"/>
          </w:rPr>
          <w:t>Banks</w:t>
        </w:r>
        <w:r>
          <w:rPr>
            <w:color w:val="1F487C"/>
            <w:spacing w:val="-3"/>
            <w:sz w:val="24"/>
          </w:rPr>
          <w:t> </w:t>
        </w:r>
        <w:r>
          <w:rPr>
            <w:color w:val="1F487C"/>
            <w:sz w:val="24"/>
          </w:rPr>
          <w:t>Issue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Digital</w:t>
        </w:r>
        <w:r>
          <w:rPr>
            <w:color w:val="1F487C"/>
            <w:spacing w:val="-3"/>
            <w:sz w:val="24"/>
          </w:rPr>
          <w:t> </w:t>
        </w:r>
        <w:r>
          <w:rPr>
            <w:color w:val="1F487C"/>
            <w:sz w:val="24"/>
          </w:rPr>
          <w:t>Currency?</w:t>
        </w:r>
      </w:hyperlink>
      <w:r>
        <w:rPr>
          <w:sz w:val="24"/>
        </w:rPr>
        <w:t>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Daniel</w:t>
      </w:r>
      <w:r>
        <w:rPr>
          <w:spacing w:val="-3"/>
          <w:sz w:val="24"/>
        </w:rPr>
        <w:t> </w:t>
      </w:r>
      <w:r>
        <w:rPr>
          <w:sz w:val="24"/>
        </w:rPr>
        <w:t>Sanches),</w:t>
      </w:r>
      <w:r>
        <w:rPr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Studies</w:t>
      </w:r>
      <w:r>
        <w:rPr>
          <w:sz w:val="24"/>
        </w:rPr>
        <w:t>, Vol. 90 (2023) 404-431.</w:t>
      </w:r>
    </w:p>
    <w:p>
      <w:pPr>
        <w:pStyle w:val="BodyText"/>
      </w:pPr>
    </w:p>
    <w:p>
      <w:pPr>
        <w:pStyle w:val="BodyText"/>
        <w:ind w:left="935" w:right="144" w:hanging="720"/>
      </w:pPr>
      <w:r>
        <w:rPr/>
        <w:t>“</w:t>
      </w:r>
      <w:hyperlink r:id="rId13">
        <w:r>
          <w:rPr>
            <w:color w:val="1F487C"/>
          </w:rPr>
          <w:t>Central Bank Digital Currency: Stability and Information</w:t>
        </w:r>
      </w:hyperlink>
      <w:r>
        <w:rPr/>
        <w:t>” (with Cyril Monnet), </w:t>
      </w:r>
      <w:r>
        <w:rPr>
          <w:i/>
        </w:rPr>
        <w:t>Journal of Economic</w:t>
      </w:r>
      <w:r>
        <w:rPr>
          <w:i/>
          <w:spacing w:val="-4"/>
        </w:rPr>
        <w:t> </w:t>
      </w:r>
      <w:r>
        <w:rPr>
          <w:i/>
        </w:rPr>
        <w:t>Dynamics</w:t>
      </w:r>
      <w:r>
        <w:rPr>
          <w:i/>
          <w:spacing w:val="-3"/>
        </w:rPr>
        <w:t> </w:t>
      </w:r>
      <w:r>
        <w:rPr>
          <w:i/>
        </w:rPr>
        <w:t>and</w:t>
      </w:r>
      <w:r>
        <w:rPr>
          <w:i/>
          <w:spacing w:val="-1"/>
        </w:rPr>
        <w:t> </w:t>
      </w:r>
      <w:r>
        <w:rPr>
          <w:i/>
        </w:rPr>
        <w:t>Control</w:t>
      </w:r>
      <w:r>
        <w:rPr/>
        <w:t>,</w:t>
      </w:r>
      <w:r>
        <w:rPr>
          <w:spacing w:val="-3"/>
        </w:rPr>
        <w:t> </w:t>
      </w:r>
      <w:r>
        <w:rPr/>
        <w:t>Vol.</w:t>
      </w:r>
      <w:r>
        <w:rPr>
          <w:spacing w:val="-3"/>
        </w:rPr>
        <w:t> </w:t>
      </w:r>
      <w:r>
        <w:rPr/>
        <w:t>142</w:t>
      </w:r>
      <w:r>
        <w:rPr>
          <w:spacing w:val="-3"/>
        </w:rPr>
        <w:t> </w:t>
      </w:r>
      <w:r>
        <w:rPr/>
        <w:t>(2022),</w:t>
      </w:r>
      <w:r>
        <w:rPr>
          <w:spacing w:val="-3"/>
        </w:rPr>
        <w:t> </w:t>
      </w:r>
      <w:r>
        <w:rPr/>
        <w:t>article</w:t>
      </w:r>
      <w:r>
        <w:rPr>
          <w:spacing w:val="-4"/>
        </w:rPr>
        <w:t> </w:t>
      </w:r>
      <w:r>
        <w:rPr/>
        <w:t>104501.</w:t>
      </w:r>
      <w:r>
        <w:rPr>
          <w:spacing w:val="-3"/>
        </w:rPr>
        <w:t> </w:t>
      </w:r>
      <w:r>
        <w:rPr/>
        <w:t>Part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special</w:t>
      </w:r>
      <w:r>
        <w:rPr>
          <w:spacing w:val="-3"/>
        </w:rPr>
        <w:t> </w:t>
      </w:r>
      <w:r>
        <w:rPr/>
        <w:t>issue: </w:t>
      </w:r>
      <w:hyperlink r:id="rId14">
        <w:r>
          <w:rPr>
            <w:color w:val="1F487C"/>
          </w:rPr>
          <w:t>The Economics of Digital Currencies</w:t>
        </w:r>
        <w:r>
          <w:rPr/>
          <w:t>.</w:t>
        </w:r>
      </w:hyperlink>
    </w:p>
    <w:p>
      <w:pPr>
        <w:pStyle w:val="BodyText"/>
      </w:pPr>
    </w:p>
    <w:p>
      <w:pPr>
        <w:spacing w:before="0"/>
        <w:ind w:left="935" w:right="0" w:hanging="720"/>
        <w:jc w:val="left"/>
        <w:rPr>
          <w:sz w:val="24"/>
        </w:rPr>
      </w:pPr>
      <w:r>
        <w:rPr>
          <w:sz w:val="24"/>
        </w:rPr>
        <w:t>“</w:t>
      </w:r>
      <w:hyperlink r:id="rId15">
        <w:r>
          <w:rPr>
            <w:color w:val="1F487C"/>
            <w:sz w:val="24"/>
          </w:rPr>
          <w:t>Liquidity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Regulation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and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the</w:t>
        </w:r>
        <w:r>
          <w:rPr>
            <w:color w:val="1F487C"/>
            <w:spacing w:val="-5"/>
            <w:sz w:val="24"/>
          </w:rPr>
          <w:t> </w:t>
        </w:r>
        <w:r>
          <w:rPr>
            <w:color w:val="1F487C"/>
            <w:sz w:val="24"/>
          </w:rPr>
          <w:t>Implementation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of</w:t>
        </w:r>
        <w:r>
          <w:rPr>
            <w:color w:val="1F487C"/>
            <w:spacing w:val="-3"/>
            <w:sz w:val="24"/>
          </w:rPr>
          <w:t> </w:t>
        </w:r>
        <w:r>
          <w:rPr>
            <w:color w:val="1F487C"/>
            <w:sz w:val="24"/>
          </w:rPr>
          <w:t>Monetary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Policy</w:t>
        </w:r>
      </w:hyperlink>
      <w:r>
        <w:rPr>
          <w:sz w:val="24"/>
        </w:rPr>
        <w:t>”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Morten</w:t>
      </w:r>
      <w:r>
        <w:rPr>
          <w:spacing w:val="-4"/>
          <w:sz w:val="24"/>
        </w:rPr>
        <w:t> </w:t>
      </w:r>
      <w:r>
        <w:rPr>
          <w:sz w:val="24"/>
        </w:rPr>
        <w:t>Bech),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Monetary Economics</w:t>
      </w:r>
      <w:r>
        <w:rPr>
          <w:sz w:val="24"/>
        </w:rPr>
        <w:t>, Vol. 92 (2017) 64-77.</w:t>
      </w:r>
    </w:p>
    <w:p>
      <w:pPr>
        <w:pStyle w:val="BodyText"/>
      </w:pPr>
    </w:p>
    <w:p>
      <w:pPr>
        <w:pStyle w:val="BodyText"/>
        <w:ind w:left="935" w:hanging="720"/>
      </w:pPr>
      <w:r>
        <w:rPr/>
        <w:t>“</w:t>
      </w:r>
      <w:hyperlink r:id="rId16">
        <w:r>
          <w:rPr>
            <w:color w:val="1F487C"/>
          </w:rPr>
          <w:t>Expectations</w:t>
        </w:r>
        <w:r>
          <w:rPr>
            <w:color w:val="1F487C"/>
            <w:spacing w:val="-3"/>
          </w:rPr>
          <w:t> </w:t>
        </w:r>
        <w:r>
          <w:rPr>
            <w:color w:val="1F487C"/>
          </w:rPr>
          <w:t>vs.</w:t>
        </w:r>
        <w:r>
          <w:rPr>
            <w:color w:val="1F487C"/>
            <w:spacing w:val="-3"/>
          </w:rPr>
          <w:t> </w:t>
        </w:r>
        <w:r>
          <w:rPr>
            <w:color w:val="1F487C"/>
          </w:rPr>
          <w:t>Fundamentals-based</w:t>
        </w:r>
        <w:r>
          <w:rPr>
            <w:color w:val="1F487C"/>
            <w:spacing w:val="-3"/>
          </w:rPr>
          <w:t> </w:t>
        </w:r>
        <w:r>
          <w:rPr>
            <w:color w:val="1F487C"/>
          </w:rPr>
          <w:t>Bank</w:t>
        </w:r>
        <w:r>
          <w:rPr>
            <w:color w:val="1F487C"/>
            <w:spacing w:val="-3"/>
          </w:rPr>
          <w:t> </w:t>
        </w:r>
        <w:r>
          <w:rPr>
            <w:color w:val="1F487C"/>
          </w:rPr>
          <w:t>Runs:</w:t>
        </w:r>
        <w:r>
          <w:rPr>
            <w:color w:val="1F487C"/>
            <w:spacing w:val="-3"/>
          </w:rPr>
          <w:t> </w:t>
        </w:r>
        <w:r>
          <w:rPr>
            <w:color w:val="1F487C"/>
          </w:rPr>
          <w:t>When</w:t>
        </w:r>
        <w:r>
          <w:rPr>
            <w:color w:val="1F487C"/>
            <w:spacing w:val="-3"/>
          </w:rPr>
          <w:t> </w:t>
        </w:r>
        <w:r>
          <w:rPr>
            <w:color w:val="1F487C"/>
          </w:rPr>
          <w:t>Should</w:t>
        </w:r>
        <w:r>
          <w:rPr>
            <w:color w:val="1F487C"/>
            <w:spacing w:val="-3"/>
          </w:rPr>
          <w:t> </w:t>
        </w:r>
        <w:r>
          <w:rPr>
            <w:color w:val="1F487C"/>
          </w:rPr>
          <w:t>Bailouts</w:t>
        </w:r>
        <w:r>
          <w:rPr>
            <w:color w:val="1F487C"/>
            <w:spacing w:val="-6"/>
          </w:rPr>
          <w:t> </w:t>
        </w:r>
        <w:r>
          <w:rPr>
            <w:color w:val="1F487C"/>
          </w:rPr>
          <w:t>be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Permitted?</w:t>
        </w:r>
      </w:hyperlink>
      <w:r>
        <w:rPr/>
        <w:t>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Vijay Narasiman), </w:t>
      </w:r>
      <w:r>
        <w:rPr>
          <w:i/>
        </w:rPr>
        <w:t>Review of Economic Dynamics</w:t>
      </w:r>
      <w:r>
        <w:rPr/>
        <w:t>, Vol. 21 (2016) 89-104.</w:t>
      </w:r>
    </w:p>
    <w:p>
      <w:pPr>
        <w:pStyle w:val="BodyText"/>
      </w:pPr>
    </w:p>
    <w:p>
      <w:pPr>
        <w:spacing w:before="0"/>
        <w:ind w:left="216" w:right="0" w:firstLine="0"/>
        <w:jc w:val="left"/>
        <w:rPr>
          <w:sz w:val="24"/>
        </w:rPr>
      </w:pPr>
      <w:r>
        <w:rPr>
          <w:sz w:val="24"/>
        </w:rPr>
        <w:t>“</w:t>
      </w:r>
      <w:hyperlink r:id="rId17">
        <w:r>
          <w:rPr>
            <w:color w:val="1F487C"/>
            <w:sz w:val="24"/>
          </w:rPr>
          <w:t>Bailouts</w:t>
        </w:r>
        <w:r>
          <w:rPr>
            <w:color w:val="1F487C"/>
            <w:spacing w:val="-2"/>
            <w:sz w:val="24"/>
          </w:rPr>
          <w:t> </w:t>
        </w:r>
        <w:r>
          <w:rPr>
            <w:color w:val="1F487C"/>
            <w:sz w:val="24"/>
          </w:rPr>
          <w:t>and</w:t>
        </w:r>
        <w:r>
          <w:rPr>
            <w:color w:val="1F487C"/>
            <w:spacing w:val="-1"/>
            <w:sz w:val="24"/>
          </w:rPr>
          <w:t> </w:t>
        </w:r>
        <w:r>
          <w:rPr>
            <w:color w:val="1F487C"/>
            <w:sz w:val="24"/>
          </w:rPr>
          <w:t>Financial</w:t>
        </w:r>
        <w:r>
          <w:rPr>
            <w:color w:val="1F487C"/>
            <w:spacing w:val="-2"/>
            <w:sz w:val="24"/>
          </w:rPr>
          <w:t> </w:t>
        </w:r>
        <w:r>
          <w:rPr>
            <w:color w:val="1F487C"/>
            <w:sz w:val="24"/>
          </w:rPr>
          <w:t>Fragility</w:t>
        </w:r>
        <w:r>
          <w:rPr>
            <w:sz w:val="24"/>
          </w:rPr>
          <w:t>,</w:t>
        </w:r>
      </w:hyperlink>
      <w:r>
        <w:rPr>
          <w:sz w:val="24"/>
        </w:rPr>
        <w:t>”</w:t>
      </w:r>
      <w:r>
        <w:rPr>
          <w:spacing w:val="-2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Studies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Vol.</w:t>
      </w:r>
      <w:r>
        <w:rPr>
          <w:spacing w:val="-2"/>
          <w:sz w:val="24"/>
        </w:rPr>
        <w:t> </w:t>
      </w:r>
      <w:r>
        <w:rPr>
          <w:sz w:val="24"/>
        </w:rPr>
        <w:t>83</w:t>
      </w:r>
      <w:r>
        <w:rPr>
          <w:spacing w:val="-1"/>
          <w:sz w:val="24"/>
        </w:rPr>
        <w:t> </w:t>
      </w:r>
      <w:r>
        <w:rPr>
          <w:sz w:val="24"/>
        </w:rPr>
        <w:t>(2016)</w:t>
      </w:r>
      <w:r>
        <w:rPr>
          <w:spacing w:val="-2"/>
          <w:sz w:val="24"/>
        </w:rPr>
        <w:t> 704–736.</w:t>
      </w:r>
    </w:p>
    <w:p>
      <w:pPr>
        <w:pStyle w:val="BodyText"/>
      </w:pPr>
    </w:p>
    <w:p>
      <w:pPr>
        <w:pStyle w:val="BodyText"/>
        <w:ind w:left="276"/>
      </w:pPr>
      <w:r>
        <w:rPr/>
        <w:t>“</w:t>
      </w:r>
      <w:hyperlink r:id="rId18">
        <w:r>
          <w:rPr>
            <w:color w:val="1F487C"/>
          </w:rPr>
          <w:t>Optimal</w:t>
        </w:r>
        <w:r>
          <w:rPr>
            <w:color w:val="1F487C"/>
            <w:spacing w:val="-5"/>
          </w:rPr>
          <w:t> </w:t>
        </w:r>
        <w:r>
          <w:rPr>
            <w:color w:val="1F487C"/>
          </w:rPr>
          <w:t>Banking</w:t>
        </w:r>
        <w:r>
          <w:rPr>
            <w:color w:val="1F487C"/>
            <w:spacing w:val="-3"/>
          </w:rPr>
          <w:t> </w:t>
        </w:r>
        <w:r>
          <w:rPr>
            <w:color w:val="1F487C"/>
          </w:rPr>
          <w:t>Contracts</w:t>
        </w:r>
        <w:r>
          <w:rPr>
            <w:color w:val="1F487C"/>
            <w:spacing w:val="-3"/>
          </w:rPr>
          <w:t> </w:t>
        </w:r>
        <w:r>
          <w:rPr>
            <w:color w:val="1F487C"/>
          </w:rPr>
          <w:t>and</w:t>
        </w:r>
        <w:r>
          <w:rPr>
            <w:color w:val="1F487C"/>
            <w:spacing w:val="-1"/>
          </w:rPr>
          <w:t> </w:t>
        </w:r>
        <w:r>
          <w:rPr>
            <w:color w:val="1F487C"/>
          </w:rPr>
          <w:t>Financial</w:t>
        </w:r>
        <w:r>
          <w:rPr>
            <w:color w:val="1F487C"/>
            <w:spacing w:val="-1"/>
          </w:rPr>
          <w:t> </w:t>
        </w:r>
        <w:r>
          <w:rPr>
            <w:color w:val="1F487C"/>
          </w:rPr>
          <w:t>Fragility</w:t>
        </w:r>
      </w:hyperlink>
      <w:r>
        <w:rPr/>
        <w:t>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Huberto</w:t>
      </w:r>
      <w:r>
        <w:rPr>
          <w:spacing w:val="-3"/>
        </w:rPr>
        <w:t> </w:t>
      </w:r>
      <w:r>
        <w:rPr/>
        <w:t>Ennis),</w:t>
      </w:r>
      <w:r>
        <w:rPr>
          <w:spacing w:val="-1"/>
        </w:rPr>
        <w:t> </w:t>
      </w:r>
      <w:r>
        <w:rPr>
          <w:i/>
        </w:rPr>
        <w:t>Economic</w:t>
      </w:r>
      <w:r>
        <w:rPr>
          <w:i/>
          <w:spacing w:val="-4"/>
        </w:rPr>
        <w:t> </w:t>
      </w:r>
      <w:r>
        <w:rPr>
          <w:i/>
        </w:rPr>
        <w:t>Theory</w:t>
      </w:r>
      <w:r>
        <w:rPr/>
        <w:t>,</w:t>
      </w:r>
      <w:r>
        <w:rPr>
          <w:spacing w:val="-2"/>
        </w:rPr>
        <w:t> </w:t>
      </w:r>
      <w:r>
        <w:rPr>
          <w:spacing w:val="-4"/>
        </w:rPr>
        <w:t>Vol.</w:t>
      </w:r>
    </w:p>
    <w:p>
      <w:pPr>
        <w:pStyle w:val="BodyText"/>
        <w:ind w:left="935"/>
      </w:pPr>
      <w:r>
        <w:rPr/>
        <w:t>61</w:t>
      </w:r>
      <w:r>
        <w:rPr>
          <w:spacing w:val="-1"/>
        </w:rPr>
        <w:t> </w:t>
      </w:r>
      <w:r>
        <w:rPr/>
        <w:t>(2016)</w:t>
      </w:r>
      <w:r>
        <w:rPr>
          <w:spacing w:val="-2"/>
        </w:rPr>
        <w:t> </w:t>
      </w:r>
      <w:r>
        <w:rPr/>
        <w:t>335-</w:t>
      </w:r>
      <w:r>
        <w:rPr>
          <w:spacing w:val="-4"/>
        </w:rPr>
        <w:t>363.</w:t>
      </w:r>
    </w:p>
    <w:p>
      <w:pPr>
        <w:pStyle w:val="BodyText"/>
      </w:pPr>
    </w:p>
    <w:p>
      <w:pPr>
        <w:spacing w:before="0"/>
        <w:ind w:left="215" w:right="0" w:firstLine="0"/>
        <w:jc w:val="left"/>
        <w:rPr>
          <w:sz w:val="24"/>
        </w:rPr>
      </w:pPr>
      <w:r>
        <w:rPr>
          <w:sz w:val="24"/>
        </w:rPr>
        <w:t>“</w:t>
      </w:r>
      <w:hyperlink r:id="rId19">
        <w:r>
          <w:rPr>
            <w:color w:val="1F487C"/>
            <w:sz w:val="24"/>
          </w:rPr>
          <w:t>Banking</w:t>
        </w:r>
        <w:r>
          <w:rPr>
            <w:color w:val="1F487C"/>
            <w:spacing w:val="-2"/>
            <w:sz w:val="24"/>
          </w:rPr>
          <w:t> </w:t>
        </w:r>
        <w:r>
          <w:rPr>
            <w:color w:val="1F487C"/>
            <w:sz w:val="24"/>
          </w:rPr>
          <w:t>Panics</w:t>
        </w:r>
        <w:r>
          <w:rPr>
            <w:color w:val="1F487C"/>
            <w:spacing w:val="-3"/>
            <w:sz w:val="24"/>
          </w:rPr>
          <w:t> </w:t>
        </w:r>
        <w:r>
          <w:rPr>
            <w:color w:val="1F487C"/>
            <w:sz w:val="24"/>
          </w:rPr>
          <w:t>and</w:t>
        </w:r>
        <w:r>
          <w:rPr>
            <w:color w:val="1F487C"/>
            <w:spacing w:val="-2"/>
            <w:sz w:val="24"/>
          </w:rPr>
          <w:t> </w:t>
        </w:r>
        <w:r>
          <w:rPr>
            <w:color w:val="1F487C"/>
            <w:sz w:val="24"/>
          </w:rPr>
          <w:t>Policy</w:t>
        </w:r>
        <w:r>
          <w:rPr>
            <w:color w:val="1F487C"/>
            <w:spacing w:val="-2"/>
            <w:sz w:val="24"/>
          </w:rPr>
          <w:t> </w:t>
        </w:r>
        <w:r>
          <w:rPr>
            <w:color w:val="1F487C"/>
            <w:sz w:val="24"/>
          </w:rPr>
          <w:t>Responses</w:t>
        </w:r>
      </w:hyperlink>
      <w:r>
        <w:rPr>
          <w:sz w:val="24"/>
        </w:rPr>
        <w:t>”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Huberto</w:t>
      </w:r>
      <w:r>
        <w:rPr>
          <w:spacing w:val="-2"/>
          <w:sz w:val="24"/>
        </w:rPr>
        <w:t> </w:t>
      </w:r>
      <w:r>
        <w:rPr>
          <w:sz w:val="24"/>
        </w:rPr>
        <w:t>Ennis),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Monetary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2"/>
          <w:sz w:val="24"/>
        </w:rPr>
        <w:t> </w:t>
      </w:r>
      <w:r>
        <w:rPr>
          <w:spacing w:val="-4"/>
          <w:sz w:val="24"/>
        </w:rPr>
        <w:t>Vol.</w:t>
      </w:r>
    </w:p>
    <w:p>
      <w:pPr>
        <w:pStyle w:val="BodyText"/>
        <w:ind w:left="936"/>
      </w:pPr>
      <w:r>
        <w:rPr/>
        <w:t>57</w:t>
      </w:r>
      <w:r>
        <w:rPr>
          <w:spacing w:val="-1"/>
        </w:rPr>
        <w:t> </w:t>
      </w:r>
      <w:r>
        <w:rPr/>
        <w:t>(2010)</w:t>
      </w:r>
      <w:r>
        <w:rPr>
          <w:spacing w:val="-2"/>
        </w:rPr>
        <w:t> </w:t>
      </w:r>
      <w:r>
        <w:rPr/>
        <w:t>404-</w:t>
      </w:r>
      <w:r>
        <w:rPr>
          <w:spacing w:val="-4"/>
        </w:rPr>
        <w:t>419.</w:t>
      </w:r>
    </w:p>
    <w:p>
      <w:pPr>
        <w:pStyle w:val="BodyText"/>
      </w:pPr>
    </w:p>
    <w:p>
      <w:pPr>
        <w:pStyle w:val="BodyText"/>
        <w:ind w:left="936" w:hanging="660"/>
      </w:pPr>
      <w:r>
        <w:rPr/>
        <w:t>“</w:t>
      </w:r>
      <w:hyperlink r:id="rId20">
        <w:r>
          <w:rPr>
            <w:color w:val="1F487C"/>
          </w:rPr>
          <w:t>Bank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Runs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and</w:t>
        </w:r>
        <w:r>
          <w:rPr>
            <w:color w:val="1F487C"/>
            <w:spacing w:val="-2"/>
          </w:rPr>
          <w:t> </w:t>
        </w:r>
        <w:r>
          <w:rPr>
            <w:color w:val="1F487C"/>
          </w:rPr>
          <w:t>Institutions: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The</w:t>
        </w:r>
        <w:r>
          <w:rPr>
            <w:color w:val="1F487C"/>
            <w:spacing w:val="-5"/>
          </w:rPr>
          <w:t> </w:t>
        </w:r>
        <w:r>
          <w:rPr>
            <w:color w:val="1F487C"/>
          </w:rPr>
          <w:t>Perils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of</w:t>
        </w:r>
        <w:r>
          <w:rPr>
            <w:color w:val="1F487C"/>
            <w:spacing w:val="-3"/>
          </w:rPr>
          <w:t> </w:t>
        </w:r>
        <w:r>
          <w:rPr>
            <w:color w:val="1F487C"/>
          </w:rPr>
          <w:t>Intervention</w:t>
        </w:r>
      </w:hyperlink>
      <w:r>
        <w:rPr/>
        <w:t>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Huberto</w:t>
      </w:r>
      <w:r>
        <w:rPr>
          <w:spacing w:val="-4"/>
        </w:rPr>
        <w:t> </w:t>
      </w:r>
      <w:r>
        <w:rPr/>
        <w:t>Ennis),</w:t>
      </w:r>
      <w:r>
        <w:rPr>
          <w:spacing w:val="-4"/>
        </w:rPr>
        <w:t> </w:t>
      </w:r>
      <w:r>
        <w:rPr>
          <w:i/>
        </w:rPr>
        <w:t>American</w:t>
      </w:r>
      <w:r>
        <w:rPr>
          <w:i/>
          <w:spacing w:val="-4"/>
        </w:rPr>
        <w:t> </w:t>
      </w:r>
      <w:r>
        <w:rPr>
          <w:i/>
        </w:rPr>
        <w:t>Economic Review </w:t>
      </w:r>
      <w:r>
        <w:rPr/>
        <w:t>Vol. 99 (2009) 1588-1607.</w:t>
      </w:r>
    </w:p>
    <w:p>
      <w:pPr>
        <w:pStyle w:val="BodyText"/>
      </w:pPr>
    </w:p>
    <w:p>
      <w:pPr>
        <w:spacing w:before="0"/>
        <w:ind w:left="216" w:right="0" w:firstLine="0"/>
        <w:jc w:val="left"/>
        <w:rPr>
          <w:i/>
          <w:sz w:val="24"/>
        </w:rPr>
      </w:pPr>
      <w:r>
        <w:rPr>
          <w:sz w:val="24"/>
        </w:rPr>
        <w:t>“</w:t>
      </w:r>
      <w:hyperlink r:id="rId21">
        <w:r>
          <w:rPr>
            <w:color w:val="1F487C"/>
            <w:sz w:val="24"/>
          </w:rPr>
          <w:t>Expectations</w:t>
        </w:r>
        <w:r>
          <w:rPr>
            <w:color w:val="1F487C"/>
            <w:spacing w:val="-6"/>
            <w:sz w:val="24"/>
          </w:rPr>
          <w:t> </w:t>
        </w:r>
        <w:r>
          <w:rPr>
            <w:color w:val="1F487C"/>
            <w:sz w:val="24"/>
          </w:rPr>
          <w:t>and</w:t>
        </w:r>
        <w:r>
          <w:rPr>
            <w:color w:val="1F487C"/>
            <w:spacing w:val="-3"/>
            <w:sz w:val="24"/>
          </w:rPr>
          <w:t> </w:t>
        </w:r>
        <w:r>
          <w:rPr>
            <w:color w:val="1F487C"/>
            <w:sz w:val="24"/>
          </w:rPr>
          <w:t>Contagion</w:t>
        </w:r>
        <w:r>
          <w:rPr>
            <w:color w:val="1F487C"/>
            <w:spacing w:val="-3"/>
            <w:sz w:val="24"/>
          </w:rPr>
          <w:t> </w:t>
        </w:r>
        <w:r>
          <w:rPr>
            <w:color w:val="1F487C"/>
            <w:sz w:val="24"/>
          </w:rPr>
          <w:t>in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Self-fulfilling</w:t>
        </w:r>
        <w:r>
          <w:rPr>
            <w:color w:val="1F487C"/>
            <w:spacing w:val="-3"/>
            <w:sz w:val="24"/>
          </w:rPr>
          <w:t> </w:t>
        </w:r>
        <w:r>
          <w:rPr>
            <w:color w:val="1F487C"/>
            <w:sz w:val="24"/>
          </w:rPr>
          <w:t>Currency</w:t>
        </w:r>
        <w:r>
          <w:rPr>
            <w:color w:val="1F487C"/>
            <w:spacing w:val="-2"/>
            <w:sz w:val="24"/>
          </w:rPr>
          <w:t> </w:t>
        </w:r>
        <w:r>
          <w:rPr>
            <w:color w:val="1F487C"/>
            <w:sz w:val="24"/>
          </w:rPr>
          <w:t>Attacks</w:t>
        </w:r>
        <w:r>
          <w:rPr>
            <w:sz w:val="24"/>
          </w:rPr>
          <w:t>,</w:t>
        </w:r>
      </w:hyperlink>
      <w:r>
        <w:rPr>
          <w:sz w:val="24"/>
        </w:rPr>
        <w:t>”</w:t>
      </w:r>
      <w:r>
        <w:rPr>
          <w:spacing w:val="-2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Review</w:t>
      </w:r>
    </w:p>
    <w:p>
      <w:pPr>
        <w:pStyle w:val="BodyText"/>
        <w:ind w:left="936"/>
      </w:pPr>
      <w:r>
        <w:rPr/>
        <w:t>Vol.</w:t>
      </w:r>
      <w:r>
        <w:rPr>
          <w:spacing w:val="-1"/>
        </w:rPr>
        <w:t> </w:t>
      </w:r>
      <w:r>
        <w:rPr/>
        <w:t>50</w:t>
      </w:r>
      <w:r>
        <w:rPr>
          <w:spacing w:val="-2"/>
        </w:rPr>
        <w:t> </w:t>
      </w:r>
      <w:r>
        <w:rPr/>
        <w:t>(2009)</w:t>
      </w:r>
      <w:r>
        <w:rPr>
          <w:spacing w:val="-1"/>
        </w:rPr>
        <w:t> </w:t>
      </w:r>
      <w:r>
        <w:rPr/>
        <w:t>991-</w:t>
      </w:r>
      <w:r>
        <w:rPr>
          <w:spacing w:val="-4"/>
        </w:rPr>
        <w:t>1012.</w:t>
      </w:r>
    </w:p>
    <w:p>
      <w:pPr>
        <w:pStyle w:val="BodyText"/>
      </w:pPr>
    </w:p>
    <w:p>
      <w:pPr>
        <w:pStyle w:val="BodyText"/>
        <w:ind w:left="936" w:right="144" w:hanging="720"/>
      </w:pPr>
      <w:r>
        <w:rPr/>
        <w:t>“</w:t>
      </w:r>
      <w:hyperlink r:id="rId22">
        <w:r>
          <w:rPr>
            <w:color w:val="1F487C"/>
          </w:rPr>
          <w:t>Run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Equilibria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in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the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Green-Lin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Model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of</w:t>
        </w:r>
        <w:r>
          <w:rPr>
            <w:color w:val="1F487C"/>
            <w:spacing w:val="-3"/>
          </w:rPr>
          <w:t> </w:t>
        </w:r>
        <w:r>
          <w:rPr>
            <w:color w:val="1F487C"/>
          </w:rPr>
          <w:t>Financial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Intermediation</w:t>
        </w:r>
      </w:hyperlink>
      <w:r>
        <w:rPr/>
        <w:t>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Huberto</w:t>
      </w:r>
      <w:r>
        <w:rPr>
          <w:spacing w:val="-4"/>
        </w:rPr>
        <w:t> </w:t>
      </w:r>
      <w:r>
        <w:rPr/>
        <w:t>Ennis),</w:t>
      </w:r>
      <w:r>
        <w:rPr>
          <w:spacing w:val="-4"/>
        </w:rPr>
        <w:t> </w:t>
      </w:r>
      <w:r>
        <w:rPr>
          <w:i/>
        </w:rPr>
        <w:t>Journal of Economic Theory </w:t>
      </w:r>
      <w:r>
        <w:rPr/>
        <w:t>Vol. 144 (2009) 1996-2020.</w:t>
      </w:r>
    </w:p>
    <w:p>
      <w:pPr>
        <w:pStyle w:val="BodyText"/>
      </w:pPr>
    </w:p>
    <w:p>
      <w:pPr>
        <w:spacing w:before="0"/>
        <w:ind w:left="936" w:right="0" w:hanging="720"/>
        <w:jc w:val="left"/>
        <w:rPr>
          <w:sz w:val="24"/>
        </w:rPr>
      </w:pPr>
      <w:r>
        <w:rPr>
          <w:sz w:val="24"/>
        </w:rPr>
        <w:t>“</w:t>
      </w:r>
      <w:hyperlink r:id="rId23">
        <w:r>
          <w:rPr>
            <w:color w:val="1F487C"/>
            <w:sz w:val="24"/>
          </w:rPr>
          <w:t>Bank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Runs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as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Coordination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Failures: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An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Experimental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Study</w:t>
        </w:r>
      </w:hyperlink>
      <w:r>
        <w:rPr>
          <w:sz w:val="24"/>
        </w:rPr>
        <w:t>”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Rod</w:t>
      </w:r>
      <w:r>
        <w:rPr>
          <w:spacing w:val="-4"/>
          <w:sz w:val="24"/>
        </w:rPr>
        <w:t> </w:t>
      </w:r>
      <w:r>
        <w:rPr>
          <w:sz w:val="24"/>
        </w:rPr>
        <w:t>Garratt),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Economic Behavior &amp; Organization</w:t>
      </w:r>
      <w:r>
        <w:rPr>
          <w:sz w:val="24"/>
        </w:rPr>
        <w:t>, Vol. 71 (2009) 300–317.</w:t>
      </w:r>
    </w:p>
    <w:p>
      <w:pPr>
        <w:pStyle w:val="BodyText"/>
      </w:pPr>
    </w:p>
    <w:p>
      <w:pPr>
        <w:spacing w:before="0"/>
        <w:ind w:left="936" w:right="0" w:hanging="720"/>
        <w:jc w:val="left"/>
        <w:rPr>
          <w:sz w:val="24"/>
        </w:rPr>
      </w:pPr>
      <w:r>
        <w:rPr>
          <w:sz w:val="24"/>
        </w:rPr>
        <w:t>“</w:t>
      </w:r>
      <w:hyperlink r:id="rId24">
        <w:r>
          <w:rPr>
            <w:color w:val="1F487C"/>
            <w:sz w:val="24"/>
          </w:rPr>
          <w:t>Bank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Runs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and</w:t>
        </w:r>
        <w:r>
          <w:rPr>
            <w:color w:val="1F487C"/>
            <w:spacing w:val="-2"/>
            <w:sz w:val="24"/>
          </w:rPr>
          <w:t> </w:t>
        </w:r>
        <w:r>
          <w:rPr>
            <w:color w:val="1F487C"/>
            <w:sz w:val="24"/>
          </w:rPr>
          <w:t>Investment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Decisions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Revisited</w:t>
        </w:r>
      </w:hyperlink>
      <w:r>
        <w:rPr>
          <w:sz w:val="24"/>
        </w:rPr>
        <w:t>”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Huberto</w:t>
      </w:r>
      <w:r>
        <w:rPr>
          <w:spacing w:val="-4"/>
          <w:sz w:val="24"/>
        </w:rPr>
        <w:t> </w:t>
      </w:r>
      <w:r>
        <w:rPr>
          <w:sz w:val="24"/>
        </w:rPr>
        <w:t>Ennis),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Monetary Economics</w:t>
      </w:r>
      <w:r>
        <w:rPr>
          <w:sz w:val="24"/>
        </w:rPr>
        <w:t>, Vol. 53 (2006) 217-232.</w:t>
      </w:r>
    </w:p>
    <w:p>
      <w:pPr>
        <w:spacing w:after="0"/>
        <w:jc w:val="left"/>
        <w:rPr>
          <w:sz w:val="24"/>
        </w:rPr>
        <w:sectPr>
          <w:headerReference w:type="default" r:id="rId9"/>
          <w:pgSz w:w="12240" w:h="15840"/>
          <w:pgMar w:header="792" w:footer="0" w:top="1000" w:bottom="280" w:left="1080" w:right="1080"/>
          <w:pgNumType w:start="2"/>
        </w:sectPr>
      </w:pPr>
    </w:p>
    <w:p>
      <w:pPr>
        <w:pStyle w:val="BodyText"/>
        <w:spacing w:before="181"/>
      </w:pPr>
    </w:p>
    <w:p>
      <w:pPr>
        <w:pStyle w:val="BodyText"/>
        <w:ind w:left="936" w:hanging="720"/>
      </w:pPr>
      <w:r>
        <w:rPr/>
        <w:t>“</w:t>
      </w:r>
      <w:hyperlink r:id="rId25">
        <w:r>
          <w:rPr>
            <w:color w:val="1F487C"/>
          </w:rPr>
          <w:t>Discount</w:t>
        </w:r>
        <w:r>
          <w:rPr>
            <w:color w:val="1F487C"/>
            <w:spacing w:val="-5"/>
          </w:rPr>
          <w:t> </w:t>
        </w:r>
        <w:r>
          <w:rPr>
            <w:color w:val="1F487C"/>
          </w:rPr>
          <w:t>Window</w:t>
        </w:r>
        <w:r>
          <w:rPr>
            <w:color w:val="1F487C"/>
            <w:spacing w:val="-5"/>
          </w:rPr>
          <w:t> </w:t>
        </w:r>
        <w:r>
          <w:rPr>
            <w:color w:val="1F487C"/>
          </w:rPr>
          <w:t>Policy,</w:t>
        </w:r>
        <w:r>
          <w:rPr>
            <w:color w:val="1F487C"/>
            <w:spacing w:val="-5"/>
          </w:rPr>
          <w:t> </w:t>
        </w:r>
        <w:r>
          <w:rPr>
            <w:color w:val="1F487C"/>
          </w:rPr>
          <w:t>Banking</w:t>
        </w:r>
        <w:r>
          <w:rPr>
            <w:color w:val="1F487C"/>
            <w:spacing w:val="-5"/>
          </w:rPr>
          <w:t> </w:t>
        </w:r>
        <w:r>
          <w:rPr>
            <w:color w:val="1F487C"/>
          </w:rPr>
          <w:t>Crises,</w:t>
        </w:r>
        <w:r>
          <w:rPr>
            <w:color w:val="1F487C"/>
            <w:spacing w:val="-5"/>
          </w:rPr>
          <w:t> </w:t>
        </w:r>
        <w:r>
          <w:rPr>
            <w:color w:val="1F487C"/>
          </w:rPr>
          <w:t>and</w:t>
        </w:r>
        <w:r>
          <w:rPr>
            <w:color w:val="1F487C"/>
            <w:spacing w:val="-3"/>
          </w:rPr>
          <w:t> </w:t>
        </w:r>
        <w:r>
          <w:rPr>
            <w:color w:val="1F487C"/>
          </w:rPr>
          <w:t>Indeterminacy</w:t>
        </w:r>
        <w:r>
          <w:rPr>
            <w:color w:val="1F487C"/>
            <w:spacing w:val="-5"/>
          </w:rPr>
          <w:t> </w:t>
        </w:r>
        <w:r>
          <w:rPr>
            <w:color w:val="1F487C"/>
          </w:rPr>
          <w:t>of</w:t>
        </w:r>
        <w:r>
          <w:rPr>
            <w:color w:val="1F487C"/>
            <w:spacing w:val="-5"/>
          </w:rPr>
          <w:t> </w:t>
        </w:r>
        <w:r>
          <w:rPr>
            <w:color w:val="1F487C"/>
          </w:rPr>
          <w:t>Equilibrium</w:t>
        </w:r>
      </w:hyperlink>
      <w:r>
        <w:rPr/>
        <w:t>”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Gaetano Antinolfi), </w:t>
      </w:r>
      <w:r>
        <w:rPr>
          <w:i/>
        </w:rPr>
        <w:t>Macroeconomic Dynamics</w:t>
      </w:r>
      <w:r>
        <w:rPr/>
        <w:t>, Vol. 10 (2006) 1-19.</w:t>
      </w:r>
    </w:p>
    <w:p>
      <w:pPr>
        <w:pStyle w:val="BodyText"/>
      </w:pPr>
    </w:p>
    <w:p>
      <w:pPr>
        <w:spacing w:before="0"/>
        <w:ind w:left="936" w:right="0" w:hanging="720"/>
        <w:jc w:val="left"/>
        <w:rPr>
          <w:sz w:val="24"/>
        </w:rPr>
      </w:pPr>
      <w:r>
        <w:rPr>
          <w:sz w:val="24"/>
        </w:rPr>
        <w:t>“</w:t>
      </w:r>
      <w:hyperlink r:id="rId26">
        <w:r>
          <w:rPr>
            <w:color w:val="1F487C"/>
            <w:sz w:val="24"/>
          </w:rPr>
          <w:t>Optimal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Fiscal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Policy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with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Multiple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Equilibria</w:t>
        </w:r>
      </w:hyperlink>
      <w:r>
        <w:rPr>
          <w:sz w:val="24"/>
        </w:rPr>
        <w:t>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Huberto</w:t>
      </w:r>
      <w:r>
        <w:rPr>
          <w:spacing w:val="-4"/>
          <w:sz w:val="24"/>
        </w:rPr>
        <w:t> </w:t>
      </w:r>
      <w:r>
        <w:rPr>
          <w:sz w:val="24"/>
        </w:rPr>
        <w:t>Ennis),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Monetary Economics</w:t>
      </w:r>
      <w:r>
        <w:rPr>
          <w:sz w:val="24"/>
        </w:rPr>
        <w:t>, Vol. 52 (2005) 1359-1377.</w:t>
      </w:r>
    </w:p>
    <w:p>
      <w:pPr>
        <w:pStyle w:val="BodyText"/>
      </w:pPr>
    </w:p>
    <w:p>
      <w:pPr>
        <w:pStyle w:val="BodyText"/>
        <w:ind w:left="936" w:hanging="720"/>
      </w:pPr>
      <w:r>
        <w:rPr/>
        <w:t>“</w:t>
      </w:r>
      <w:hyperlink r:id="rId27">
        <w:r>
          <w:rPr>
            <w:color w:val="1F487C"/>
          </w:rPr>
          <w:t>Government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Policy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and</w:t>
        </w:r>
        <w:r>
          <w:rPr>
            <w:color w:val="1F487C"/>
            <w:spacing w:val="-2"/>
          </w:rPr>
          <w:t> </w:t>
        </w:r>
        <w:r>
          <w:rPr>
            <w:color w:val="1F487C"/>
          </w:rPr>
          <w:t>the</w:t>
        </w:r>
        <w:r>
          <w:rPr>
            <w:color w:val="1F487C"/>
            <w:spacing w:val="-5"/>
          </w:rPr>
          <w:t> </w:t>
        </w:r>
        <w:r>
          <w:rPr>
            <w:color w:val="1F487C"/>
          </w:rPr>
          <w:t>Probability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of</w:t>
        </w:r>
        <w:r>
          <w:rPr>
            <w:color w:val="1F487C"/>
            <w:spacing w:val="-5"/>
          </w:rPr>
          <w:t> </w:t>
        </w:r>
        <w:r>
          <w:rPr>
            <w:color w:val="1F487C"/>
          </w:rPr>
          <w:t>Coordination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Failures</w:t>
        </w:r>
      </w:hyperlink>
      <w:r>
        <w:rPr/>
        <w:t>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Huberto</w:t>
      </w:r>
      <w:r>
        <w:rPr>
          <w:spacing w:val="-4"/>
        </w:rPr>
        <w:t> </w:t>
      </w:r>
      <w:r>
        <w:rPr/>
        <w:t>Ennis),</w:t>
      </w:r>
      <w:r>
        <w:rPr>
          <w:spacing w:val="-4"/>
        </w:rPr>
        <w:t> </w:t>
      </w:r>
      <w:r>
        <w:rPr>
          <w:i/>
        </w:rPr>
        <w:t>European Economic Review</w:t>
      </w:r>
      <w:r>
        <w:rPr/>
        <w:t>, Vol. 49 (2005) 939-973.</w:t>
      </w:r>
    </w:p>
    <w:p>
      <w:pPr>
        <w:pStyle w:val="BodyText"/>
      </w:pPr>
    </w:p>
    <w:p>
      <w:pPr>
        <w:pStyle w:val="BodyText"/>
        <w:spacing w:before="1"/>
        <w:ind w:left="936" w:hanging="660"/>
      </w:pPr>
      <w:r>
        <w:rPr/>
        <w:t>“</w:t>
      </w:r>
      <w:hyperlink r:id="rId28">
        <w:r>
          <w:rPr>
            <w:color w:val="1F487C"/>
          </w:rPr>
          <w:t>Comparing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Sunspot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Equilibrium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and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Lottery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Equilibrium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Allocations: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The</w:t>
        </w:r>
        <w:r>
          <w:rPr>
            <w:color w:val="1F487C"/>
            <w:spacing w:val="-5"/>
          </w:rPr>
          <w:t> </w:t>
        </w:r>
        <w:r>
          <w:rPr>
            <w:color w:val="1F487C"/>
          </w:rPr>
          <w:t>Finite</w:t>
        </w:r>
        <w:r>
          <w:rPr>
            <w:color w:val="1F487C"/>
            <w:spacing w:val="-5"/>
          </w:rPr>
          <w:t> </w:t>
        </w:r>
        <w:r>
          <w:rPr>
            <w:color w:val="1F487C"/>
          </w:rPr>
          <w:t>Case</w:t>
        </w:r>
      </w:hyperlink>
      <w:r>
        <w:rPr/>
        <w:t>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Rod Garratt and Karl Shell), </w:t>
      </w:r>
      <w:r>
        <w:rPr>
          <w:i/>
        </w:rPr>
        <w:t>International Economic Review</w:t>
      </w:r>
      <w:r>
        <w:rPr/>
        <w:t>, Vol. 45 (2004) 351-386.</w:t>
      </w:r>
    </w:p>
    <w:p>
      <w:pPr>
        <w:spacing w:before="276"/>
        <w:ind w:left="935" w:right="0" w:hanging="720"/>
        <w:jc w:val="left"/>
        <w:rPr>
          <w:sz w:val="24"/>
        </w:rPr>
      </w:pPr>
      <w:r>
        <w:rPr>
          <w:sz w:val="24"/>
        </w:rPr>
        <w:t>“</w:t>
      </w:r>
      <w:hyperlink r:id="rId29">
        <w:r>
          <w:rPr>
            <w:color w:val="1F487C"/>
            <w:sz w:val="24"/>
          </w:rPr>
          <w:t>Economic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Growth,</w:t>
        </w:r>
        <w:r>
          <w:rPr>
            <w:color w:val="1F487C"/>
            <w:spacing w:val="-3"/>
            <w:sz w:val="24"/>
          </w:rPr>
          <w:t> </w:t>
        </w:r>
        <w:r>
          <w:rPr>
            <w:color w:val="1F487C"/>
            <w:sz w:val="24"/>
          </w:rPr>
          <w:t>Liquidity,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and</w:t>
        </w:r>
        <w:r>
          <w:rPr>
            <w:color w:val="1F487C"/>
            <w:spacing w:val="-3"/>
            <w:sz w:val="24"/>
          </w:rPr>
          <w:t> </w:t>
        </w:r>
        <w:r>
          <w:rPr>
            <w:color w:val="1F487C"/>
            <w:sz w:val="24"/>
          </w:rPr>
          <w:t>Bank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Runs</w:t>
        </w:r>
      </w:hyperlink>
      <w:r>
        <w:rPr>
          <w:sz w:val="24"/>
        </w:rPr>
        <w:t>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Huberto</w:t>
      </w:r>
      <w:r>
        <w:rPr>
          <w:spacing w:val="-4"/>
          <w:sz w:val="24"/>
        </w:rPr>
        <w:t> </w:t>
      </w:r>
      <w:r>
        <w:rPr>
          <w:sz w:val="24"/>
        </w:rPr>
        <w:t>Ennis),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 Vol. 109 (2003) 220-245.</w:t>
      </w:r>
    </w:p>
    <w:p>
      <w:pPr>
        <w:pStyle w:val="BodyText"/>
        <w:spacing w:before="276"/>
        <w:ind w:left="935" w:hanging="720"/>
      </w:pPr>
      <w:r>
        <w:rPr/>
        <w:t>“</w:t>
      </w:r>
      <w:hyperlink r:id="rId30">
        <w:r>
          <w:rPr>
            <w:color w:val="1F487C"/>
          </w:rPr>
          <w:t>Equilibrium</w:t>
        </w:r>
        <w:r>
          <w:rPr>
            <w:color w:val="1F487C"/>
            <w:spacing w:val="-3"/>
          </w:rPr>
          <w:t> </w:t>
        </w:r>
        <w:r>
          <w:rPr>
            <w:color w:val="1F487C"/>
          </w:rPr>
          <w:t>Prices</w:t>
        </w:r>
        <w:r>
          <w:rPr>
            <w:color w:val="1F487C"/>
            <w:spacing w:val="-3"/>
          </w:rPr>
          <w:t> </w:t>
        </w:r>
        <w:r>
          <w:rPr>
            <w:color w:val="1F487C"/>
          </w:rPr>
          <w:t>when</w:t>
        </w:r>
        <w:r>
          <w:rPr>
            <w:color w:val="1F487C"/>
            <w:spacing w:val="-3"/>
          </w:rPr>
          <w:t> </w:t>
        </w:r>
        <w:r>
          <w:rPr>
            <w:color w:val="1F487C"/>
          </w:rPr>
          <w:t>the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Sunspot</w:t>
        </w:r>
        <w:r>
          <w:rPr>
            <w:color w:val="1F487C"/>
            <w:spacing w:val="-3"/>
          </w:rPr>
          <w:t> </w:t>
        </w:r>
        <w:r>
          <w:rPr>
            <w:color w:val="1F487C"/>
          </w:rPr>
          <w:t>Variable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is</w:t>
        </w:r>
        <w:r>
          <w:rPr>
            <w:color w:val="1F487C"/>
            <w:spacing w:val="-3"/>
          </w:rPr>
          <w:t> </w:t>
        </w:r>
        <w:r>
          <w:rPr>
            <w:color w:val="1F487C"/>
          </w:rPr>
          <w:t>Continuous</w:t>
        </w:r>
      </w:hyperlink>
      <w:r>
        <w:rPr/>
        <w:t>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Rod</w:t>
      </w:r>
      <w:r>
        <w:rPr>
          <w:spacing w:val="-6"/>
        </w:rPr>
        <w:t> </w:t>
      </w:r>
      <w:r>
        <w:rPr/>
        <w:t>Garratt,</w:t>
      </w:r>
      <w:r>
        <w:rPr>
          <w:spacing w:val="-3"/>
        </w:rPr>
        <w:t> </w:t>
      </w:r>
      <w:r>
        <w:rPr/>
        <w:t>Cheng-Zhong</w:t>
      </w:r>
      <w:r>
        <w:rPr>
          <w:spacing w:val="-3"/>
        </w:rPr>
        <w:t> </w:t>
      </w:r>
      <w:r>
        <w:rPr/>
        <w:t>Qin, and Karl Shell), </w:t>
      </w:r>
      <w:r>
        <w:rPr>
          <w:i/>
        </w:rPr>
        <w:t>Journal of Economic Theory</w:t>
      </w:r>
      <w:r>
        <w:rPr/>
        <w:t>, Vol. 107 (2002) 11-38.</w:t>
      </w:r>
    </w:p>
    <w:p>
      <w:pPr>
        <w:spacing w:before="276"/>
        <w:ind w:left="935" w:right="0" w:hanging="720"/>
        <w:jc w:val="left"/>
        <w:rPr>
          <w:sz w:val="24"/>
        </w:rPr>
      </w:pPr>
      <w:r>
        <w:rPr>
          <w:sz w:val="24"/>
        </w:rPr>
        <w:t>“</w:t>
      </w:r>
      <w:hyperlink r:id="rId31">
        <w:r>
          <w:rPr>
            <w:color w:val="1F487C"/>
            <w:sz w:val="24"/>
          </w:rPr>
          <w:t>A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Characterization</w:t>
        </w:r>
        <w:r>
          <w:rPr>
            <w:color w:val="1F487C"/>
            <w:spacing w:val="-3"/>
            <w:sz w:val="24"/>
          </w:rPr>
          <w:t> </w:t>
        </w:r>
        <w:r>
          <w:rPr>
            <w:color w:val="1F487C"/>
            <w:sz w:val="24"/>
          </w:rPr>
          <w:t>of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Robust</w:t>
        </w:r>
        <w:r>
          <w:rPr>
            <w:color w:val="1F487C"/>
            <w:spacing w:val="-3"/>
            <w:sz w:val="24"/>
          </w:rPr>
          <w:t> </w:t>
        </w:r>
        <w:r>
          <w:rPr>
            <w:color w:val="1F487C"/>
            <w:sz w:val="24"/>
          </w:rPr>
          <w:t>Sunspot</w:t>
        </w:r>
        <w:r>
          <w:rPr>
            <w:color w:val="1F487C"/>
            <w:spacing w:val="-3"/>
            <w:sz w:val="24"/>
          </w:rPr>
          <w:t> </w:t>
        </w:r>
        <w:r>
          <w:rPr>
            <w:color w:val="1F487C"/>
            <w:sz w:val="24"/>
          </w:rPr>
          <w:t>Equilibria</w:t>
        </w:r>
      </w:hyperlink>
      <w:r>
        <w:rPr>
          <w:sz w:val="24"/>
        </w:rPr>
        <w:t>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Rod</w:t>
      </w:r>
      <w:r>
        <w:rPr>
          <w:spacing w:val="-3"/>
          <w:sz w:val="24"/>
        </w:rPr>
        <w:t> </w:t>
      </w:r>
      <w:r>
        <w:rPr>
          <w:sz w:val="24"/>
        </w:rPr>
        <w:t>Garratt),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 Vol. 107 (2002) 136-144.</w:t>
      </w:r>
    </w:p>
    <w:p>
      <w:pPr>
        <w:pStyle w:val="BodyText"/>
      </w:pPr>
    </w:p>
    <w:p>
      <w:pPr>
        <w:pStyle w:val="BodyText"/>
        <w:ind w:left="935" w:hanging="720"/>
      </w:pPr>
      <w:r>
        <w:rPr/>
        <w:t>“</w:t>
      </w:r>
      <w:hyperlink r:id="rId32">
        <w:r>
          <w:rPr>
            <w:color w:val="1F487C"/>
          </w:rPr>
          <w:t>Monetary Stability and Liquidity Crises: The</w:t>
        </w:r>
        <w:r>
          <w:rPr>
            <w:color w:val="1F487C"/>
            <w:spacing w:val="-1"/>
          </w:rPr>
          <w:t> </w:t>
        </w:r>
        <w:r>
          <w:rPr>
            <w:color w:val="1F487C"/>
          </w:rPr>
          <w:t>Role</w:t>
        </w:r>
        <w:r>
          <w:rPr>
            <w:color w:val="1F487C"/>
            <w:spacing w:val="-1"/>
          </w:rPr>
          <w:t> </w:t>
        </w:r>
        <w:r>
          <w:rPr>
            <w:color w:val="1F487C"/>
          </w:rPr>
          <w:t>of</w:t>
        </w:r>
        <w:r>
          <w:rPr>
            <w:color w:val="1F487C"/>
            <w:spacing w:val="-1"/>
          </w:rPr>
          <w:t> </w:t>
        </w:r>
        <w:r>
          <w:rPr>
            <w:color w:val="1F487C"/>
          </w:rPr>
          <w:t>the</w:t>
        </w:r>
        <w:r>
          <w:rPr>
            <w:color w:val="1F487C"/>
            <w:spacing w:val="-1"/>
          </w:rPr>
          <w:t> </w:t>
        </w:r>
        <w:r>
          <w:rPr>
            <w:color w:val="1F487C"/>
          </w:rPr>
          <w:t>Lender</w:t>
        </w:r>
        <w:r>
          <w:rPr>
            <w:color w:val="1F487C"/>
            <w:spacing w:val="-1"/>
          </w:rPr>
          <w:t> </w:t>
        </w:r>
        <w:r>
          <w:rPr>
            <w:color w:val="1F487C"/>
          </w:rPr>
          <w:t>of</w:t>
        </w:r>
        <w:r>
          <w:rPr>
            <w:color w:val="1F487C"/>
            <w:spacing w:val="-1"/>
          </w:rPr>
          <w:t> </w:t>
        </w:r>
        <w:r>
          <w:rPr>
            <w:color w:val="1F487C"/>
          </w:rPr>
          <w:t>Last Resort</w:t>
        </w:r>
      </w:hyperlink>
      <w:r>
        <w:rPr/>
        <w:t>”</w:t>
      </w:r>
      <w:r>
        <w:rPr>
          <w:spacing w:val="-1"/>
        </w:rPr>
        <w:t> </w:t>
      </w:r>
      <w:r>
        <w:rPr/>
        <w:t>(with Gaetano Antinolfi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Elisabeth</w:t>
      </w:r>
      <w:r>
        <w:rPr>
          <w:spacing w:val="-2"/>
        </w:rPr>
        <w:t> </w:t>
      </w:r>
      <w:r>
        <w:rPr/>
        <w:t>Huybens),</w:t>
      </w:r>
      <w:r>
        <w:rPr>
          <w:spacing w:val="-2"/>
        </w:rPr>
        <w:t> </w:t>
      </w:r>
      <w:r>
        <w:rPr>
          <w:i/>
        </w:rPr>
        <w:t>Journal</w:t>
      </w:r>
      <w:r>
        <w:rPr>
          <w:i/>
          <w:spacing w:val="-2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Economic</w:t>
      </w:r>
      <w:r>
        <w:rPr>
          <w:i/>
          <w:spacing w:val="-2"/>
        </w:rPr>
        <w:t> </w:t>
      </w:r>
      <w:r>
        <w:rPr>
          <w:i/>
        </w:rPr>
        <w:t>Theory</w:t>
      </w:r>
      <w:r>
        <w:rPr/>
        <w:t>,</w:t>
      </w:r>
      <w:r>
        <w:rPr>
          <w:spacing w:val="-3"/>
        </w:rPr>
        <w:t> </w:t>
      </w:r>
      <w:r>
        <w:rPr/>
        <w:t>Vol.</w:t>
      </w:r>
      <w:r>
        <w:rPr>
          <w:spacing w:val="-2"/>
        </w:rPr>
        <w:t> </w:t>
      </w:r>
      <w:r>
        <w:rPr/>
        <w:t>99</w:t>
      </w:r>
      <w:r>
        <w:rPr>
          <w:spacing w:val="-2"/>
        </w:rPr>
        <w:t> </w:t>
      </w:r>
      <w:r>
        <w:rPr/>
        <w:t>(2001)</w:t>
      </w:r>
      <w:r>
        <w:rPr>
          <w:spacing w:val="-2"/>
        </w:rPr>
        <w:t> </w:t>
      </w:r>
      <w:r>
        <w:rPr/>
        <w:t>187-</w:t>
      </w:r>
      <w:r>
        <w:rPr>
          <w:spacing w:val="-4"/>
        </w:rPr>
        <w:t>219.</w:t>
      </w:r>
    </w:p>
    <w:p>
      <w:pPr>
        <w:spacing w:before="230"/>
        <w:ind w:left="936" w:right="0" w:hanging="720"/>
        <w:jc w:val="left"/>
        <w:rPr>
          <w:sz w:val="24"/>
        </w:rPr>
      </w:pPr>
      <w:r>
        <w:rPr>
          <w:sz w:val="24"/>
        </w:rPr>
        <w:t>“</w:t>
      </w:r>
      <w:hyperlink r:id="rId33">
        <w:r>
          <w:rPr>
            <w:color w:val="1F487C"/>
            <w:sz w:val="24"/>
          </w:rPr>
          <w:t>Money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Taxes,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Market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Segmentation,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and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Sunspot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Equilibria</w:t>
        </w:r>
      </w:hyperlink>
      <w:r>
        <w:rPr>
          <w:sz w:val="24"/>
        </w:rPr>
        <w:t>,”</w:t>
      </w:r>
      <w:r>
        <w:rPr>
          <w:spacing w:val="-5"/>
          <w:sz w:val="24"/>
        </w:rPr>
        <w:t> </w:t>
      </w:r>
      <w:r>
        <w:rPr>
          <w:i/>
          <w:sz w:val="24"/>
        </w:rPr>
        <w:t>Macroeconomic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Dynamics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Vol.</w:t>
      </w:r>
      <w:r>
        <w:rPr>
          <w:spacing w:val="-4"/>
          <w:sz w:val="24"/>
        </w:rPr>
        <w:t> </w:t>
      </w:r>
      <w:r>
        <w:rPr>
          <w:sz w:val="24"/>
        </w:rPr>
        <w:t>5 (2001) 327-352.</w:t>
      </w:r>
    </w:p>
    <w:p>
      <w:pPr>
        <w:pStyle w:val="BodyText"/>
      </w:pPr>
    </w:p>
    <w:p>
      <w:pPr>
        <w:pStyle w:val="BodyText"/>
        <w:ind w:left="935" w:hanging="720"/>
      </w:pPr>
      <w:r>
        <w:rPr/>
        <w:t>“</w:t>
      </w:r>
      <w:hyperlink r:id="rId34">
        <w:r>
          <w:rPr>
            <w:color w:val="1F487C"/>
          </w:rPr>
          <w:t>Growth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Dynamics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and</w:t>
        </w:r>
        <w:r>
          <w:rPr>
            <w:color w:val="1F487C"/>
            <w:spacing w:val="-2"/>
          </w:rPr>
          <w:t> </w:t>
        </w:r>
        <w:r>
          <w:rPr>
            <w:color w:val="1F487C"/>
          </w:rPr>
          <w:t>Returns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to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Scale: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Bifurcation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Analysis</w:t>
        </w:r>
      </w:hyperlink>
      <w:r>
        <w:rPr/>
        <w:t>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Gaetano</w:t>
      </w:r>
      <w:r>
        <w:rPr>
          <w:spacing w:val="-4"/>
        </w:rPr>
        <w:t> </w:t>
      </w:r>
      <w:r>
        <w:rPr/>
        <w:t>Antinolfi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Karl Shell), </w:t>
      </w:r>
      <w:r>
        <w:rPr>
          <w:i/>
        </w:rPr>
        <w:t>Journal of Economic Theory</w:t>
      </w:r>
      <w:r>
        <w:rPr/>
        <w:t>, Vol. 96 (2001) 70-96.</w:t>
      </w:r>
    </w:p>
    <w:p>
      <w:pPr>
        <w:pStyle w:val="BodyText"/>
        <w:spacing w:before="46"/>
      </w:pPr>
    </w:p>
    <w:p>
      <w:pPr>
        <w:spacing w:before="0"/>
        <w:ind w:left="936" w:right="251" w:hanging="720"/>
        <w:jc w:val="left"/>
        <w:rPr>
          <w:sz w:val="24"/>
        </w:rPr>
      </w:pPr>
      <w:r>
        <w:rPr>
          <w:sz w:val="24"/>
        </w:rPr>
        <w:t>“</w:t>
      </w:r>
      <w:hyperlink r:id="rId35">
        <w:r>
          <w:rPr>
            <w:color w:val="1F487C"/>
            <w:sz w:val="24"/>
          </w:rPr>
          <w:t>Money</w:t>
        </w:r>
        <w:r>
          <w:rPr>
            <w:color w:val="1F487C"/>
            <w:spacing w:val="-3"/>
            <w:sz w:val="24"/>
          </w:rPr>
          <w:t> </w:t>
        </w:r>
        <w:r>
          <w:rPr>
            <w:color w:val="1F487C"/>
            <w:sz w:val="24"/>
          </w:rPr>
          <w:t>Taxes</w:t>
        </w:r>
        <w:r>
          <w:rPr>
            <w:color w:val="1F487C"/>
            <w:spacing w:val="-3"/>
            <w:sz w:val="24"/>
          </w:rPr>
          <w:t> </w:t>
        </w:r>
        <w:r>
          <w:rPr>
            <w:color w:val="1F487C"/>
            <w:sz w:val="24"/>
          </w:rPr>
          <w:t>and</w:t>
        </w:r>
        <w:r>
          <w:rPr>
            <w:color w:val="1F487C"/>
            <w:spacing w:val="-3"/>
            <w:sz w:val="24"/>
          </w:rPr>
          <w:t> </w:t>
        </w:r>
        <w:r>
          <w:rPr>
            <w:color w:val="1F487C"/>
            <w:sz w:val="24"/>
          </w:rPr>
          <w:t>Efficiency</w:t>
        </w:r>
        <w:r>
          <w:rPr>
            <w:color w:val="1F487C"/>
            <w:spacing w:val="-3"/>
            <w:sz w:val="24"/>
          </w:rPr>
          <w:t> </w:t>
        </w:r>
        <w:r>
          <w:rPr>
            <w:color w:val="1F487C"/>
            <w:sz w:val="24"/>
          </w:rPr>
          <w:t>when</w:t>
        </w:r>
        <w:r>
          <w:rPr>
            <w:color w:val="1F487C"/>
            <w:spacing w:val="-3"/>
            <w:sz w:val="24"/>
          </w:rPr>
          <w:t> </w:t>
        </w:r>
        <w:r>
          <w:rPr>
            <w:color w:val="1F487C"/>
            <w:sz w:val="24"/>
          </w:rPr>
          <w:t>Sunspots</w:t>
        </w:r>
        <w:r>
          <w:rPr>
            <w:color w:val="1F487C"/>
            <w:spacing w:val="-3"/>
            <w:sz w:val="24"/>
          </w:rPr>
          <w:t> </w:t>
        </w:r>
        <w:r>
          <w:rPr>
            <w:color w:val="1F487C"/>
            <w:sz w:val="24"/>
          </w:rPr>
          <w:t>Matter</w:t>
        </w:r>
      </w:hyperlink>
      <w:r>
        <w:rPr>
          <w:sz w:val="24"/>
        </w:rPr>
        <w:t>,”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Vol.</w:t>
      </w:r>
      <w:r>
        <w:rPr>
          <w:spacing w:val="-3"/>
          <w:sz w:val="24"/>
        </w:rPr>
        <w:t> </w:t>
      </w:r>
      <w:r>
        <w:rPr>
          <w:sz w:val="24"/>
        </w:rPr>
        <w:t>83</w:t>
      </w:r>
      <w:r>
        <w:rPr>
          <w:spacing w:val="-3"/>
          <w:sz w:val="24"/>
        </w:rPr>
        <w:t> </w:t>
      </w:r>
      <w:r>
        <w:rPr>
          <w:sz w:val="24"/>
        </w:rPr>
        <w:t>(1998) </w:t>
      </w:r>
      <w:r>
        <w:rPr>
          <w:spacing w:val="-2"/>
          <w:sz w:val="24"/>
        </w:rPr>
        <w:t>43-68.</w:t>
      </w:r>
    </w:p>
    <w:p>
      <w:pPr>
        <w:pStyle w:val="BodyText"/>
      </w:pPr>
    </w:p>
    <w:p>
      <w:pPr>
        <w:pStyle w:val="BodyText"/>
        <w:ind w:left="936" w:hanging="720"/>
      </w:pPr>
      <w:r>
        <w:rPr/>
        <w:t>“</w:t>
      </w:r>
      <w:hyperlink r:id="rId36">
        <w:r>
          <w:rPr>
            <w:color w:val="1F487C"/>
          </w:rPr>
          <w:t>Options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and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Sunspots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in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a</w:t>
        </w:r>
        <w:r>
          <w:rPr>
            <w:color w:val="1F487C"/>
            <w:spacing w:val="-5"/>
          </w:rPr>
          <w:t> </w:t>
        </w:r>
        <w:r>
          <w:rPr>
            <w:color w:val="1F487C"/>
          </w:rPr>
          <w:t>Simple</w:t>
        </w:r>
        <w:r>
          <w:rPr>
            <w:color w:val="1F487C"/>
            <w:spacing w:val="-5"/>
          </w:rPr>
          <w:t> </w:t>
        </w:r>
        <w:r>
          <w:rPr>
            <w:color w:val="1F487C"/>
          </w:rPr>
          <w:t>Monetary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Economy</w:t>
        </w:r>
      </w:hyperlink>
      <w:r>
        <w:rPr/>
        <w:t>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Gaetano</w:t>
      </w:r>
      <w:r>
        <w:rPr>
          <w:spacing w:val="-2"/>
        </w:rPr>
        <w:t> </w:t>
      </w:r>
      <w:r>
        <w:rPr/>
        <w:t>Antinolfi),</w:t>
      </w:r>
      <w:r>
        <w:rPr>
          <w:spacing w:val="-4"/>
        </w:rPr>
        <w:t> </w:t>
      </w:r>
      <w:r>
        <w:rPr>
          <w:i/>
        </w:rPr>
        <w:t>Economic</w:t>
      </w:r>
      <w:r>
        <w:rPr>
          <w:i/>
          <w:spacing w:val="-5"/>
        </w:rPr>
        <w:t> </w:t>
      </w:r>
      <w:r>
        <w:rPr>
          <w:i/>
        </w:rPr>
        <w:t>Theory</w:t>
      </w:r>
      <w:r>
        <w:rPr/>
        <w:t>, Vol. 11 (1998) 295-315.</w:t>
      </w:r>
    </w:p>
    <w:p>
      <w:pPr>
        <w:pStyle w:val="BodyText"/>
        <w:spacing w:before="194"/>
      </w:pPr>
    </w:p>
    <w:p>
      <w:pPr>
        <w:spacing w:before="0"/>
        <w:ind w:left="215" w:right="0" w:firstLine="0"/>
        <w:jc w:val="left"/>
        <w:rPr>
          <w:i/>
          <w:sz w:val="22"/>
        </w:rPr>
      </w:pPr>
      <w:bookmarkStart w:name="policy papers" w:id="8"/>
      <w:bookmarkEnd w:id="8"/>
      <w:r>
        <w:rPr/>
      </w:r>
      <w:hyperlink r:id="rId37">
        <w:r>
          <w:rPr>
            <w:i/>
            <w:color w:val="1F487C"/>
            <w:sz w:val="22"/>
          </w:rPr>
          <w:t>POLICY</w:t>
        </w:r>
        <w:r>
          <w:rPr>
            <w:i/>
            <w:color w:val="1F487C"/>
            <w:spacing w:val="-6"/>
            <w:sz w:val="22"/>
          </w:rPr>
          <w:t> </w:t>
        </w:r>
        <w:r>
          <w:rPr>
            <w:i/>
            <w:color w:val="1F487C"/>
            <w:spacing w:val="-2"/>
            <w:sz w:val="22"/>
          </w:rPr>
          <w:t>PAPERS</w:t>
        </w:r>
      </w:hyperlink>
    </w:p>
    <w:p>
      <w:pPr>
        <w:pStyle w:val="BodyText"/>
        <w:spacing w:before="37"/>
        <w:rPr>
          <w:i/>
          <w:sz w:val="22"/>
        </w:rPr>
      </w:pPr>
    </w:p>
    <w:p>
      <w:pPr>
        <w:spacing w:before="0"/>
        <w:ind w:left="935" w:right="144" w:hanging="720"/>
        <w:jc w:val="left"/>
        <w:rPr>
          <w:sz w:val="24"/>
        </w:rPr>
      </w:pPr>
      <w:r>
        <w:rPr>
          <w:sz w:val="24"/>
        </w:rPr>
        <w:t>“</w:t>
      </w:r>
      <w:hyperlink r:id="rId38">
        <w:r>
          <w:rPr>
            <w:color w:val="1F487C"/>
            <w:sz w:val="24"/>
          </w:rPr>
          <w:t>Information, Privacy and Central Bank Digital Currency</w:t>
        </w:r>
      </w:hyperlink>
      <w:r>
        <w:rPr>
          <w:sz w:val="24"/>
        </w:rPr>
        <w:t>” (with Cyril Monnet), in </w:t>
      </w:r>
      <w:hyperlink r:id="rId39">
        <w:r>
          <w:rPr>
            <w:i/>
            <w:color w:val="1F487C"/>
            <w:sz w:val="24"/>
          </w:rPr>
          <w:t>Central Bank</w:t>
        </w:r>
      </w:hyperlink>
      <w:r>
        <w:rPr>
          <w:i/>
          <w:color w:val="1F487C"/>
          <w:sz w:val="24"/>
        </w:rPr>
        <w:t> </w:t>
      </w:r>
      <w:hyperlink r:id="rId39">
        <w:r>
          <w:rPr>
            <w:i/>
            <w:color w:val="1F487C"/>
            <w:sz w:val="24"/>
          </w:rPr>
          <w:t>Digital</w:t>
        </w:r>
        <w:r>
          <w:rPr>
            <w:i/>
            <w:color w:val="1F487C"/>
            <w:spacing w:val="-4"/>
            <w:sz w:val="24"/>
          </w:rPr>
          <w:t> </w:t>
        </w:r>
        <w:r>
          <w:rPr>
            <w:i/>
            <w:color w:val="1F487C"/>
            <w:sz w:val="24"/>
          </w:rPr>
          <w:t>Currency:</w:t>
        </w:r>
        <w:r>
          <w:rPr>
            <w:i/>
            <w:color w:val="1F487C"/>
            <w:spacing w:val="-5"/>
            <w:sz w:val="24"/>
          </w:rPr>
          <w:t> </w:t>
        </w:r>
        <w:r>
          <w:rPr>
            <w:i/>
            <w:color w:val="1F487C"/>
            <w:sz w:val="24"/>
          </w:rPr>
          <w:t>Considerations,</w:t>
        </w:r>
        <w:r>
          <w:rPr>
            <w:i/>
            <w:color w:val="1F487C"/>
            <w:spacing w:val="-4"/>
            <w:sz w:val="24"/>
          </w:rPr>
          <w:t> </w:t>
        </w:r>
        <w:r>
          <w:rPr>
            <w:i/>
            <w:color w:val="1F487C"/>
            <w:sz w:val="24"/>
          </w:rPr>
          <w:t>Projects,</w:t>
        </w:r>
        <w:r>
          <w:rPr>
            <w:i/>
            <w:color w:val="1F487C"/>
            <w:spacing w:val="-4"/>
            <w:sz w:val="24"/>
          </w:rPr>
          <w:t> </w:t>
        </w:r>
        <w:r>
          <w:rPr>
            <w:i/>
            <w:color w:val="1F487C"/>
            <w:sz w:val="24"/>
          </w:rPr>
          <w:t>Outlook</w:t>
        </w:r>
      </w:hyperlink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CEPR</w:t>
      </w:r>
      <w:r>
        <w:rPr>
          <w:spacing w:val="-4"/>
          <w:sz w:val="24"/>
        </w:rPr>
        <w:t> </w:t>
      </w:r>
      <w:r>
        <w:rPr>
          <w:sz w:val="24"/>
        </w:rPr>
        <w:t>eBook,</w:t>
      </w:r>
      <w:r>
        <w:rPr>
          <w:spacing w:val="-4"/>
          <w:sz w:val="24"/>
        </w:rPr>
        <w:t> </w:t>
      </w:r>
      <w:r>
        <w:rPr>
          <w:sz w:val="24"/>
        </w:rPr>
        <w:t>ed.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D.</w:t>
      </w:r>
      <w:r>
        <w:rPr>
          <w:spacing w:val="-4"/>
          <w:sz w:val="24"/>
        </w:rPr>
        <w:t> </w:t>
      </w:r>
      <w:r>
        <w:rPr>
          <w:sz w:val="24"/>
        </w:rPr>
        <w:t>Niepelt</w:t>
      </w:r>
      <w:r>
        <w:rPr>
          <w:spacing w:val="-4"/>
          <w:sz w:val="24"/>
        </w:rPr>
        <w:t> </w:t>
      </w:r>
      <w:r>
        <w:rPr>
          <w:sz w:val="24"/>
        </w:rPr>
        <w:t>(2021), </w:t>
      </w:r>
      <w:r>
        <w:rPr>
          <w:spacing w:val="-2"/>
          <w:sz w:val="24"/>
        </w:rPr>
        <w:t>17-22.</w:t>
      </w:r>
    </w:p>
    <w:p>
      <w:pPr>
        <w:pStyle w:val="BodyText"/>
      </w:pPr>
    </w:p>
    <w:p>
      <w:pPr>
        <w:pStyle w:val="BodyText"/>
        <w:ind w:left="935" w:hanging="720"/>
      </w:pPr>
      <w:r>
        <w:rPr/>
        <w:t>“</w:t>
      </w:r>
      <w:hyperlink r:id="rId40">
        <w:r>
          <w:rPr>
            <w:color w:val="1F487C"/>
          </w:rPr>
          <w:t>The</w:t>
        </w:r>
        <w:r>
          <w:rPr>
            <w:color w:val="1F487C"/>
            <w:spacing w:val="-5"/>
          </w:rPr>
          <w:t> </w:t>
        </w:r>
        <w:r>
          <w:rPr>
            <w:color w:val="1F487C"/>
          </w:rPr>
          <w:t>Liquidity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Coverage</w:t>
        </w:r>
        <w:r>
          <w:rPr>
            <w:color w:val="1F487C"/>
            <w:spacing w:val="-3"/>
          </w:rPr>
          <w:t> </w:t>
        </w:r>
        <w:r>
          <w:rPr>
            <w:color w:val="1F487C"/>
          </w:rPr>
          <w:t>Ratio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and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Monetary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Policy</w:t>
        </w:r>
        <w:r>
          <w:rPr>
            <w:color w:val="1F487C"/>
            <w:spacing w:val="-2"/>
          </w:rPr>
          <w:t> </w:t>
        </w:r>
        <w:r>
          <w:rPr>
            <w:color w:val="1F487C"/>
          </w:rPr>
          <w:t>Implementation</w:t>
        </w:r>
      </w:hyperlink>
      <w:r>
        <w:rPr/>
        <w:t>”</w:t>
      </w:r>
      <w:r>
        <w:rPr>
          <w:spacing w:val="-6"/>
        </w:rPr>
        <w:t> </w:t>
      </w:r>
      <w:r>
        <w:rPr/>
        <w:t>(with</w:t>
      </w:r>
      <w:r>
        <w:rPr>
          <w:spacing w:val="-4"/>
        </w:rPr>
        <w:t> </w:t>
      </w:r>
      <w:r>
        <w:rPr/>
        <w:t>Morten</w:t>
      </w:r>
      <w:r>
        <w:rPr>
          <w:spacing w:val="-4"/>
        </w:rPr>
        <w:t> </w:t>
      </w:r>
      <w:r>
        <w:rPr/>
        <w:t>Bech),</w:t>
      </w:r>
      <w:r>
        <w:rPr>
          <w:spacing w:val="-4"/>
        </w:rPr>
        <w:t> </w:t>
      </w:r>
      <w:r>
        <w:rPr>
          <w:i/>
        </w:rPr>
        <w:t>Banking Perspectives </w:t>
      </w:r>
      <w:r>
        <w:rPr/>
        <w:t>(2018, Quarter 2), 32-38.</w:t>
      </w:r>
    </w:p>
    <w:p>
      <w:pPr>
        <w:spacing w:before="274"/>
        <w:ind w:left="935" w:right="0" w:hanging="720"/>
        <w:jc w:val="left"/>
        <w:rPr>
          <w:sz w:val="24"/>
        </w:rPr>
      </w:pPr>
      <w:r>
        <w:rPr>
          <w:sz w:val="24"/>
        </w:rPr>
        <w:t>“</w:t>
      </w:r>
      <w:hyperlink r:id="rId41">
        <w:r>
          <w:rPr>
            <w:color w:val="1F487C"/>
            <w:sz w:val="24"/>
          </w:rPr>
          <w:t>The Interplay between Liquidity Regulation, Monetary Policy Implementation, and Financial</w:t>
        </w:r>
      </w:hyperlink>
      <w:r>
        <w:rPr>
          <w:color w:val="1F487C"/>
          <w:sz w:val="24"/>
        </w:rPr>
        <w:t> </w:t>
      </w:r>
      <w:hyperlink r:id="rId41">
        <w:r>
          <w:rPr>
            <w:color w:val="1F487C"/>
            <w:sz w:val="24"/>
          </w:rPr>
          <w:t>Stability</w:t>
        </w:r>
      </w:hyperlink>
      <w:r>
        <w:rPr>
          <w:sz w:val="24"/>
        </w:rPr>
        <w:t>,”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Achieving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Financial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Stability: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Challenges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Prudential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Regulation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Proceedings</w:t>
      </w:r>
    </w:p>
    <w:p>
      <w:pPr>
        <w:spacing w:after="0"/>
        <w:jc w:val="left"/>
        <w:rPr>
          <w:sz w:val="24"/>
        </w:rPr>
        <w:sectPr>
          <w:pgSz w:w="12240" w:h="15840"/>
          <w:pgMar w:header="792" w:footer="0" w:top="1000" w:bottom="280" w:left="1080" w:right="1080"/>
        </w:sectPr>
      </w:pPr>
    </w:p>
    <w:p>
      <w:pPr>
        <w:pStyle w:val="BodyText"/>
        <w:spacing w:before="181"/>
      </w:pPr>
    </w:p>
    <w:p>
      <w:pPr>
        <w:pStyle w:val="BodyText"/>
        <w:ind w:left="935" w:right="684"/>
      </w:pPr>
      <w:r>
        <w:rPr/>
        <w:t>of the 19th Annual International Banking Conference at the Federal Reserve Bank of Chicago,</w:t>
      </w:r>
      <w:r>
        <w:rPr>
          <w:spacing w:val="-4"/>
        </w:rPr>
        <w:t> </w:t>
      </w:r>
      <w:r>
        <w:rPr/>
        <w:t>ed.</w:t>
      </w:r>
      <w:r>
        <w:rPr>
          <w:spacing w:val="-4"/>
        </w:rPr>
        <w:t> </w:t>
      </w:r>
      <w:r>
        <w:rPr/>
        <w:t>D.</w:t>
      </w:r>
      <w:r>
        <w:rPr>
          <w:spacing w:val="-4"/>
        </w:rPr>
        <w:t> </w:t>
      </w:r>
      <w:r>
        <w:rPr/>
        <w:t>Evanoff,</w:t>
      </w:r>
      <w:r>
        <w:rPr>
          <w:spacing w:val="-2"/>
        </w:rPr>
        <w:t> </w:t>
      </w:r>
      <w:r>
        <w:rPr/>
        <w:t>G.</w:t>
      </w:r>
      <w:r>
        <w:rPr>
          <w:spacing w:val="-4"/>
        </w:rPr>
        <w:t> </w:t>
      </w:r>
      <w:r>
        <w:rPr/>
        <w:t>Kaufman,</w:t>
      </w:r>
      <w:r>
        <w:rPr>
          <w:spacing w:val="-2"/>
        </w:rPr>
        <w:t> </w:t>
      </w:r>
      <w:r>
        <w:rPr/>
        <w:t>A.</w:t>
      </w:r>
      <w:r>
        <w:rPr>
          <w:spacing w:val="-4"/>
        </w:rPr>
        <w:t> </w:t>
      </w:r>
      <w:r>
        <w:rPr/>
        <w:t>Leonello,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S.</w:t>
      </w:r>
      <w:r>
        <w:rPr>
          <w:spacing w:val="-4"/>
        </w:rPr>
        <w:t> </w:t>
      </w:r>
      <w:r>
        <w:rPr/>
        <w:t>Manganelli</w:t>
      </w:r>
      <w:r>
        <w:rPr>
          <w:spacing w:val="-4"/>
        </w:rPr>
        <w:t> </w:t>
      </w:r>
      <w:r>
        <w:rPr/>
        <w:t>(2018),</w:t>
      </w:r>
      <w:r>
        <w:rPr>
          <w:spacing w:val="-4"/>
        </w:rPr>
        <w:t> </w:t>
      </w:r>
      <w:r>
        <w:rPr/>
        <w:t>173-193.</w:t>
      </w:r>
    </w:p>
    <w:p>
      <w:pPr>
        <w:tabs>
          <w:tab w:pos="1295" w:val="left" w:leader="none"/>
        </w:tabs>
        <w:spacing w:before="161"/>
        <w:ind w:left="936" w:right="0" w:firstLine="0"/>
        <w:jc w:val="left"/>
        <w:rPr>
          <w:sz w:val="24"/>
        </w:rPr>
      </w:pPr>
      <w:r>
        <w:rPr>
          <w:spacing w:val="-10"/>
          <w:sz w:val="24"/>
        </w:rPr>
        <w:t>-</w:t>
      </w:r>
      <w:r>
        <w:rPr>
          <w:sz w:val="24"/>
        </w:rPr>
        <w:tab/>
        <w:t>reprinted</w:t>
      </w:r>
      <w:r>
        <w:rPr>
          <w:spacing w:val="-2"/>
          <w:sz w:val="24"/>
        </w:rPr>
        <w:t> </w:t>
      </w:r>
      <w:r>
        <w:rPr>
          <w:sz w:val="24"/>
        </w:rPr>
        <w:t>in:</w:t>
      </w:r>
      <w:r>
        <w:rPr>
          <w:spacing w:val="-1"/>
          <w:sz w:val="24"/>
        </w:rPr>
        <w:t> </w:t>
      </w:r>
      <w:r>
        <w:rPr>
          <w:i/>
          <w:sz w:val="24"/>
        </w:rPr>
        <w:t>Global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Finance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Vol.</w:t>
      </w:r>
      <w:r>
        <w:rPr>
          <w:spacing w:val="-1"/>
          <w:sz w:val="24"/>
        </w:rPr>
        <w:t> </w:t>
      </w:r>
      <w:r>
        <w:rPr>
          <w:sz w:val="24"/>
        </w:rPr>
        <w:t>39</w:t>
      </w:r>
      <w:r>
        <w:rPr>
          <w:spacing w:val="-2"/>
          <w:sz w:val="24"/>
        </w:rPr>
        <w:t> </w:t>
      </w:r>
      <w:r>
        <w:rPr>
          <w:sz w:val="24"/>
        </w:rPr>
        <w:t>(2019),</w:t>
      </w:r>
      <w:r>
        <w:rPr>
          <w:spacing w:val="-1"/>
          <w:sz w:val="24"/>
        </w:rPr>
        <w:t> </w:t>
      </w:r>
      <w:r>
        <w:rPr>
          <w:sz w:val="24"/>
        </w:rPr>
        <w:t>30-</w:t>
      </w:r>
      <w:r>
        <w:rPr>
          <w:spacing w:val="-5"/>
          <w:sz w:val="24"/>
        </w:rPr>
        <w:t>38.</w:t>
      </w:r>
    </w:p>
    <w:p>
      <w:pPr>
        <w:pStyle w:val="BodyText"/>
      </w:pPr>
    </w:p>
    <w:p>
      <w:pPr>
        <w:pStyle w:val="BodyText"/>
        <w:ind w:left="935" w:hanging="720"/>
      </w:pPr>
      <w:r>
        <w:rPr/>
        <w:t>“</w:t>
      </w:r>
      <w:hyperlink r:id="rId42">
        <w:r>
          <w:rPr>
            <w:color w:val="1F487C"/>
          </w:rPr>
          <w:t>Stability of Funding Models: An Analytical Framework</w:t>
        </w:r>
      </w:hyperlink>
      <w:r>
        <w:rPr/>
        <w:t>” (with Thomas Eisenbach, James McAndrews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Tanju</w:t>
      </w:r>
      <w:r>
        <w:rPr>
          <w:spacing w:val="-4"/>
        </w:rPr>
        <w:t> </w:t>
      </w:r>
      <w:r>
        <w:rPr/>
        <w:t>Yorulmazer),</w:t>
      </w:r>
      <w:r>
        <w:rPr>
          <w:spacing w:val="-4"/>
        </w:rPr>
        <w:t> </w:t>
      </w:r>
      <w:r>
        <w:rPr/>
        <w:t>Federal</w:t>
      </w:r>
      <w:r>
        <w:rPr>
          <w:spacing w:val="-4"/>
        </w:rPr>
        <w:t> </w:t>
      </w:r>
      <w:r>
        <w:rPr/>
        <w:t>Reserve</w:t>
      </w:r>
      <w:r>
        <w:rPr>
          <w:spacing w:val="-5"/>
        </w:rPr>
        <w:t> </w:t>
      </w:r>
      <w:r>
        <w:rPr/>
        <w:t>Bank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York</w:t>
      </w:r>
      <w:r>
        <w:rPr>
          <w:spacing w:val="-2"/>
        </w:rPr>
        <w:t> </w:t>
      </w:r>
      <w:r>
        <w:rPr>
          <w:i/>
        </w:rPr>
        <w:t>Economic</w:t>
      </w:r>
      <w:r>
        <w:rPr>
          <w:i/>
          <w:spacing w:val="-5"/>
        </w:rPr>
        <w:t> </w:t>
      </w:r>
      <w:r>
        <w:rPr>
          <w:i/>
        </w:rPr>
        <w:t>Policy Review</w:t>
      </w:r>
      <w:r>
        <w:rPr/>
        <w:t>, Vol. 20, No. 1 (2014), 29-47.</w:t>
      </w:r>
    </w:p>
    <w:p>
      <w:pPr>
        <w:pStyle w:val="BodyText"/>
      </w:pPr>
    </w:p>
    <w:p>
      <w:pPr>
        <w:pStyle w:val="BodyText"/>
        <w:ind w:left="935" w:right="98" w:hanging="660"/>
      </w:pPr>
      <w:r>
        <w:rPr/>
        <w:t>“</w:t>
      </w:r>
      <w:hyperlink r:id="rId43">
        <w:r>
          <w:rPr>
            <w:color w:val="1F487C"/>
          </w:rPr>
          <w:t>On the Economics of Committed Liquidity Facilities</w:t>
        </w:r>
      </w:hyperlink>
      <w:r>
        <w:rPr/>
        <w:t>” (with Morten Bech), in </w:t>
      </w:r>
      <w:r>
        <w:rPr>
          <w:i/>
        </w:rPr>
        <w:t>Liquidity and Funding</w:t>
      </w:r>
      <w:r>
        <w:rPr>
          <w:i/>
          <w:spacing w:val="-3"/>
        </w:rPr>
        <w:t> </w:t>
      </w:r>
      <w:r>
        <w:rPr>
          <w:i/>
        </w:rPr>
        <w:t>Markets</w:t>
      </w:r>
      <w:r>
        <w:rPr/>
        <w:t>,</w:t>
      </w:r>
      <w:r>
        <w:rPr>
          <w:spacing w:val="-3"/>
        </w:rPr>
        <w:t> </w:t>
      </w:r>
      <w:r>
        <w:rPr/>
        <w:t>ed.</w:t>
      </w:r>
      <w:r>
        <w:rPr>
          <w:spacing w:val="-3"/>
        </w:rPr>
        <w:t> </w:t>
      </w:r>
      <w:r>
        <w:rPr/>
        <w:t>A.</w:t>
      </w:r>
      <w:r>
        <w:rPr>
          <w:spacing w:val="-2"/>
        </w:rPr>
        <w:t> </w:t>
      </w:r>
      <w:r>
        <w:rPr/>
        <w:t>Heath,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Lilley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M.</w:t>
      </w:r>
      <w:r>
        <w:rPr>
          <w:spacing w:val="-2"/>
        </w:rPr>
        <w:t> </w:t>
      </w:r>
      <w:r>
        <w:rPr/>
        <w:t>Manning,</w:t>
      </w:r>
      <w:r>
        <w:rPr>
          <w:spacing w:val="-3"/>
        </w:rPr>
        <w:t> </w:t>
      </w:r>
      <w:r>
        <w:rPr/>
        <w:t>Reserve</w:t>
      </w:r>
      <w:r>
        <w:rPr>
          <w:spacing w:val="-4"/>
        </w:rPr>
        <w:t> </w:t>
      </w:r>
      <w:r>
        <w:rPr/>
        <w:t>Bank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Australia</w:t>
      </w:r>
      <w:r>
        <w:rPr>
          <w:spacing w:val="-4"/>
        </w:rPr>
        <w:t> </w:t>
      </w:r>
      <w:r>
        <w:rPr/>
        <w:t>(2013) </w:t>
      </w:r>
      <w:r>
        <w:rPr>
          <w:spacing w:val="-2"/>
        </w:rPr>
        <w:t>183-206.</w:t>
      </w:r>
    </w:p>
    <w:p>
      <w:pPr>
        <w:pStyle w:val="BodyText"/>
      </w:pPr>
    </w:p>
    <w:p>
      <w:pPr>
        <w:pStyle w:val="BodyText"/>
        <w:ind w:left="935" w:right="144" w:hanging="720"/>
      </w:pPr>
      <w:r>
        <w:rPr/>
        <w:t>“</w:t>
      </w:r>
      <w:hyperlink r:id="rId44">
        <w:r>
          <w:rPr>
            <w:color w:val="1F487C"/>
          </w:rPr>
          <w:t>On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the</w:t>
        </w:r>
        <w:r>
          <w:rPr>
            <w:color w:val="1F487C"/>
            <w:spacing w:val="-5"/>
          </w:rPr>
          <w:t> </w:t>
        </w:r>
        <w:r>
          <w:rPr>
            <w:color w:val="1F487C"/>
          </w:rPr>
          <w:t>Liquidity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Coverage</w:t>
        </w:r>
        <w:r>
          <w:rPr>
            <w:color w:val="1F487C"/>
            <w:spacing w:val="-5"/>
          </w:rPr>
          <w:t> </w:t>
        </w:r>
        <w:r>
          <w:rPr>
            <w:color w:val="1F487C"/>
          </w:rPr>
          <w:t>Ratio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and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Monetary</w:t>
        </w:r>
        <w:r>
          <w:rPr>
            <w:color w:val="1F487C"/>
            <w:spacing w:val="-2"/>
          </w:rPr>
          <w:t> </w:t>
        </w:r>
        <w:r>
          <w:rPr>
            <w:color w:val="1F487C"/>
          </w:rPr>
          <w:t>Policy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Implementation”</w:t>
        </w:r>
      </w:hyperlink>
      <w:r>
        <w:rPr>
          <w:color w:val="1F487C"/>
          <w:spacing w:val="-6"/>
        </w:rPr>
        <w:t> </w:t>
      </w:r>
      <w:r>
        <w:rPr/>
        <w:t>(with</w:t>
      </w:r>
      <w:r>
        <w:rPr>
          <w:spacing w:val="-4"/>
        </w:rPr>
        <w:t> </w:t>
      </w:r>
      <w:r>
        <w:rPr/>
        <w:t>Morten</w:t>
      </w:r>
      <w:r>
        <w:rPr>
          <w:spacing w:val="-4"/>
        </w:rPr>
        <w:t> </w:t>
      </w:r>
      <w:r>
        <w:rPr/>
        <w:t>Bech),</w:t>
      </w:r>
      <w:r>
        <w:rPr>
          <w:spacing w:val="-4"/>
        </w:rPr>
        <w:t> </w:t>
      </w:r>
      <w:r>
        <w:rPr/>
        <w:t>Bank for International Settlements </w:t>
      </w:r>
      <w:r>
        <w:rPr>
          <w:i/>
        </w:rPr>
        <w:t>Quarterly Review</w:t>
      </w:r>
      <w:r>
        <w:rPr/>
        <w:t>, (Dec. 2012), 49-61.</w:t>
      </w:r>
    </w:p>
    <w:p>
      <w:pPr>
        <w:pStyle w:val="BodyText"/>
        <w:spacing w:before="46"/>
      </w:pPr>
    </w:p>
    <w:p>
      <w:pPr>
        <w:pStyle w:val="BodyText"/>
        <w:ind w:left="936" w:hanging="720"/>
      </w:pPr>
      <w:r>
        <w:rPr/>
        <w:t>“</w:t>
      </w:r>
      <w:hyperlink r:id="rId45">
        <w:r>
          <w:rPr>
            <w:color w:val="1F487C"/>
          </w:rPr>
          <w:t>On</w:t>
        </w:r>
        <w:r>
          <w:rPr>
            <w:color w:val="1F487C"/>
            <w:spacing w:val="-3"/>
          </w:rPr>
          <w:t> </w:t>
        </w:r>
        <w:r>
          <w:rPr>
            <w:color w:val="1F487C"/>
          </w:rPr>
          <w:t>the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Fundamental</w:t>
        </w:r>
        <w:r>
          <w:rPr>
            <w:color w:val="1F487C"/>
            <w:spacing w:val="-3"/>
          </w:rPr>
          <w:t> </w:t>
        </w:r>
        <w:r>
          <w:rPr>
            <w:color w:val="1F487C"/>
          </w:rPr>
          <w:t>Reasons</w:t>
        </w:r>
        <w:r>
          <w:rPr>
            <w:color w:val="1F487C"/>
            <w:spacing w:val="-3"/>
          </w:rPr>
          <w:t> </w:t>
        </w:r>
        <w:r>
          <w:rPr>
            <w:color w:val="1F487C"/>
          </w:rPr>
          <w:t>for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Bank</w:t>
        </w:r>
        <w:r>
          <w:rPr>
            <w:color w:val="1F487C"/>
            <w:spacing w:val="-2"/>
          </w:rPr>
          <w:t> </w:t>
        </w:r>
        <w:r>
          <w:rPr>
            <w:color w:val="1F487C"/>
          </w:rPr>
          <w:t>Fragility</w:t>
        </w:r>
      </w:hyperlink>
      <w:r>
        <w:rPr/>
        <w:t>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Huberto</w:t>
      </w:r>
      <w:r>
        <w:rPr>
          <w:spacing w:val="-3"/>
        </w:rPr>
        <w:t> </w:t>
      </w:r>
      <w:r>
        <w:rPr/>
        <w:t>Ennis),</w:t>
      </w:r>
      <w:r>
        <w:rPr>
          <w:spacing w:val="-2"/>
        </w:rPr>
        <w:t> </w:t>
      </w:r>
      <w:r>
        <w:rPr/>
        <w:t>Federal</w:t>
      </w:r>
      <w:r>
        <w:rPr>
          <w:spacing w:val="-3"/>
        </w:rPr>
        <w:t> </w:t>
      </w:r>
      <w:r>
        <w:rPr/>
        <w:t>Reserve</w:t>
      </w:r>
      <w:r>
        <w:rPr>
          <w:spacing w:val="-4"/>
        </w:rPr>
        <w:t> </w:t>
      </w:r>
      <w:r>
        <w:rPr/>
        <w:t>Bank</w:t>
      </w:r>
      <w:r>
        <w:rPr>
          <w:spacing w:val="-3"/>
        </w:rPr>
        <w:t> </w:t>
      </w:r>
      <w:r>
        <w:rPr/>
        <w:t>of Richmond </w:t>
      </w:r>
      <w:r>
        <w:rPr>
          <w:i/>
        </w:rPr>
        <w:t>Economic Quarterly</w:t>
      </w:r>
      <w:r>
        <w:rPr/>
        <w:t>, Vol. 96, No. 1 (2010), 35-58.</w:t>
      </w:r>
    </w:p>
    <w:p>
      <w:pPr>
        <w:pStyle w:val="BodyText"/>
      </w:pPr>
    </w:p>
    <w:p>
      <w:pPr>
        <w:spacing w:before="0"/>
        <w:ind w:left="935" w:right="412" w:hanging="720"/>
        <w:jc w:val="left"/>
        <w:rPr>
          <w:sz w:val="24"/>
        </w:rPr>
      </w:pPr>
      <w:r>
        <w:rPr>
          <w:sz w:val="24"/>
        </w:rPr>
        <w:t>“</w:t>
      </w:r>
      <w:hyperlink r:id="rId46">
        <w:r>
          <w:rPr>
            <w:color w:val="1F487C"/>
            <w:sz w:val="24"/>
          </w:rPr>
          <w:t>Why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are</w:t>
        </w:r>
        <w:r>
          <w:rPr>
            <w:color w:val="1F487C"/>
            <w:spacing w:val="-5"/>
            <w:sz w:val="24"/>
          </w:rPr>
          <w:t> </w:t>
        </w:r>
        <w:r>
          <w:rPr>
            <w:color w:val="1F487C"/>
            <w:sz w:val="24"/>
          </w:rPr>
          <w:t>Banks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Holding</w:t>
        </w:r>
        <w:r>
          <w:rPr>
            <w:color w:val="1F487C"/>
            <w:spacing w:val="-2"/>
            <w:sz w:val="24"/>
          </w:rPr>
          <w:t> </w:t>
        </w:r>
        <w:r>
          <w:rPr>
            <w:color w:val="1F487C"/>
            <w:sz w:val="24"/>
          </w:rPr>
          <w:t>So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Many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Excess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Reserves?</w:t>
        </w:r>
      </w:hyperlink>
      <w:r>
        <w:rPr>
          <w:sz w:val="24"/>
        </w:rPr>
        <w:t>”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Jamie</w:t>
      </w:r>
      <w:r>
        <w:rPr>
          <w:spacing w:val="-5"/>
          <w:sz w:val="24"/>
        </w:rPr>
        <w:t> </w:t>
      </w:r>
      <w:r>
        <w:rPr>
          <w:sz w:val="24"/>
        </w:rPr>
        <w:t>McAndrews),</w:t>
      </w:r>
      <w:r>
        <w:rPr>
          <w:spacing w:val="-2"/>
          <w:sz w:val="24"/>
        </w:rPr>
        <w:t> </w:t>
      </w:r>
      <w:r>
        <w:rPr>
          <w:sz w:val="24"/>
        </w:rPr>
        <w:t>Federal</w:t>
      </w:r>
      <w:r>
        <w:rPr>
          <w:spacing w:val="-4"/>
          <w:sz w:val="24"/>
        </w:rPr>
        <w:t> </w:t>
      </w:r>
      <w:r>
        <w:rPr>
          <w:sz w:val="24"/>
        </w:rPr>
        <w:t>Reserve Bank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York</w:t>
      </w:r>
      <w:r>
        <w:rPr>
          <w:spacing w:val="-1"/>
          <w:sz w:val="24"/>
        </w:rPr>
        <w:t> </w:t>
      </w:r>
      <w:r>
        <w:rPr>
          <w:i/>
          <w:sz w:val="24"/>
        </w:rPr>
        <w:t>Current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Issues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Finance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Vol.</w:t>
      </w:r>
      <w:r>
        <w:rPr>
          <w:spacing w:val="-2"/>
          <w:sz w:val="24"/>
        </w:rPr>
        <w:t> </w:t>
      </w:r>
      <w:r>
        <w:rPr>
          <w:sz w:val="24"/>
        </w:rPr>
        <w:t>15,</w:t>
      </w:r>
      <w:r>
        <w:rPr>
          <w:spacing w:val="-1"/>
          <w:sz w:val="24"/>
        </w:rPr>
        <w:t> </w:t>
      </w:r>
      <w:r>
        <w:rPr>
          <w:sz w:val="24"/>
        </w:rPr>
        <w:t>No.</w:t>
      </w:r>
      <w:r>
        <w:rPr>
          <w:spacing w:val="-2"/>
          <w:sz w:val="24"/>
        </w:rPr>
        <w:t> </w:t>
      </w:r>
      <w:r>
        <w:rPr>
          <w:sz w:val="24"/>
        </w:rPr>
        <w:t>8</w:t>
      </w:r>
      <w:r>
        <w:rPr>
          <w:spacing w:val="-1"/>
          <w:sz w:val="24"/>
        </w:rPr>
        <w:t> </w:t>
      </w:r>
      <w:r>
        <w:rPr>
          <w:sz w:val="24"/>
        </w:rPr>
        <w:t>(Dec.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2009).</w:t>
      </w:r>
    </w:p>
    <w:p>
      <w:pPr>
        <w:pStyle w:val="BodyText"/>
      </w:pPr>
    </w:p>
    <w:p>
      <w:pPr>
        <w:pStyle w:val="BodyText"/>
        <w:ind w:left="935" w:hanging="720"/>
      </w:pPr>
      <w:r>
        <w:rPr/>
        <w:t>“</w:t>
      </w:r>
      <w:hyperlink r:id="rId47">
        <w:r>
          <w:rPr>
            <w:color w:val="1F487C"/>
          </w:rPr>
          <w:t>Divorcing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Money</w:t>
        </w:r>
        <w:r>
          <w:rPr>
            <w:color w:val="1F487C"/>
            <w:spacing w:val="-2"/>
          </w:rPr>
          <w:t> </w:t>
        </w:r>
        <w:r>
          <w:rPr>
            <w:color w:val="1F487C"/>
          </w:rPr>
          <w:t>from</w:t>
        </w:r>
        <w:r>
          <w:rPr>
            <w:color w:val="1F487C"/>
            <w:spacing w:val="-2"/>
          </w:rPr>
          <w:t> </w:t>
        </w:r>
        <w:r>
          <w:rPr>
            <w:color w:val="1F487C"/>
          </w:rPr>
          <w:t>Monetary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Policy</w:t>
        </w:r>
      </w:hyperlink>
      <w:r>
        <w:rPr/>
        <w:t>”</w:t>
      </w:r>
      <w:r>
        <w:rPr>
          <w:spacing w:val="-5"/>
        </w:rPr>
        <w:t> </w:t>
      </w:r>
      <w:r>
        <w:rPr/>
        <w:t>(with</w:t>
      </w:r>
      <w:r>
        <w:rPr>
          <w:spacing w:val="-2"/>
        </w:rPr>
        <w:t> </w:t>
      </w:r>
      <w:r>
        <w:rPr/>
        <w:t>Antoine</w:t>
      </w:r>
      <w:r>
        <w:rPr>
          <w:spacing w:val="-5"/>
        </w:rPr>
        <w:t> </w:t>
      </w:r>
      <w:r>
        <w:rPr/>
        <w:t>Martin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James</w:t>
      </w:r>
      <w:r>
        <w:rPr>
          <w:spacing w:val="-4"/>
        </w:rPr>
        <w:t> </w:t>
      </w:r>
      <w:r>
        <w:rPr/>
        <w:t>McAndrews),</w:t>
      </w:r>
      <w:r>
        <w:rPr>
          <w:spacing w:val="-4"/>
        </w:rPr>
        <w:t> </w:t>
      </w:r>
      <w:r>
        <w:rPr/>
        <w:t>Federal Reserve Bank of New York </w:t>
      </w:r>
      <w:r>
        <w:rPr>
          <w:i/>
        </w:rPr>
        <w:t>Economic Policy Review</w:t>
      </w:r>
      <w:r>
        <w:rPr/>
        <w:t>, Vol. 14, No. 2 (2008), 41-56.</w:t>
      </w:r>
    </w:p>
    <w:p>
      <w:pPr>
        <w:pStyle w:val="BodyText"/>
      </w:pPr>
    </w:p>
    <w:p>
      <w:pPr>
        <w:pStyle w:val="BodyText"/>
        <w:ind w:left="935" w:hanging="720"/>
      </w:pPr>
      <w:r>
        <w:rPr/>
        <w:t>“</w:t>
      </w:r>
      <w:hyperlink r:id="rId48">
        <w:r>
          <w:rPr>
            <w:color w:val="1F487C"/>
          </w:rPr>
          <w:t>Understanding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Monetary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Policy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Implementation</w:t>
        </w:r>
      </w:hyperlink>
      <w:r>
        <w:rPr/>
        <w:t>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Huberto</w:t>
      </w:r>
      <w:r>
        <w:rPr>
          <w:spacing w:val="-4"/>
        </w:rPr>
        <w:t> </w:t>
      </w:r>
      <w:r>
        <w:rPr/>
        <w:t>Ennis),</w:t>
      </w:r>
      <w:r>
        <w:rPr>
          <w:spacing w:val="-3"/>
        </w:rPr>
        <w:t> </w:t>
      </w:r>
      <w:r>
        <w:rPr/>
        <w:t>Federal</w:t>
      </w:r>
      <w:r>
        <w:rPr>
          <w:spacing w:val="-4"/>
        </w:rPr>
        <w:t> </w:t>
      </w:r>
      <w:r>
        <w:rPr/>
        <w:t>Reserve</w:t>
      </w:r>
      <w:r>
        <w:rPr>
          <w:spacing w:val="-5"/>
        </w:rPr>
        <w:t> </w:t>
      </w:r>
      <w:r>
        <w:rPr/>
        <w:t>Bank</w:t>
      </w:r>
      <w:r>
        <w:rPr>
          <w:spacing w:val="-4"/>
        </w:rPr>
        <w:t> </w:t>
      </w:r>
      <w:r>
        <w:rPr/>
        <w:t>of Richmond </w:t>
      </w:r>
      <w:r>
        <w:rPr>
          <w:i/>
        </w:rPr>
        <w:t>Economic Quarterly</w:t>
      </w:r>
      <w:r>
        <w:rPr/>
        <w:t>, Vol. 94, No. 3 (Summer 2008), 235-263.</w:t>
      </w:r>
    </w:p>
    <w:p>
      <w:pPr>
        <w:pStyle w:val="BodyText"/>
      </w:pPr>
    </w:p>
    <w:p>
      <w:pPr>
        <w:pStyle w:val="BodyText"/>
        <w:ind w:left="936" w:hanging="720"/>
      </w:pPr>
      <w:r>
        <w:rPr/>
        <w:t>“</w:t>
      </w:r>
      <w:hyperlink r:id="rId49">
        <w:r>
          <w:rPr>
            <w:color w:val="1F487C"/>
          </w:rPr>
          <w:t>Dollarization as a Monetary Arrangement for Emerging Market Economies</w:t>
        </w:r>
      </w:hyperlink>
      <w:r>
        <w:rPr/>
        <w:t>” (with Gaetano Antinolfi),</w:t>
      </w:r>
      <w:r>
        <w:rPr>
          <w:spacing w:val="-4"/>
        </w:rPr>
        <w:t> </w:t>
      </w:r>
      <w:r>
        <w:rPr/>
        <w:t>Federal</w:t>
      </w:r>
      <w:r>
        <w:rPr>
          <w:spacing w:val="-4"/>
        </w:rPr>
        <w:t> </w:t>
      </w:r>
      <w:r>
        <w:rPr/>
        <w:t>Reserve</w:t>
      </w:r>
      <w:r>
        <w:rPr>
          <w:spacing w:val="-5"/>
        </w:rPr>
        <w:t> </w:t>
      </w:r>
      <w:r>
        <w:rPr/>
        <w:t>Bank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St.</w:t>
      </w:r>
      <w:r>
        <w:rPr>
          <w:spacing w:val="-4"/>
        </w:rPr>
        <w:t> </w:t>
      </w:r>
      <w:r>
        <w:rPr/>
        <w:t>Louis</w:t>
      </w:r>
      <w:r>
        <w:rPr>
          <w:spacing w:val="-4"/>
        </w:rPr>
        <w:t> </w:t>
      </w:r>
      <w:r>
        <w:rPr>
          <w:i/>
        </w:rPr>
        <w:t>Review</w:t>
      </w:r>
      <w:r>
        <w:rPr/>
        <w:t>,</w:t>
      </w:r>
      <w:r>
        <w:rPr>
          <w:spacing w:val="-4"/>
        </w:rPr>
        <w:t> </w:t>
      </w:r>
      <w:r>
        <w:rPr/>
        <w:t>Vol.</w:t>
      </w:r>
      <w:r>
        <w:rPr>
          <w:spacing w:val="-4"/>
        </w:rPr>
        <w:t> </w:t>
      </w:r>
      <w:r>
        <w:rPr/>
        <w:t>83</w:t>
      </w:r>
      <w:r>
        <w:rPr>
          <w:spacing w:val="-4"/>
        </w:rPr>
        <w:t> </w:t>
      </w:r>
      <w:r>
        <w:rPr/>
        <w:t>(Nov./Dec.</w:t>
      </w:r>
      <w:r>
        <w:rPr>
          <w:spacing w:val="-2"/>
        </w:rPr>
        <w:t> </w:t>
      </w:r>
      <w:r>
        <w:rPr/>
        <w:t>2001),</w:t>
      </w:r>
      <w:r>
        <w:rPr>
          <w:spacing w:val="-4"/>
        </w:rPr>
        <w:t> </w:t>
      </w:r>
      <w:r>
        <w:rPr/>
        <w:t>29-39.</w:t>
      </w:r>
    </w:p>
    <w:p>
      <w:pPr>
        <w:pStyle w:val="BodyText"/>
      </w:pPr>
    </w:p>
    <w:p>
      <w:pPr>
        <w:tabs>
          <w:tab w:pos="1295" w:val="left" w:leader="none"/>
        </w:tabs>
        <w:spacing w:before="0"/>
        <w:ind w:left="1296" w:right="338" w:hanging="360"/>
        <w:jc w:val="left"/>
        <w:rPr>
          <w:sz w:val="24"/>
        </w:rPr>
      </w:pPr>
      <w:r>
        <w:rPr>
          <w:spacing w:val="-10"/>
          <w:sz w:val="24"/>
        </w:rPr>
        <w:t>-</w:t>
      </w:r>
      <w:r>
        <w:rPr>
          <w:sz w:val="24"/>
        </w:rPr>
        <w:tab/>
        <w:t>reprinted</w:t>
      </w:r>
      <w:r>
        <w:rPr>
          <w:spacing w:val="-4"/>
          <w:sz w:val="24"/>
        </w:rPr>
        <w:t> </w:t>
      </w:r>
      <w:r>
        <w:rPr>
          <w:sz w:val="24"/>
        </w:rPr>
        <w:t>in:</w:t>
      </w:r>
      <w:r>
        <w:rPr>
          <w:spacing w:val="-4"/>
          <w:sz w:val="24"/>
        </w:rPr>
        <w:t> </w:t>
      </w:r>
      <w:r>
        <w:rPr>
          <w:sz w:val="24"/>
        </w:rPr>
        <w:t>(i)</w:t>
      </w:r>
      <w:r>
        <w:rPr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Policy: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Reader</w:t>
      </w:r>
      <w:r>
        <w:rPr>
          <w:sz w:val="24"/>
        </w:rPr>
        <w:t>, 4</w:t>
      </w:r>
      <w:r>
        <w:rPr>
          <w:sz w:val="24"/>
          <w:vertAlign w:val="superscript"/>
        </w:rPr>
        <w:t>th</w:t>
      </w:r>
      <w:r>
        <w:rPr>
          <w:sz w:val="24"/>
          <w:vertAlign w:val="baseline"/>
        </w:rPr>
        <w:t> Edition, Philip King, editor, McGraw-Hill, 2005; (ii) </w:t>
      </w:r>
      <w:r>
        <w:rPr>
          <w:i/>
          <w:sz w:val="24"/>
          <w:vertAlign w:val="baseline"/>
        </w:rPr>
        <w:t>Problèmes économiques</w:t>
      </w:r>
      <w:r>
        <w:rPr>
          <w:sz w:val="24"/>
          <w:vertAlign w:val="baseline"/>
        </w:rPr>
        <w:t>, No.</w:t>
      </w:r>
    </w:p>
    <w:p>
      <w:pPr>
        <w:pStyle w:val="BodyText"/>
        <w:ind w:left="1295"/>
      </w:pPr>
      <w:r>
        <w:rPr/>
        <w:t>2.748,</w:t>
      </w:r>
      <w:r>
        <w:rPr>
          <w:spacing w:val="-4"/>
        </w:rPr>
        <w:t> </w:t>
      </w:r>
      <w:r>
        <w:rPr/>
        <w:t>February</w:t>
      </w:r>
      <w:r>
        <w:rPr>
          <w:spacing w:val="-1"/>
        </w:rPr>
        <w:t> </w:t>
      </w:r>
      <w:r>
        <w:rPr/>
        <w:t>2002</w:t>
      </w:r>
      <w:r>
        <w:rPr>
          <w:spacing w:val="-1"/>
        </w:rPr>
        <w:t> </w:t>
      </w:r>
      <w:r>
        <w:rPr/>
        <w:t>(in French);</w:t>
      </w:r>
      <w:r>
        <w:rPr>
          <w:spacing w:val="-1"/>
        </w:rPr>
        <w:t> </w:t>
      </w:r>
      <w:r>
        <w:rPr/>
        <w:t>(iii)</w:t>
      </w:r>
      <w:r>
        <w:rPr>
          <w:spacing w:val="-2"/>
        </w:rPr>
        <w:t> </w:t>
      </w:r>
      <w:r>
        <w:rPr>
          <w:i/>
        </w:rPr>
        <w:t>Active</w:t>
      </w:r>
      <w:r>
        <w:rPr>
          <w:i/>
          <w:spacing w:val="-3"/>
        </w:rPr>
        <w:t> </w:t>
      </w:r>
      <w:r>
        <w:rPr>
          <w:i/>
        </w:rPr>
        <w:t>economi</w:t>
      </w:r>
      <w:r>
        <w:rPr/>
        <w:t>,</w:t>
      </w:r>
      <w:r>
        <w:rPr>
          <w:spacing w:val="-1"/>
        </w:rPr>
        <w:t> </w:t>
      </w:r>
      <w:r>
        <w:rPr/>
        <w:t>2002</w:t>
      </w:r>
      <w:r>
        <w:rPr>
          <w:spacing w:val="-1"/>
        </w:rPr>
        <w:t> </w:t>
      </w:r>
      <w:r>
        <w:rPr/>
        <w:t>(in</w:t>
      </w:r>
      <w:r>
        <w:rPr>
          <w:spacing w:val="-1"/>
        </w:rPr>
        <w:t> </w:t>
      </w:r>
      <w:r>
        <w:rPr>
          <w:spacing w:val="-2"/>
        </w:rPr>
        <w:t>Turkish).</w:t>
      </w:r>
    </w:p>
    <w:p>
      <w:pPr>
        <w:pStyle w:val="BodyText"/>
        <w:spacing w:before="197"/>
      </w:pPr>
    </w:p>
    <w:p>
      <w:pPr>
        <w:spacing w:before="0"/>
        <w:ind w:left="215" w:right="0" w:firstLine="0"/>
        <w:jc w:val="left"/>
        <w:rPr>
          <w:i/>
          <w:sz w:val="22"/>
        </w:rPr>
      </w:pPr>
      <w:bookmarkStart w:name="congressional testimony" w:id="9"/>
      <w:bookmarkEnd w:id="9"/>
      <w:r>
        <w:rPr/>
      </w:r>
      <w:hyperlink r:id="rId50">
        <w:r>
          <w:rPr>
            <w:i/>
            <w:color w:val="1F487C"/>
            <w:sz w:val="22"/>
          </w:rPr>
          <w:t>CONGRESSIONAL</w:t>
        </w:r>
        <w:r>
          <w:rPr>
            <w:i/>
            <w:color w:val="1F487C"/>
            <w:spacing w:val="-13"/>
            <w:sz w:val="22"/>
          </w:rPr>
          <w:t> </w:t>
        </w:r>
        <w:r>
          <w:rPr>
            <w:i/>
            <w:color w:val="1F487C"/>
            <w:spacing w:val="-2"/>
            <w:sz w:val="22"/>
          </w:rPr>
          <w:t>TESTIMONY</w:t>
        </w:r>
      </w:hyperlink>
    </w:p>
    <w:p>
      <w:pPr>
        <w:pStyle w:val="BodyText"/>
        <w:spacing w:before="34"/>
        <w:rPr>
          <w:i/>
          <w:sz w:val="22"/>
        </w:rPr>
      </w:pPr>
    </w:p>
    <w:p>
      <w:pPr>
        <w:pStyle w:val="BodyText"/>
        <w:ind w:left="936" w:hanging="720"/>
      </w:pPr>
      <w:r>
        <w:rPr/>
        <w:t>“</w:t>
      </w:r>
      <w:hyperlink r:id="rId51">
        <w:r>
          <w:rPr>
            <w:color w:val="1F487C"/>
          </w:rPr>
          <w:t>Interest</w:t>
        </w:r>
        <w:r>
          <w:rPr>
            <w:color w:val="1F487C"/>
            <w:spacing w:val="-3"/>
          </w:rPr>
          <w:t> </w:t>
        </w:r>
        <w:r>
          <w:rPr>
            <w:color w:val="1F487C"/>
          </w:rPr>
          <w:t>on</w:t>
        </w:r>
        <w:r>
          <w:rPr>
            <w:color w:val="1F487C"/>
            <w:spacing w:val="-3"/>
          </w:rPr>
          <w:t> </w:t>
        </w:r>
        <w:r>
          <w:rPr>
            <w:color w:val="1F487C"/>
          </w:rPr>
          <w:t>Reserves</w:t>
        </w:r>
        <w:r>
          <w:rPr/>
          <w:t>,</w:t>
        </w:r>
      </w:hyperlink>
      <w:r>
        <w:rPr/>
        <w:t>”</w:t>
      </w:r>
      <w:r>
        <w:rPr>
          <w:spacing w:val="-4"/>
        </w:rPr>
        <w:t> </w:t>
      </w:r>
      <w:r>
        <w:rPr/>
        <w:t>Testimony</w:t>
      </w:r>
      <w:r>
        <w:rPr>
          <w:spacing w:val="-3"/>
        </w:rPr>
        <w:t> </w:t>
      </w:r>
      <w:r>
        <w:rPr/>
        <w:t>before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United</w:t>
      </w:r>
      <w:r>
        <w:rPr>
          <w:spacing w:val="-3"/>
        </w:rPr>
        <w:t> </w:t>
      </w:r>
      <w:r>
        <w:rPr/>
        <w:t>States</w:t>
      </w:r>
      <w:r>
        <w:rPr>
          <w:spacing w:val="-3"/>
        </w:rPr>
        <w:t> </w:t>
      </w:r>
      <w:r>
        <w:rPr/>
        <w:t>House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Representatives,</w:t>
      </w:r>
      <w:r>
        <w:rPr>
          <w:spacing w:val="-3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on Financial Services, Subcommittee on Monetary Policy and Trade, May 17, 2016.</w:t>
      </w:r>
    </w:p>
    <w:p>
      <w:pPr>
        <w:pStyle w:val="BodyText"/>
        <w:spacing w:before="194"/>
      </w:pPr>
    </w:p>
    <w:p>
      <w:pPr>
        <w:spacing w:before="0"/>
        <w:ind w:left="215" w:right="0" w:firstLine="0"/>
        <w:jc w:val="left"/>
        <w:rPr>
          <w:i/>
          <w:sz w:val="22"/>
        </w:rPr>
      </w:pPr>
      <w:bookmarkStart w:name="comments and discussions" w:id="10"/>
      <w:bookmarkEnd w:id="10"/>
      <w:r>
        <w:rPr/>
      </w:r>
      <w:hyperlink r:id="rId52">
        <w:r>
          <w:rPr>
            <w:i/>
            <w:color w:val="1F487C"/>
            <w:sz w:val="22"/>
          </w:rPr>
          <w:t>COMMENTS</w:t>
        </w:r>
        <w:r>
          <w:rPr>
            <w:i/>
            <w:color w:val="1F487C"/>
            <w:spacing w:val="-5"/>
            <w:sz w:val="22"/>
          </w:rPr>
          <w:t> </w:t>
        </w:r>
        <w:r>
          <w:rPr>
            <w:i/>
            <w:color w:val="1F487C"/>
            <w:sz w:val="22"/>
          </w:rPr>
          <w:t>AND</w:t>
        </w:r>
        <w:r>
          <w:rPr>
            <w:i/>
            <w:color w:val="1F487C"/>
            <w:spacing w:val="-4"/>
            <w:sz w:val="22"/>
          </w:rPr>
          <w:t> </w:t>
        </w:r>
        <w:r>
          <w:rPr>
            <w:i/>
            <w:color w:val="1F487C"/>
            <w:spacing w:val="-2"/>
            <w:sz w:val="22"/>
          </w:rPr>
          <w:t>DISCUSSIONS</w:t>
        </w:r>
      </w:hyperlink>
    </w:p>
    <w:p>
      <w:pPr>
        <w:pStyle w:val="BodyText"/>
        <w:spacing w:before="35"/>
        <w:rPr>
          <w:i/>
          <w:sz w:val="22"/>
        </w:rPr>
      </w:pPr>
    </w:p>
    <w:p>
      <w:pPr>
        <w:pStyle w:val="BodyText"/>
        <w:ind w:left="936" w:right="144" w:hanging="720"/>
      </w:pPr>
      <w:r>
        <w:rPr/>
        <w:t>“</w:t>
      </w:r>
      <w:hyperlink r:id="rId53">
        <w:r>
          <w:rPr>
            <w:color w:val="1F487C"/>
          </w:rPr>
          <w:t>The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Economics</w:t>
        </w:r>
        <w:r>
          <w:rPr>
            <w:color w:val="1F487C"/>
            <w:spacing w:val="-3"/>
          </w:rPr>
          <w:t> </w:t>
        </w:r>
        <w:r>
          <w:rPr>
            <w:color w:val="1F487C"/>
          </w:rPr>
          <w:t>of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Digital</w:t>
        </w:r>
        <w:r>
          <w:rPr>
            <w:color w:val="1F487C"/>
            <w:spacing w:val="-3"/>
          </w:rPr>
          <w:t> </w:t>
        </w:r>
        <w:r>
          <w:rPr>
            <w:color w:val="1F487C"/>
          </w:rPr>
          <w:t>Currencies:</w:t>
        </w:r>
        <w:r>
          <w:rPr>
            <w:color w:val="1F487C"/>
            <w:spacing w:val="-3"/>
          </w:rPr>
          <w:t> </w:t>
        </w:r>
        <w:r>
          <w:rPr>
            <w:color w:val="1F487C"/>
          </w:rPr>
          <w:t>Progress</w:t>
        </w:r>
        <w:r>
          <w:rPr>
            <w:color w:val="1F487C"/>
            <w:spacing w:val="-3"/>
          </w:rPr>
          <w:t> </w:t>
        </w:r>
        <w:r>
          <w:rPr>
            <w:color w:val="1F487C"/>
          </w:rPr>
          <w:t>and</w:t>
        </w:r>
        <w:r>
          <w:rPr>
            <w:color w:val="1F487C"/>
            <w:spacing w:val="-3"/>
          </w:rPr>
          <w:t> </w:t>
        </w:r>
        <w:r>
          <w:rPr>
            <w:color w:val="1F487C"/>
          </w:rPr>
          <w:t>Open</w:t>
        </w:r>
        <w:r>
          <w:rPr>
            <w:color w:val="1F487C"/>
            <w:spacing w:val="-3"/>
          </w:rPr>
          <w:t> </w:t>
        </w:r>
        <w:r>
          <w:rPr>
            <w:color w:val="1F487C"/>
          </w:rPr>
          <w:t>Questions</w:t>
        </w:r>
      </w:hyperlink>
      <w:r>
        <w:rPr/>
        <w:t>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Jonathan</w:t>
      </w:r>
      <w:r>
        <w:rPr>
          <w:spacing w:val="-3"/>
        </w:rPr>
        <w:t> </w:t>
      </w:r>
      <w:r>
        <w:rPr/>
        <w:t>Chiu),</w:t>
      </w:r>
      <w:r>
        <w:rPr>
          <w:spacing w:val="-3"/>
        </w:rPr>
        <w:t> </w:t>
      </w:r>
      <w:r>
        <w:rPr>
          <w:i/>
        </w:rPr>
        <w:t>Journal of Economic Dynamics and Control</w:t>
      </w:r>
      <w:r>
        <w:rPr/>
        <w:t>, Vol. 142 (2022), article 104496. Introduction to the special issue: </w:t>
      </w:r>
      <w:hyperlink r:id="rId14">
        <w:r>
          <w:rPr>
            <w:color w:val="1F487C"/>
          </w:rPr>
          <w:t>The Economics of Digital Currencies</w:t>
        </w:r>
        <w:r>
          <w:rPr/>
          <w:t>.</w:t>
        </w:r>
      </w:hyperlink>
    </w:p>
    <w:p>
      <w:pPr>
        <w:pStyle w:val="BodyText"/>
        <w:spacing w:after="0"/>
        <w:sectPr>
          <w:pgSz w:w="12240" w:h="15840"/>
          <w:pgMar w:header="792" w:footer="0" w:top="1000" w:bottom="280" w:left="1080" w:right="1080"/>
        </w:sectPr>
      </w:pPr>
    </w:p>
    <w:p>
      <w:pPr>
        <w:pStyle w:val="BodyText"/>
        <w:spacing w:before="181"/>
      </w:pPr>
    </w:p>
    <w:p>
      <w:pPr>
        <w:pStyle w:val="BodyText"/>
        <w:ind w:left="936" w:hanging="720"/>
      </w:pPr>
      <w:r>
        <w:rPr/>
        <w:t>“</w:t>
      </w:r>
      <w:hyperlink r:id="rId54">
        <w:r>
          <w:rPr>
            <w:color w:val="1F487C"/>
          </w:rPr>
          <w:t>Introduction</w:t>
        </w:r>
        <w:r>
          <w:rPr>
            <w:color w:val="1F487C"/>
            <w:spacing w:val="-3"/>
          </w:rPr>
          <w:t> </w:t>
        </w:r>
        <w:r>
          <w:rPr>
            <w:color w:val="1F487C"/>
          </w:rPr>
          <w:t>to</w:t>
        </w:r>
        <w:r>
          <w:rPr>
            <w:color w:val="1F487C"/>
            <w:spacing w:val="-3"/>
          </w:rPr>
          <w:t> </w:t>
        </w:r>
        <w:r>
          <w:rPr>
            <w:color w:val="1F487C"/>
          </w:rPr>
          <w:t>the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Symposium</w:t>
        </w:r>
        <w:r>
          <w:rPr>
            <w:color w:val="1F487C"/>
            <w:spacing w:val="-3"/>
          </w:rPr>
          <w:t> </w:t>
        </w:r>
        <w:r>
          <w:rPr>
            <w:color w:val="1F487C"/>
          </w:rPr>
          <w:t>on</w:t>
        </w:r>
        <w:r>
          <w:rPr>
            <w:color w:val="1F487C"/>
            <w:spacing w:val="-3"/>
          </w:rPr>
          <w:t> </w:t>
        </w:r>
        <w:r>
          <w:rPr>
            <w:color w:val="1F487C"/>
          </w:rPr>
          <w:t>the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Economics</w:t>
        </w:r>
        <w:r>
          <w:rPr>
            <w:color w:val="1F487C"/>
            <w:spacing w:val="-3"/>
          </w:rPr>
          <w:t> </w:t>
        </w:r>
        <w:r>
          <w:rPr>
            <w:color w:val="1F487C"/>
          </w:rPr>
          <w:t>of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Payments</w:t>
        </w:r>
      </w:hyperlink>
      <w:r>
        <w:rPr/>
        <w:t>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Gabriele</w:t>
      </w:r>
      <w:r>
        <w:rPr>
          <w:spacing w:val="-4"/>
        </w:rPr>
        <w:t> </w:t>
      </w:r>
      <w:r>
        <w:rPr/>
        <w:t>Camera),</w:t>
      </w:r>
      <w:r>
        <w:rPr>
          <w:spacing w:val="-3"/>
        </w:rPr>
        <w:t> </w:t>
      </w:r>
      <w:r>
        <w:rPr>
          <w:i/>
        </w:rPr>
        <w:t>Annals</w:t>
      </w:r>
      <w:r>
        <w:rPr>
          <w:i/>
          <w:spacing w:val="-3"/>
        </w:rPr>
        <w:t> </w:t>
      </w:r>
      <w:r>
        <w:rPr>
          <w:i/>
        </w:rPr>
        <w:t>of Finance</w:t>
      </w:r>
      <w:r>
        <w:rPr/>
        <w:t>, Vol. 9 (2013) 1-4.</w:t>
      </w:r>
    </w:p>
    <w:p>
      <w:pPr>
        <w:pStyle w:val="BodyText"/>
      </w:pPr>
    </w:p>
    <w:p>
      <w:pPr>
        <w:spacing w:before="0"/>
        <w:ind w:left="936" w:right="0" w:hanging="660"/>
        <w:jc w:val="left"/>
        <w:rPr>
          <w:sz w:val="24"/>
        </w:rPr>
      </w:pPr>
      <w:r>
        <w:rPr>
          <w:sz w:val="24"/>
        </w:rPr>
        <w:t>“</w:t>
      </w:r>
      <w:hyperlink r:id="rId55">
        <w:r>
          <w:rPr>
            <w:color w:val="1F487C"/>
            <w:sz w:val="24"/>
          </w:rPr>
          <w:t>Discussion</w:t>
        </w:r>
        <w:r>
          <w:rPr>
            <w:color w:val="1F487C"/>
            <w:spacing w:val="-3"/>
            <w:sz w:val="24"/>
          </w:rPr>
          <w:t> </w:t>
        </w:r>
        <w:r>
          <w:rPr>
            <w:color w:val="1F487C"/>
            <w:sz w:val="24"/>
          </w:rPr>
          <w:t>of:</w:t>
        </w:r>
        <w:r>
          <w:rPr>
            <w:color w:val="1F487C"/>
            <w:spacing w:val="-3"/>
            <w:sz w:val="24"/>
          </w:rPr>
          <w:t> </w:t>
        </w:r>
        <w:r>
          <w:rPr>
            <w:color w:val="1F487C"/>
            <w:sz w:val="24"/>
          </w:rPr>
          <w:t>‘Banking</w:t>
        </w:r>
        <w:r>
          <w:rPr>
            <w:color w:val="1F487C"/>
            <w:spacing w:val="-3"/>
            <w:sz w:val="24"/>
          </w:rPr>
          <w:t> </w:t>
        </w:r>
        <w:r>
          <w:rPr>
            <w:color w:val="1F487C"/>
            <w:sz w:val="24"/>
          </w:rPr>
          <w:t>in</w:t>
        </w:r>
        <w:r>
          <w:rPr>
            <w:color w:val="1F487C"/>
            <w:spacing w:val="-3"/>
            <w:sz w:val="24"/>
          </w:rPr>
          <w:t> </w:t>
        </w:r>
        <w:r>
          <w:rPr>
            <w:color w:val="1F487C"/>
            <w:sz w:val="24"/>
          </w:rPr>
          <w:t>a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Matching</w:t>
        </w:r>
        <w:r>
          <w:rPr>
            <w:color w:val="1F487C"/>
            <w:spacing w:val="-3"/>
            <w:sz w:val="24"/>
          </w:rPr>
          <w:t> </w:t>
        </w:r>
        <w:r>
          <w:rPr>
            <w:color w:val="1F487C"/>
            <w:sz w:val="24"/>
          </w:rPr>
          <w:t>Model</w:t>
        </w:r>
        <w:r>
          <w:rPr>
            <w:color w:val="1F487C"/>
            <w:spacing w:val="-3"/>
            <w:sz w:val="24"/>
          </w:rPr>
          <w:t> </w:t>
        </w:r>
        <w:r>
          <w:rPr>
            <w:color w:val="1F487C"/>
            <w:sz w:val="24"/>
          </w:rPr>
          <w:t>of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Money</w:t>
        </w:r>
        <w:r>
          <w:rPr>
            <w:color w:val="1F487C"/>
            <w:spacing w:val="-3"/>
            <w:sz w:val="24"/>
          </w:rPr>
          <w:t> </w:t>
        </w:r>
        <w:r>
          <w:rPr>
            <w:color w:val="1F487C"/>
            <w:sz w:val="24"/>
          </w:rPr>
          <w:t>and</w:t>
        </w:r>
        <w:r>
          <w:rPr>
            <w:color w:val="1F487C"/>
            <w:spacing w:val="-3"/>
            <w:sz w:val="24"/>
          </w:rPr>
          <w:t> </w:t>
        </w:r>
        <w:r>
          <w:rPr>
            <w:color w:val="1F487C"/>
            <w:sz w:val="24"/>
          </w:rPr>
          <w:t>Capital’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by</w:t>
        </w:r>
        <w:r>
          <w:rPr>
            <w:color w:val="1F487C"/>
            <w:spacing w:val="-1"/>
            <w:sz w:val="24"/>
          </w:rPr>
          <w:t> </w:t>
        </w:r>
        <w:r>
          <w:rPr>
            <w:color w:val="1F487C"/>
            <w:sz w:val="24"/>
          </w:rPr>
          <w:t>V.</w:t>
        </w:r>
        <w:r>
          <w:rPr>
            <w:color w:val="1F487C"/>
            <w:spacing w:val="-3"/>
            <w:sz w:val="24"/>
          </w:rPr>
          <w:t> </w:t>
        </w:r>
        <w:r>
          <w:rPr>
            <w:color w:val="1F487C"/>
            <w:sz w:val="24"/>
          </w:rPr>
          <w:t>R.</w:t>
        </w:r>
        <w:r>
          <w:rPr>
            <w:color w:val="1F487C"/>
            <w:spacing w:val="-3"/>
            <w:sz w:val="24"/>
          </w:rPr>
          <w:t> </w:t>
        </w:r>
        <w:r>
          <w:rPr>
            <w:color w:val="1F487C"/>
            <w:sz w:val="24"/>
          </w:rPr>
          <w:t>Bencivenga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and</w:t>
        </w:r>
        <w:r>
          <w:rPr>
            <w:color w:val="1F487C"/>
            <w:spacing w:val="-1"/>
            <w:sz w:val="24"/>
          </w:rPr>
          <w:t> </w:t>
        </w:r>
        <w:r>
          <w:rPr>
            <w:color w:val="1F487C"/>
            <w:sz w:val="24"/>
          </w:rPr>
          <w:t>G.</w:t>
        </w:r>
      </w:hyperlink>
      <w:r>
        <w:rPr>
          <w:color w:val="1F487C"/>
          <w:sz w:val="24"/>
        </w:rPr>
        <w:t> </w:t>
      </w:r>
      <w:hyperlink r:id="rId55">
        <w:r>
          <w:rPr>
            <w:color w:val="1F487C"/>
            <w:sz w:val="24"/>
          </w:rPr>
          <w:t>Camera</w:t>
        </w:r>
        <w:r>
          <w:rPr>
            <w:sz w:val="24"/>
          </w:rPr>
          <w:t>,</w:t>
        </w:r>
      </w:hyperlink>
      <w:r>
        <w:rPr>
          <w:sz w:val="24"/>
        </w:rPr>
        <w:t>” </w:t>
      </w:r>
      <w:r>
        <w:rPr>
          <w:i/>
          <w:sz w:val="24"/>
        </w:rPr>
        <w:t>Journal of Money, Credit and Banking</w:t>
      </w:r>
      <w:r>
        <w:rPr>
          <w:sz w:val="24"/>
        </w:rPr>
        <w:t>, Supplement to Vol. 43 (2011) 477-485.</w:t>
      </w:r>
    </w:p>
    <w:p>
      <w:pPr>
        <w:pStyle w:val="BodyText"/>
      </w:pPr>
    </w:p>
    <w:p>
      <w:pPr>
        <w:pStyle w:val="BodyText"/>
        <w:ind w:left="936" w:hanging="660"/>
      </w:pPr>
      <w:r>
        <w:rPr/>
        <w:t>“</w:t>
      </w:r>
      <w:hyperlink r:id="rId56">
        <w:r>
          <w:rPr>
            <w:color w:val="1F487C"/>
          </w:rPr>
          <w:t>Comment on: ‘A Model of a Systemic Bank Run’ by Harald Uhlig</w:t>
        </w:r>
        <w:r>
          <w:rPr/>
          <w:t>,</w:t>
        </w:r>
      </w:hyperlink>
      <w:r>
        <w:rPr/>
        <w:t>” </w:t>
      </w:r>
      <w:r>
        <w:rPr>
          <w:i/>
        </w:rPr>
        <w:t>Journal of Monetary Economics</w:t>
      </w:r>
      <w:r>
        <w:rPr/>
        <w:t>,</w:t>
      </w:r>
      <w:r>
        <w:rPr>
          <w:spacing w:val="-4"/>
        </w:rPr>
        <w:t> </w:t>
      </w:r>
      <w:r>
        <w:rPr/>
        <w:t>Vol.</w:t>
      </w:r>
      <w:r>
        <w:rPr>
          <w:spacing w:val="-4"/>
        </w:rPr>
        <w:t> </w:t>
      </w:r>
      <w:r>
        <w:rPr/>
        <w:t>57:</w:t>
      </w:r>
      <w:r>
        <w:rPr>
          <w:spacing w:val="-4"/>
        </w:rPr>
        <w:t> </w:t>
      </w:r>
      <w:r>
        <w:rPr/>
        <w:t>Carnegie-Rochester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Series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Policy</w:t>
      </w:r>
      <w:r>
        <w:rPr>
          <w:spacing w:val="-4"/>
        </w:rPr>
        <w:t> </w:t>
      </w:r>
      <w:r>
        <w:rPr/>
        <w:t>(2010)</w:t>
      </w:r>
      <w:r>
        <w:rPr>
          <w:spacing w:val="-5"/>
        </w:rPr>
        <w:t> </w:t>
      </w:r>
      <w:r>
        <w:rPr/>
        <w:t>97-100.</w:t>
      </w:r>
    </w:p>
    <w:p>
      <w:pPr>
        <w:pStyle w:val="BodyText"/>
      </w:pPr>
    </w:p>
    <w:p>
      <w:pPr>
        <w:pStyle w:val="BodyText"/>
        <w:spacing w:before="12"/>
      </w:pPr>
    </w:p>
    <w:p>
      <w:pPr>
        <w:spacing w:before="0"/>
        <w:ind w:left="215" w:right="0" w:firstLine="0"/>
        <w:jc w:val="left"/>
        <w:rPr>
          <w:b/>
          <w:sz w:val="22"/>
        </w:rPr>
      </w:pPr>
      <w:bookmarkStart w:name="working papers" w:id="11"/>
      <w:bookmarkEnd w:id="11"/>
      <w:r>
        <w:rPr/>
      </w:r>
      <w:hyperlink r:id="rId57">
        <w:r>
          <w:rPr>
            <w:b/>
            <w:color w:val="1F487C"/>
            <w:sz w:val="22"/>
          </w:rPr>
          <w:t>WORKING</w:t>
        </w:r>
        <w:r>
          <w:rPr>
            <w:b/>
            <w:color w:val="1F487C"/>
            <w:spacing w:val="-3"/>
            <w:sz w:val="22"/>
          </w:rPr>
          <w:t> </w:t>
        </w:r>
        <w:r>
          <w:rPr>
            <w:b/>
            <w:color w:val="1F487C"/>
            <w:spacing w:val="-2"/>
            <w:sz w:val="22"/>
          </w:rPr>
          <w:t>PAPERS</w:t>
        </w:r>
      </w:hyperlink>
    </w:p>
    <w:p>
      <w:pPr>
        <w:pStyle w:val="BodyText"/>
        <w:spacing w:before="34"/>
        <w:rPr>
          <w:b/>
          <w:sz w:val="22"/>
        </w:rPr>
      </w:pPr>
    </w:p>
    <w:p>
      <w:pPr>
        <w:pStyle w:val="BodyText"/>
        <w:spacing w:before="1"/>
        <w:ind w:left="215"/>
      </w:pPr>
      <w:r>
        <w:rPr/>
        <w:t>“</w:t>
      </w:r>
      <w:hyperlink r:id="rId58">
        <w:r>
          <w:rPr>
            <w:color w:val="1F487C"/>
          </w:rPr>
          <w:t>Can</w:t>
        </w:r>
        <w:r>
          <w:rPr>
            <w:color w:val="1F487C"/>
            <w:spacing w:val="-2"/>
          </w:rPr>
          <w:t> </w:t>
        </w:r>
        <w:r>
          <w:rPr>
            <w:color w:val="1F487C"/>
          </w:rPr>
          <w:t>Redemption</w:t>
        </w:r>
        <w:r>
          <w:rPr>
            <w:color w:val="1F487C"/>
            <w:spacing w:val="-2"/>
          </w:rPr>
          <w:t> </w:t>
        </w:r>
        <w:r>
          <w:rPr>
            <w:color w:val="1F487C"/>
          </w:rPr>
          <w:t>Fees</w:t>
        </w:r>
        <w:r>
          <w:rPr>
            <w:color w:val="1F487C"/>
            <w:spacing w:val="-1"/>
          </w:rPr>
          <w:t> </w:t>
        </w:r>
        <w:r>
          <w:rPr>
            <w:color w:val="1F487C"/>
          </w:rPr>
          <w:t>Prevent</w:t>
        </w:r>
        <w:r>
          <w:rPr>
            <w:color w:val="1F487C"/>
            <w:spacing w:val="-2"/>
          </w:rPr>
          <w:t> </w:t>
        </w:r>
        <w:r>
          <w:rPr>
            <w:color w:val="1F487C"/>
          </w:rPr>
          <w:t>Runs</w:t>
        </w:r>
        <w:r>
          <w:rPr>
            <w:color w:val="1F487C"/>
            <w:spacing w:val="-2"/>
          </w:rPr>
          <w:t> </w:t>
        </w:r>
        <w:r>
          <w:rPr>
            <w:color w:val="1F487C"/>
          </w:rPr>
          <w:t>on</w:t>
        </w:r>
        <w:r>
          <w:rPr>
            <w:color w:val="1F487C"/>
            <w:spacing w:val="-1"/>
          </w:rPr>
          <w:t> </w:t>
        </w:r>
        <w:r>
          <w:rPr>
            <w:color w:val="1F487C"/>
          </w:rPr>
          <w:t>Funds?</w:t>
        </w:r>
      </w:hyperlink>
      <w:r>
        <w:rPr/>
        <w:t>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Xuesong</w:t>
      </w:r>
      <w:r>
        <w:rPr>
          <w:spacing w:val="-1"/>
        </w:rPr>
        <w:t> </w:t>
      </w:r>
      <w:r>
        <w:rPr/>
        <w:t>Huang),</w:t>
      </w:r>
      <w:r>
        <w:rPr>
          <w:spacing w:val="-2"/>
        </w:rPr>
        <w:t> </w:t>
      </w:r>
      <w:r>
        <w:rPr/>
        <w:t>June</w:t>
      </w:r>
      <w:r>
        <w:rPr>
          <w:spacing w:val="-3"/>
        </w:rPr>
        <w:t> </w:t>
      </w:r>
      <w:r>
        <w:rPr>
          <w:spacing w:val="-2"/>
        </w:rPr>
        <w:t>2025.</w:t>
      </w:r>
    </w:p>
    <w:p>
      <w:pPr>
        <w:pStyle w:val="BodyText"/>
        <w:spacing w:before="276"/>
        <w:ind w:left="935" w:hanging="720"/>
      </w:pPr>
      <w:r>
        <w:rPr/>
        <w:t>“</w:t>
      </w:r>
      <w:hyperlink r:id="rId59">
        <w:r>
          <w:rPr>
            <w:color w:val="1F487C"/>
          </w:rPr>
          <w:t>Aggregate</w:t>
        </w:r>
        <w:r>
          <w:rPr>
            <w:color w:val="1F487C"/>
            <w:spacing w:val="-5"/>
          </w:rPr>
          <w:t> </w:t>
        </w:r>
        <w:r>
          <w:rPr>
            <w:color w:val="1F487C"/>
          </w:rPr>
          <w:t>Liquidity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Management</w:t>
        </w:r>
      </w:hyperlink>
      <w:r>
        <w:rPr/>
        <w:t>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Daniel</w:t>
      </w:r>
      <w:r>
        <w:rPr>
          <w:spacing w:val="-2"/>
        </w:rPr>
        <w:t> </w:t>
      </w:r>
      <w:r>
        <w:rPr/>
        <w:t>Sanches),</w:t>
      </w:r>
      <w:r>
        <w:rPr>
          <w:spacing w:val="-2"/>
        </w:rPr>
        <w:t> </w:t>
      </w:r>
      <w:r>
        <w:rPr/>
        <w:t>Federal</w:t>
      </w:r>
      <w:r>
        <w:rPr>
          <w:spacing w:val="-4"/>
        </w:rPr>
        <w:t> </w:t>
      </w:r>
      <w:r>
        <w:rPr/>
        <w:t>Reserve</w:t>
      </w:r>
      <w:r>
        <w:rPr>
          <w:spacing w:val="-5"/>
        </w:rPr>
        <w:t> </w:t>
      </w:r>
      <w:r>
        <w:rPr/>
        <w:t>Bank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Philadelphia Working Paper 16-32, November 2016.</w:t>
      </w:r>
    </w:p>
    <w:p>
      <w:pPr>
        <w:pStyle w:val="BodyText"/>
        <w:spacing w:before="276"/>
        <w:ind w:left="935" w:right="498" w:hanging="660"/>
        <w:jc w:val="both"/>
      </w:pPr>
      <w:r>
        <w:rPr/>
        <w:t>“</w:t>
      </w:r>
      <w:hyperlink r:id="rId60">
        <w:r>
          <w:rPr>
            <w:color w:val="1F487C"/>
          </w:rPr>
          <w:t>Floor</w:t>
        </w:r>
        <w:r>
          <w:rPr>
            <w:color w:val="1F487C"/>
            <w:spacing w:val="-2"/>
          </w:rPr>
          <w:t> </w:t>
        </w:r>
        <w:r>
          <w:rPr>
            <w:color w:val="1F487C"/>
          </w:rPr>
          <w:t>Systems</w:t>
        </w:r>
        <w:r>
          <w:rPr>
            <w:color w:val="1F487C"/>
            <w:spacing w:val="-1"/>
          </w:rPr>
          <w:t> </w:t>
        </w:r>
        <w:r>
          <w:rPr>
            <w:color w:val="1F487C"/>
          </w:rPr>
          <w:t>and</w:t>
        </w:r>
        <w:r>
          <w:rPr>
            <w:color w:val="1F487C"/>
            <w:spacing w:val="-1"/>
          </w:rPr>
          <w:t> </w:t>
        </w:r>
        <w:r>
          <w:rPr>
            <w:color w:val="1F487C"/>
          </w:rPr>
          <w:t>the Friedman rule:</w:t>
        </w:r>
        <w:r>
          <w:rPr>
            <w:color w:val="1F487C"/>
            <w:spacing w:val="-1"/>
          </w:rPr>
          <w:t> </w:t>
        </w:r>
        <w:r>
          <w:rPr>
            <w:color w:val="1F487C"/>
          </w:rPr>
          <w:t>The Fiscal</w:t>
        </w:r>
        <w:r>
          <w:rPr>
            <w:color w:val="1F487C"/>
            <w:spacing w:val="-1"/>
          </w:rPr>
          <w:t> </w:t>
        </w:r>
        <w:r>
          <w:rPr>
            <w:color w:val="1F487C"/>
          </w:rPr>
          <w:t>Arithmetic</w:t>
        </w:r>
        <w:r>
          <w:rPr>
            <w:color w:val="1F487C"/>
            <w:spacing w:val="-2"/>
          </w:rPr>
          <w:t> </w:t>
        </w:r>
        <w:r>
          <w:rPr>
            <w:color w:val="1F487C"/>
          </w:rPr>
          <w:t>of</w:t>
        </w:r>
        <w:r>
          <w:rPr>
            <w:color w:val="1F487C"/>
            <w:spacing w:val="-2"/>
          </w:rPr>
          <w:t> </w:t>
        </w:r>
        <w:r>
          <w:rPr>
            <w:color w:val="1F487C"/>
          </w:rPr>
          <w:t>Open</w:t>
        </w:r>
        <w:r>
          <w:rPr>
            <w:color w:val="1F487C"/>
            <w:spacing w:val="-1"/>
          </w:rPr>
          <w:t> </w:t>
        </w:r>
        <w:r>
          <w:rPr>
            <w:color w:val="1F487C"/>
          </w:rPr>
          <w:t>Market</w:t>
        </w:r>
        <w:r>
          <w:rPr>
            <w:color w:val="1F487C"/>
            <w:spacing w:val="-1"/>
          </w:rPr>
          <w:t> </w:t>
        </w:r>
        <w:r>
          <w:rPr>
            <w:color w:val="1F487C"/>
          </w:rPr>
          <w:t>Operations</w:t>
        </w:r>
      </w:hyperlink>
      <w:r>
        <w:rPr/>
        <w:t>”</w:t>
      </w:r>
      <w:r>
        <w:rPr>
          <w:spacing w:val="-2"/>
        </w:rPr>
        <w:t> </w:t>
      </w:r>
      <w:r>
        <w:rPr/>
        <w:t>(with Antoine</w:t>
      </w:r>
      <w:r>
        <w:rPr>
          <w:spacing w:val="-5"/>
        </w:rPr>
        <w:t> </w:t>
      </w:r>
      <w:r>
        <w:rPr/>
        <w:t>Martin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Jamie</w:t>
      </w:r>
      <w:r>
        <w:rPr>
          <w:spacing w:val="-5"/>
        </w:rPr>
        <w:t> </w:t>
      </w:r>
      <w:r>
        <w:rPr/>
        <w:t>McAndrews),</w:t>
      </w:r>
      <w:r>
        <w:rPr>
          <w:spacing w:val="-2"/>
        </w:rPr>
        <w:t> </w:t>
      </w:r>
      <w:r>
        <w:rPr/>
        <w:t>Federal</w:t>
      </w:r>
      <w:r>
        <w:rPr>
          <w:spacing w:val="-2"/>
        </w:rPr>
        <w:t> </w:t>
      </w:r>
      <w:r>
        <w:rPr/>
        <w:t>Reserve</w:t>
      </w:r>
      <w:r>
        <w:rPr>
          <w:spacing w:val="-5"/>
        </w:rPr>
        <w:t> </w:t>
      </w:r>
      <w:r>
        <w:rPr/>
        <w:t>Bank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New</w:t>
      </w:r>
      <w:r>
        <w:rPr>
          <w:spacing w:val="-3"/>
        </w:rPr>
        <w:t> </w:t>
      </w:r>
      <w:r>
        <w:rPr/>
        <w:t>York</w:t>
      </w:r>
      <w:r>
        <w:rPr>
          <w:spacing w:val="-4"/>
        </w:rPr>
        <w:t> </w:t>
      </w:r>
      <w:r>
        <w:rPr/>
        <w:t>Staff</w:t>
      </w:r>
      <w:r>
        <w:rPr>
          <w:spacing w:val="-5"/>
        </w:rPr>
        <w:t> </w:t>
      </w:r>
      <w:r>
        <w:rPr/>
        <w:t>Report 754, December 2015.</w:t>
      </w:r>
    </w:p>
    <w:p>
      <w:pPr>
        <w:pStyle w:val="BodyText"/>
      </w:pPr>
    </w:p>
    <w:p>
      <w:pPr>
        <w:pStyle w:val="BodyText"/>
        <w:ind w:left="935" w:right="144" w:hanging="660"/>
      </w:pPr>
      <w:r>
        <w:rPr/>
        <w:t>“</w:t>
      </w:r>
      <w:hyperlink r:id="rId61">
        <w:r>
          <w:rPr>
            <w:color w:val="1F487C"/>
          </w:rPr>
          <w:t>Liquidity Crises and Discount Window Lending: Theory and Implications for the Dollarization</w:t>
        </w:r>
      </w:hyperlink>
      <w:r>
        <w:rPr>
          <w:color w:val="1F487C"/>
        </w:rPr>
        <w:t> </w:t>
      </w:r>
      <w:hyperlink r:id="rId61">
        <w:r>
          <w:rPr>
            <w:color w:val="1F487C"/>
          </w:rPr>
          <w:t>Debate</w:t>
        </w:r>
      </w:hyperlink>
      <w:r>
        <w:rPr/>
        <w:t>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Gaetano</w:t>
      </w:r>
      <w:r>
        <w:rPr>
          <w:spacing w:val="-4"/>
        </w:rPr>
        <w:t> </w:t>
      </w:r>
      <w:r>
        <w:rPr/>
        <w:t>Antinolfi),</w:t>
      </w:r>
      <w:r>
        <w:rPr>
          <w:spacing w:val="-4"/>
        </w:rPr>
        <w:t> </w:t>
      </w:r>
      <w:r>
        <w:rPr/>
        <w:t>Centro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Investigación</w:t>
      </w:r>
      <w:r>
        <w:rPr>
          <w:spacing w:val="-4"/>
        </w:rPr>
        <w:t> </w:t>
      </w:r>
      <w:r>
        <w:rPr/>
        <w:t>Económica</w:t>
      </w:r>
      <w:r>
        <w:rPr>
          <w:spacing w:val="-5"/>
        </w:rPr>
        <w:t> </w:t>
      </w:r>
      <w:r>
        <w:rPr/>
        <w:t>Discussion</w:t>
      </w:r>
      <w:r>
        <w:rPr>
          <w:spacing w:val="-4"/>
        </w:rPr>
        <w:t> </w:t>
      </w:r>
      <w:r>
        <w:rPr/>
        <w:t>Paper</w:t>
      </w:r>
      <w:r>
        <w:rPr>
          <w:spacing w:val="-5"/>
        </w:rPr>
        <w:t> </w:t>
      </w:r>
      <w:r>
        <w:rPr/>
        <w:t>00- 02, ITAM, September 2000.</w:t>
      </w:r>
    </w:p>
    <w:p>
      <w:pPr>
        <w:pStyle w:val="BodyText"/>
      </w:pPr>
    </w:p>
    <w:p>
      <w:pPr>
        <w:pStyle w:val="BodyText"/>
        <w:spacing w:before="11"/>
      </w:pPr>
    </w:p>
    <w:p>
      <w:pPr>
        <w:spacing w:before="0"/>
        <w:ind w:left="215" w:right="0" w:firstLine="0"/>
        <w:jc w:val="left"/>
        <w:rPr>
          <w:b/>
          <w:sz w:val="22"/>
        </w:rPr>
      </w:pPr>
      <w:bookmarkStart w:name="professional activities" w:id="12"/>
      <w:bookmarkEnd w:id="12"/>
      <w:r>
        <w:rPr/>
      </w:r>
      <w:r>
        <w:rPr>
          <w:b/>
          <w:color w:val="1F487C"/>
          <w:sz w:val="22"/>
        </w:rPr>
        <w:t>PROFESSIONAL</w:t>
      </w:r>
      <w:r>
        <w:rPr>
          <w:b/>
          <w:color w:val="1F487C"/>
          <w:spacing w:val="-10"/>
          <w:sz w:val="22"/>
        </w:rPr>
        <w:t> </w:t>
      </w:r>
      <w:r>
        <w:rPr>
          <w:b/>
          <w:color w:val="1F487C"/>
          <w:spacing w:val="-2"/>
          <w:sz w:val="22"/>
        </w:rPr>
        <w:t>ACTIVITIES</w:t>
      </w:r>
    </w:p>
    <w:p>
      <w:pPr>
        <w:pStyle w:val="BodyText"/>
        <w:spacing w:before="242"/>
        <w:ind w:left="936" w:hanging="720"/>
      </w:pPr>
      <w:r>
        <w:rPr/>
        <w:t>Member,</w:t>
      </w:r>
      <w:r>
        <w:rPr>
          <w:spacing w:val="-4"/>
        </w:rPr>
        <w:t> </w:t>
      </w:r>
      <w:hyperlink r:id="rId62">
        <w:r>
          <w:rPr>
            <w:color w:val="1F487C"/>
          </w:rPr>
          <w:t>Research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Policy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Network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on</w:t>
        </w:r>
        <w:r>
          <w:rPr>
            <w:color w:val="1F487C"/>
            <w:spacing w:val="-2"/>
          </w:rPr>
          <w:t> </w:t>
        </w:r>
        <w:r>
          <w:rPr>
            <w:color w:val="1F487C"/>
          </w:rPr>
          <w:t>FinTech</w:t>
        </w:r>
        <w:r>
          <w:rPr>
            <w:color w:val="1F487C"/>
            <w:spacing w:val="-2"/>
          </w:rPr>
          <w:t> </w:t>
        </w:r>
        <w:r>
          <w:rPr>
            <w:color w:val="1F487C"/>
          </w:rPr>
          <w:t>and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Digital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Currencies</w:t>
        </w:r>
        <w:r>
          <w:rPr/>
          <w:t>,</w:t>
        </w:r>
      </w:hyperlink>
      <w:r>
        <w:rPr>
          <w:spacing w:val="-4"/>
        </w:rPr>
        <w:t> </w:t>
      </w:r>
      <w:r>
        <w:rPr/>
        <w:t>Centre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Policy Research (CEPR), July 2021 – present.</w:t>
      </w:r>
    </w:p>
    <w:p>
      <w:pPr>
        <w:pStyle w:val="BodyText"/>
        <w:ind w:left="936" w:hanging="720"/>
      </w:pPr>
      <w:r>
        <w:rPr/>
        <w:t>Co-organizer,</w:t>
      </w:r>
      <w:r>
        <w:rPr>
          <w:spacing w:val="-4"/>
        </w:rPr>
        <w:t> </w:t>
      </w:r>
      <w:hyperlink r:id="rId63">
        <w:r>
          <w:rPr>
            <w:color w:val="1F487C"/>
          </w:rPr>
          <w:t>Virtual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Seminar</w:t>
        </w:r>
        <w:r>
          <w:rPr>
            <w:color w:val="1F487C"/>
            <w:spacing w:val="-5"/>
          </w:rPr>
          <w:t> </w:t>
        </w:r>
        <w:r>
          <w:rPr>
            <w:color w:val="1F487C"/>
          </w:rPr>
          <w:t>Series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on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Central</w:t>
        </w:r>
        <w:r>
          <w:rPr>
            <w:color w:val="1F487C"/>
            <w:spacing w:val="-2"/>
          </w:rPr>
          <w:t> </w:t>
        </w:r>
        <w:r>
          <w:rPr>
            <w:color w:val="1F487C"/>
          </w:rPr>
          <w:t>Banking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and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Digital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Currencies</w:t>
        </w:r>
        <w:r>
          <w:rPr/>
          <w:t>,</w:t>
        </w:r>
      </w:hyperlink>
      <w:r>
        <w:rPr>
          <w:spacing w:val="-4"/>
        </w:rPr>
        <w:t> </w:t>
      </w:r>
      <w:r>
        <w:rPr/>
        <w:t>March</w:t>
      </w:r>
      <w:r>
        <w:rPr>
          <w:spacing w:val="-4"/>
        </w:rPr>
        <w:t> </w:t>
      </w:r>
      <w:r>
        <w:rPr/>
        <w:t>2021-May </w:t>
      </w:r>
      <w:r>
        <w:rPr>
          <w:spacing w:val="-2"/>
        </w:rPr>
        <w:t>2023.</w:t>
      </w:r>
    </w:p>
    <w:p>
      <w:pPr>
        <w:pStyle w:val="BodyText"/>
        <w:ind w:left="216" w:right="412"/>
      </w:pPr>
      <w:r>
        <w:rPr/>
        <w:t>Co-organizer,</w:t>
      </w:r>
      <w:r>
        <w:rPr>
          <w:spacing w:val="-4"/>
        </w:rPr>
        <w:t> </w:t>
      </w:r>
      <w:hyperlink r:id="rId64">
        <w:r>
          <w:rPr>
            <w:color w:val="1F487C"/>
          </w:rPr>
          <w:t>Conference</w:t>
        </w:r>
        <w:r>
          <w:rPr>
            <w:color w:val="1F487C"/>
            <w:spacing w:val="-5"/>
          </w:rPr>
          <w:t> </w:t>
        </w:r>
        <w:r>
          <w:rPr>
            <w:color w:val="1F487C"/>
          </w:rPr>
          <w:t>on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the</w:t>
        </w:r>
        <w:r>
          <w:rPr>
            <w:color w:val="1F487C"/>
            <w:spacing w:val="-5"/>
          </w:rPr>
          <w:t> </w:t>
        </w:r>
        <w:r>
          <w:rPr>
            <w:color w:val="1F487C"/>
          </w:rPr>
          <w:t>Economics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of</w:t>
        </w:r>
        <w:r>
          <w:rPr>
            <w:color w:val="1F487C"/>
            <w:spacing w:val="-5"/>
          </w:rPr>
          <w:t> </w:t>
        </w:r>
        <w:r>
          <w:rPr>
            <w:color w:val="1F487C"/>
          </w:rPr>
          <w:t>Digital</w:t>
        </w:r>
        <w:r>
          <w:rPr>
            <w:color w:val="1F487C"/>
            <w:spacing w:val="-4"/>
          </w:rPr>
          <w:t> </w:t>
        </w:r>
        <w:r>
          <w:rPr>
            <w:color w:val="1F487C"/>
          </w:rPr>
          <w:t>Currencies</w:t>
        </w:r>
      </w:hyperlink>
      <w:r>
        <w:rPr>
          <w:color w:val="1F487C"/>
          <w:spacing w:val="-5"/>
        </w:rPr>
        <w:t> </w:t>
      </w:r>
      <w:r>
        <w:rPr/>
        <w:t>(virtual),</w:t>
      </w:r>
      <w:r>
        <w:rPr>
          <w:spacing w:val="-2"/>
        </w:rPr>
        <w:t> </w:t>
      </w:r>
      <w:r>
        <w:rPr/>
        <w:t>October</w:t>
      </w:r>
      <w:r>
        <w:rPr>
          <w:spacing w:val="-5"/>
        </w:rPr>
        <w:t> </w:t>
      </w:r>
      <w:r>
        <w:rPr/>
        <w:t>2020. Program Committee Member:</w:t>
      </w:r>
    </w:p>
    <w:p>
      <w:pPr>
        <w:pStyle w:val="BodyText"/>
        <w:ind w:left="936" w:right="1958"/>
      </w:pPr>
      <w:r>
        <w:rPr/>
        <w:t>Crypto and Blockchain Economics Research (CBER) Forum, 2022. Central</w:t>
      </w:r>
      <w:r>
        <w:rPr>
          <w:spacing w:val="-6"/>
        </w:rPr>
        <w:t> </w:t>
      </w:r>
      <w:r>
        <w:rPr/>
        <w:t>Bank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(CEBRA)</w:t>
      </w:r>
      <w:r>
        <w:rPr>
          <w:spacing w:val="-7"/>
        </w:rPr>
        <w:t> </w:t>
      </w:r>
      <w:r>
        <w:rPr/>
        <w:t>Annual</w:t>
      </w:r>
      <w:r>
        <w:rPr>
          <w:spacing w:val="-6"/>
        </w:rPr>
        <w:t> </w:t>
      </w:r>
      <w:r>
        <w:rPr/>
        <w:t>Meeting,</w:t>
      </w:r>
      <w:r>
        <w:rPr>
          <w:spacing w:val="-6"/>
        </w:rPr>
        <w:t> </w:t>
      </w:r>
      <w:r>
        <w:rPr/>
        <w:t>2021.</w:t>
      </w:r>
    </w:p>
    <w:p>
      <w:pPr>
        <w:pStyle w:val="BodyText"/>
        <w:ind w:left="936" w:right="166"/>
      </w:pPr>
      <w:r>
        <w:rPr/>
        <w:t>International Banking, Economics, and Finance Association Summer Meeting, 2019. Wharton</w:t>
      </w:r>
      <w:r>
        <w:rPr>
          <w:spacing w:val="-4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2"/>
        </w:rPr>
        <w:t> </w:t>
      </w:r>
      <w:r>
        <w:rPr/>
        <w:t>Liquidity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Financial</w:t>
      </w:r>
      <w:r>
        <w:rPr>
          <w:spacing w:val="-2"/>
        </w:rPr>
        <w:t> </w:t>
      </w:r>
      <w:r>
        <w:rPr/>
        <w:t>Crises,</w:t>
      </w:r>
      <w:r>
        <w:rPr>
          <w:spacing w:val="-4"/>
        </w:rPr>
        <w:t> </w:t>
      </w:r>
      <w:r>
        <w:rPr/>
        <w:t>2014,</w:t>
      </w:r>
      <w:r>
        <w:rPr>
          <w:spacing w:val="-4"/>
        </w:rPr>
        <w:t> </w:t>
      </w:r>
      <w:r>
        <w:rPr/>
        <w:t>2015,</w:t>
      </w:r>
      <w:r>
        <w:rPr>
          <w:spacing w:val="-4"/>
        </w:rPr>
        <w:t> </w:t>
      </w:r>
      <w:r>
        <w:rPr/>
        <w:t>2016,</w:t>
      </w:r>
      <w:r>
        <w:rPr>
          <w:spacing w:val="-4"/>
        </w:rPr>
        <w:t> </w:t>
      </w:r>
      <w:r>
        <w:rPr/>
        <w:t>2017,</w:t>
      </w:r>
      <w:r>
        <w:rPr>
          <w:spacing w:val="-4"/>
        </w:rPr>
        <w:t> </w:t>
      </w:r>
      <w:r>
        <w:rPr/>
        <w:t>2018,</w:t>
      </w:r>
      <w:r>
        <w:rPr>
          <w:spacing w:val="-4"/>
        </w:rPr>
        <w:t> </w:t>
      </w:r>
      <w:r>
        <w:rPr/>
        <w:t>2019. Society for Computational Economics Annual Meeting, 2017.</w:t>
      </w:r>
    </w:p>
    <w:p>
      <w:pPr>
        <w:pStyle w:val="BodyText"/>
        <w:spacing w:before="1"/>
        <w:ind w:left="936"/>
      </w:pPr>
      <w:r>
        <w:rPr/>
        <w:t>Oxford</w:t>
      </w:r>
      <w:r>
        <w:rPr>
          <w:spacing w:val="-5"/>
        </w:rPr>
        <w:t> </w:t>
      </w:r>
      <w:r>
        <w:rPr/>
        <w:t>Financial</w:t>
      </w:r>
      <w:r>
        <w:rPr>
          <w:spacing w:val="-1"/>
        </w:rPr>
        <w:t> </w:t>
      </w:r>
      <w:r>
        <w:rPr/>
        <w:t>Intermediation</w:t>
      </w:r>
      <w:r>
        <w:rPr>
          <w:spacing w:val="-3"/>
        </w:rPr>
        <w:t> </w:t>
      </w:r>
      <w:r>
        <w:rPr/>
        <w:t>Theory</w:t>
      </w:r>
      <w:r>
        <w:rPr>
          <w:spacing w:val="-3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(OxFIT),</w:t>
      </w:r>
      <w:r>
        <w:rPr>
          <w:spacing w:val="-2"/>
        </w:rPr>
        <w:t> </w:t>
      </w:r>
      <w:r>
        <w:rPr>
          <w:spacing w:val="-4"/>
        </w:rPr>
        <w:t>2016</w:t>
      </w:r>
    </w:p>
    <w:p>
      <w:pPr>
        <w:pStyle w:val="BodyText"/>
        <w:ind w:left="936" w:right="1001"/>
      </w:pPr>
      <w:r>
        <w:rPr/>
        <w:t>Latin</w:t>
      </w:r>
      <w:r>
        <w:rPr>
          <w:spacing w:val="-5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Caribbean</w:t>
      </w:r>
      <w:r>
        <w:rPr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(LACEA)</w:t>
      </w:r>
      <w:r>
        <w:rPr>
          <w:spacing w:val="-6"/>
        </w:rPr>
        <w:t> </w:t>
      </w:r>
      <w:r>
        <w:rPr/>
        <w:t>Meetings,</w:t>
      </w:r>
      <w:r>
        <w:rPr>
          <w:spacing w:val="-3"/>
        </w:rPr>
        <w:t> </w:t>
      </w:r>
      <w:r>
        <w:rPr/>
        <w:t>2015. Latin American Meetings of the Econometric Society, 2006.</w:t>
      </w:r>
    </w:p>
    <w:p>
      <w:pPr>
        <w:pStyle w:val="BodyText"/>
        <w:ind w:left="936" w:right="412" w:hanging="720"/>
      </w:pPr>
      <w:r>
        <w:rPr/>
        <w:t>Organizer,</w:t>
      </w:r>
      <w:r>
        <w:rPr>
          <w:spacing w:val="-4"/>
        </w:rPr>
        <w:t> </w:t>
      </w:r>
      <w:r>
        <w:rPr/>
        <w:t>Annual</w:t>
      </w:r>
      <w:r>
        <w:rPr>
          <w:spacing w:val="-2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Money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Payments,</w:t>
      </w:r>
      <w:r>
        <w:rPr>
          <w:spacing w:val="-4"/>
        </w:rPr>
        <w:t> </w:t>
      </w:r>
      <w:r>
        <w:rPr/>
        <w:t>Federal</w:t>
      </w:r>
      <w:r>
        <w:rPr>
          <w:spacing w:val="-4"/>
        </w:rPr>
        <w:t> </w:t>
      </w:r>
      <w:r>
        <w:rPr/>
        <w:t>Reserve</w:t>
      </w:r>
      <w:r>
        <w:rPr>
          <w:spacing w:val="-3"/>
        </w:rPr>
        <w:t> </w:t>
      </w:r>
      <w:r>
        <w:rPr/>
        <w:t>Bank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York, October 2008; October 2009.</w:t>
      </w:r>
    </w:p>
    <w:p>
      <w:pPr>
        <w:pStyle w:val="BodyText"/>
        <w:ind w:left="216" w:right="950"/>
      </w:pPr>
      <w:r>
        <w:rPr/>
        <w:t>Co-organizer,</w:t>
      </w:r>
      <w:r>
        <w:rPr>
          <w:spacing w:val="-4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Central</w:t>
      </w:r>
      <w:r>
        <w:rPr>
          <w:spacing w:val="-4"/>
        </w:rPr>
        <w:t> </w:t>
      </w:r>
      <w:r>
        <w:rPr/>
        <w:t>Bank</w:t>
      </w:r>
      <w:r>
        <w:rPr>
          <w:spacing w:val="-4"/>
        </w:rPr>
        <w:t> </w:t>
      </w:r>
      <w:r>
        <w:rPr/>
        <w:t>Liquidity</w:t>
      </w:r>
      <w:r>
        <w:rPr>
          <w:spacing w:val="-4"/>
        </w:rPr>
        <w:t> </w:t>
      </w:r>
      <w:r>
        <w:rPr/>
        <w:t>Tools,</w:t>
      </w:r>
      <w:r>
        <w:rPr>
          <w:spacing w:val="-4"/>
        </w:rPr>
        <w:t> </w:t>
      </w:r>
      <w:r>
        <w:rPr/>
        <w:t>FRB</w:t>
      </w:r>
      <w:r>
        <w:rPr>
          <w:spacing w:val="-4"/>
        </w:rPr>
        <w:t> </w:t>
      </w:r>
      <w:r>
        <w:rPr/>
        <w:t>New</w:t>
      </w:r>
      <w:r>
        <w:rPr>
          <w:spacing w:val="-5"/>
        </w:rPr>
        <w:t> </w:t>
      </w:r>
      <w:r>
        <w:rPr/>
        <w:t>York,</w:t>
      </w:r>
      <w:r>
        <w:rPr>
          <w:spacing w:val="-4"/>
        </w:rPr>
        <w:t> </w:t>
      </w:r>
      <w:r>
        <w:rPr/>
        <w:t>February</w:t>
      </w:r>
      <w:r>
        <w:rPr>
          <w:spacing w:val="-4"/>
        </w:rPr>
        <w:t> </w:t>
      </w:r>
      <w:r>
        <w:rPr/>
        <w:t>2009. Co-organizer, Annual University of Texas – ITAM workshop in Economics, 2001-4.</w:t>
      </w:r>
    </w:p>
    <w:p>
      <w:pPr>
        <w:pStyle w:val="BodyText"/>
        <w:spacing w:after="0"/>
        <w:sectPr>
          <w:pgSz w:w="12240" w:h="15840"/>
          <w:pgMar w:header="792" w:footer="0" w:top="1000" w:bottom="280" w:left="1080" w:right="108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22"/>
        </w:rPr>
      </w:pPr>
    </w:p>
    <w:p>
      <w:pPr>
        <w:spacing w:before="0"/>
        <w:ind w:left="215" w:right="0" w:firstLine="0"/>
        <w:jc w:val="left"/>
        <w:rPr>
          <w:b/>
          <w:sz w:val="22"/>
        </w:rPr>
      </w:pPr>
      <w:bookmarkStart w:name="courses taught" w:id="13"/>
      <w:bookmarkEnd w:id="13"/>
      <w:r>
        <w:rPr/>
      </w:r>
      <w:r>
        <w:rPr>
          <w:b/>
          <w:color w:val="1F487C"/>
          <w:sz w:val="22"/>
        </w:rPr>
        <w:t>COURSES</w:t>
      </w:r>
      <w:r>
        <w:rPr>
          <w:b/>
          <w:color w:val="1F487C"/>
          <w:spacing w:val="-8"/>
          <w:sz w:val="22"/>
        </w:rPr>
        <w:t> </w:t>
      </w:r>
      <w:r>
        <w:rPr>
          <w:b/>
          <w:color w:val="1F487C"/>
          <w:spacing w:val="-2"/>
          <w:sz w:val="22"/>
        </w:rPr>
        <w:t>TAUGHT</w:t>
      </w:r>
    </w:p>
    <w:p>
      <w:pPr>
        <w:pStyle w:val="ListParagraph"/>
        <w:numPr>
          <w:ilvl w:val="0"/>
          <w:numId w:val="1"/>
        </w:numPr>
        <w:tabs>
          <w:tab w:pos="1295" w:val="left" w:leader="none"/>
        </w:tabs>
        <w:spacing w:line="240" w:lineRule="auto" w:before="242" w:after="0"/>
        <w:ind w:left="1295" w:right="0" w:hanging="360"/>
        <w:jc w:val="left"/>
        <w:rPr>
          <w:sz w:val="24"/>
        </w:rPr>
      </w:pPr>
      <w:r>
        <w:rPr>
          <w:sz w:val="24"/>
        </w:rPr>
        <w:t>Financial</w:t>
      </w:r>
      <w:r>
        <w:rPr>
          <w:spacing w:val="-2"/>
          <w:sz w:val="24"/>
        </w:rPr>
        <w:t> </w:t>
      </w:r>
      <w:r>
        <w:rPr>
          <w:sz w:val="24"/>
        </w:rPr>
        <w:t>Crises:</w:t>
      </w:r>
      <w:r>
        <w:rPr>
          <w:spacing w:val="-2"/>
          <w:sz w:val="24"/>
        </w:rPr>
        <w:t> </w:t>
      </w:r>
      <w:r>
        <w:rPr>
          <w:sz w:val="24"/>
        </w:rPr>
        <w:t>Theory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Policy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(Undergraduate)</w:t>
      </w:r>
    </w:p>
    <w:p>
      <w:pPr>
        <w:pStyle w:val="ListParagraph"/>
        <w:numPr>
          <w:ilvl w:val="0"/>
          <w:numId w:val="1"/>
        </w:numPr>
        <w:tabs>
          <w:tab w:pos="1295" w:val="left" w:leader="none"/>
        </w:tabs>
        <w:spacing w:line="240" w:lineRule="auto" w:before="0" w:after="0"/>
        <w:ind w:left="1295" w:right="0" w:hanging="359"/>
        <w:jc w:val="left"/>
        <w:rPr>
          <w:sz w:val="24"/>
        </w:rPr>
      </w:pPr>
      <w:r>
        <w:rPr>
          <w:sz w:val="24"/>
        </w:rPr>
        <w:t>Advanced</w:t>
      </w:r>
      <w:r>
        <w:rPr>
          <w:spacing w:val="-2"/>
          <w:sz w:val="24"/>
        </w:rPr>
        <w:t> </w:t>
      </w:r>
      <w:r>
        <w:rPr>
          <w:sz w:val="24"/>
        </w:rPr>
        <w:t>Macroeconomics</w:t>
      </w:r>
      <w:r>
        <w:rPr>
          <w:spacing w:val="-2"/>
          <w:sz w:val="24"/>
        </w:rPr>
        <w:t> (Undergraduate)</w:t>
      </w:r>
    </w:p>
    <w:p>
      <w:pPr>
        <w:pStyle w:val="ListParagraph"/>
        <w:numPr>
          <w:ilvl w:val="0"/>
          <w:numId w:val="1"/>
        </w:numPr>
        <w:tabs>
          <w:tab w:pos="1295" w:val="left" w:leader="none"/>
        </w:tabs>
        <w:spacing w:line="240" w:lineRule="auto" w:before="0" w:after="0"/>
        <w:ind w:left="1295" w:right="0" w:hanging="359"/>
        <w:jc w:val="left"/>
        <w:rPr>
          <w:sz w:val="24"/>
        </w:rPr>
      </w:pPr>
      <w:r>
        <w:rPr>
          <w:sz w:val="24"/>
        </w:rPr>
        <w:t>Intermediate</w:t>
      </w:r>
      <w:r>
        <w:rPr>
          <w:spacing w:val="-4"/>
          <w:sz w:val="24"/>
        </w:rPr>
        <w:t> </w:t>
      </w:r>
      <w:r>
        <w:rPr>
          <w:sz w:val="24"/>
        </w:rPr>
        <w:t>Macroeconomics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(Undergraduate)</w:t>
      </w:r>
    </w:p>
    <w:p>
      <w:pPr>
        <w:pStyle w:val="ListParagraph"/>
        <w:numPr>
          <w:ilvl w:val="0"/>
          <w:numId w:val="1"/>
        </w:numPr>
        <w:tabs>
          <w:tab w:pos="1295" w:val="left" w:leader="none"/>
        </w:tabs>
        <w:spacing w:line="240" w:lineRule="auto" w:before="0" w:after="0"/>
        <w:ind w:left="1295" w:right="0" w:hanging="359"/>
        <w:jc w:val="left"/>
        <w:rPr>
          <w:sz w:val="24"/>
        </w:rPr>
      </w:pP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Growth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(Undergraduate)</w:t>
      </w:r>
    </w:p>
    <w:p>
      <w:pPr>
        <w:pStyle w:val="ListParagraph"/>
        <w:numPr>
          <w:ilvl w:val="0"/>
          <w:numId w:val="1"/>
        </w:numPr>
        <w:tabs>
          <w:tab w:pos="1295" w:val="left" w:leader="none"/>
        </w:tabs>
        <w:spacing w:line="240" w:lineRule="auto" w:before="0" w:after="0"/>
        <w:ind w:left="1295" w:right="0" w:hanging="359"/>
        <w:jc w:val="left"/>
        <w:rPr>
          <w:sz w:val="24"/>
        </w:rPr>
      </w:pPr>
      <w:r>
        <w:rPr>
          <w:sz w:val="24"/>
        </w:rPr>
        <w:t>General</w:t>
      </w:r>
      <w:r>
        <w:rPr>
          <w:spacing w:val="-3"/>
          <w:sz w:val="24"/>
        </w:rPr>
        <w:t> </w:t>
      </w:r>
      <w:r>
        <w:rPr>
          <w:sz w:val="24"/>
        </w:rPr>
        <w:t>Equilibrium</w:t>
      </w:r>
      <w:r>
        <w:rPr>
          <w:spacing w:val="-3"/>
          <w:sz w:val="24"/>
        </w:rPr>
        <w:t> </w:t>
      </w:r>
      <w:r>
        <w:rPr>
          <w:sz w:val="24"/>
        </w:rPr>
        <w:t>Theory</w:t>
      </w:r>
      <w:r>
        <w:rPr>
          <w:spacing w:val="-2"/>
          <w:sz w:val="24"/>
        </w:rPr>
        <w:t> (Undergraduate)</w:t>
      </w:r>
    </w:p>
    <w:p>
      <w:pPr>
        <w:pStyle w:val="ListParagraph"/>
        <w:numPr>
          <w:ilvl w:val="0"/>
          <w:numId w:val="1"/>
        </w:numPr>
        <w:tabs>
          <w:tab w:pos="1295" w:val="left" w:leader="none"/>
        </w:tabs>
        <w:spacing w:line="240" w:lineRule="auto" w:before="0" w:after="0"/>
        <w:ind w:left="1295" w:right="0" w:hanging="359"/>
        <w:jc w:val="left"/>
        <w:rPr>
          <w:sz w:val="24"/>
        </w:rPr>
      </w:pPr>
      <w:r>
        <w:rPr>
          <w:sz w:val="24"/>
        </w:rPr>
        <w:t>Money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Banking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(Masters)</w:t>
      </w:r>
    </w:p>
    <w:p>
      <w:pPr>
        <w:pStyle w:val="ListParagraph"/>
        <w:numPr>
          <w:ilvl w:val="0"/>
          <w:numId w:val="1"/>
        </w:numPr>
        <w:tabs>
          <w:tab w:pos="1295" w:val="left" w:leader="none"/>
        </w:tabs>
        <w:spacing w:line="240" w:lineRule="auto" w:before="0" w:after="0"/>
        <w:ind w:left="1295" w:right="0" w:hanging="359"/>
        <w:jc w:val="left"/>
        <w:rPr>
          <w:sz w:val="24"/>
        </w:rPr>
      </w:pPr>
      <w:r>
        <w:rPr>
          <w:sz w:val="24"/>
        </w:rPr>
        <w:t>Banking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Financial</w:t>
      </w:r>
      <w:r>
        <w:rPr>
          <w:spacing w:val="-2"/>
          <w:sz w:val="24"/>
        </w:rPr>
        <w:t> </w:t>
      </w:r>
      <w:r>
        <w:rPr>
          <w:sz w:val="24"/>
        </w:rPr>
        <w:t>Fragility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(Masters)</w:t>
      </w:r>
    </w:p>
    <w:p>
      <w:pPr>
        <w:pStyle w:val="ListParagraph"/>
        <w:numPr>
          <w:ilvl w:val="0"/>
          <w:numId w:val="1"/>
        </w:numPr>
        <w:tabs>
          <w:tab w:pos="1295" w:val="left" w:leader="none"/>
        </w:tabs>
        <w:spacing w:line="240" w:lineRule="auto" w:before="1" w:after="0"/>
        <w:ind w:left="1295" w:right="0" w:hanging="359"/>
        <w:jc w:val="left"/>
        <w:rPr>
          <w:sz w:val="24"/>
        </w:rPr>
      </w:pPr>
      <w:r>
        <w:rPr>
          <w:sz w:val="24"/>
        </w:rPr>
        <w:t>Macroeconomic</w:t>
      </w:r>
      <w:r>
        <w:rPr>
          <w:spacing w:val="-3"/>
          <w:sz w:val="24"/>
        </w:rPr>
        <w:t> </w:t>
      </w:r>
      <w:r>
        <w:rPr>
          <w:sz w:val="24"/>
        </w:rPr>
        <w:t>Theory</w:t>
      </w:r>
      <w:r>
        <w:rPr>
          <w:spacing w:val="-2"/>
          <w:sz w:val="24"/>
        </w:rPr>
        <w:t> (Ph.D.)</w:t>
      </w:r>
    </w:p>
    <w:p>
      <w:pPr>
        <w:pStyle w:val="ListParagraph"/>
        <w:numPr>
          <w:ilvl w:val="0"/>
          <w:numId w:val="1"/>
        </w:numPr>
        <w:tabs>
          <w:tab w:pos="1295" w:val="left" w:leader="none"/>
        </w:tabs>
        <w:spacing w:line="240" w:lineRule="auto" w:before="0" w:after="0"/>
        <w:ind w:left="1295" w:right="0" w:hanging="359"/>
        <w:jc w:val="left"/>
        <w:rPr>
          <w:sz w:val="24"/>
        </w:rPr>
      </w:pPr>
      <w:r>
        <w:rPr>
          <w:sz w:val="24"/>
        </w:rPr>
        <w:t>Financial</w:t>
      </w:r>
      <w:r>
        <w:rPr>
          <w:spacing w:val="-3"/>
          <w:sz w:val="24"/>
        </w:rPr>
        <w:t> </w:t>
      </w:r>
      <w:r>
        <w:rPr>
          <w:sz w:val="24"/>
        </w:rPr>
        <w:t>Intermediation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Crises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Macroeconomics</w:t>
      </w:r>
      <w:r>
        <w:rPr>
          <w:spacing w:val="-2"/>
          <w:sz w:val="24"/>
        </w:rPr>
        <w:t> (Ph.D.)</w:t>
      </w:r>
    </w:p>
    <w:p>
      <w:pPr>
        <w:pStyle w:val="ListParagraph"/>
        <w:numPr>
          <w:ilvl w:val="0"/>
          <w:numId w:val="1"/>
        </w:numPr>
        <w:tabs>
          <w:tab w:pos="1295" w:val="left" w:leader="none"/>
        </w:tabs>
        <w:spacing w:line="240" w:lineRule="auto" w:before="0" w:after="0"/>
        <w:ind w:left="1295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Macroeconomics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Development</w:t>
      </w:r>
      <w:r>
        <w:rPr>
          <w:spacing w:val="-2"/>
          <w:sz w:val="24"/>
        </w:rPr>
        <w:t> (Ph.D.)</w:t>
      </w:r>
    </w:p>
    <w:p>
      <w:pPr>
        <w:pStyle w:val="BodyText"/>
        <w:spacing w:before="185"/>
      </w:pPr>
    </w:p>
    <w:p>
      <w:pPr>
        <w:pStyle w:val="Heading1"/>
      </w:pPr>
      <w:bookmarkStart w:name="Phd theses Supervised (with initial job " w:id="14"/>
      <w:bookmarkEnd w:id="14"/>
      <w:r>
        <w:rPr>
          <w:b w:val="0"/>
        </w:rPr>
      </w:r>
      <w:r>
        <w:rPr>
          <w:smallCaps/>
          <w:color w:val="1F487C"/>
        </w:rPr>
        <w:t>Phd</w:t>
      </w:r>
      <w:r>
        <w:rPr>
          <w:smallCaps/>
          <w:color w:val="1F487C"/>
          <w:spacing w:val="-7"/>
        </w:rPr>
        <w:t> </w:t>
      </w:r>
      <w:r>
        <w:rPr>
          <w:smallCaps/>
          <w:color w:val="1F487C"/>
        </w:rPr>
        <w:t>theses</w:t>
      </w:r>
      <w:r>
        <w:rPr>
          <w:smallCaps/>
          <w:color w:val="1F487C"/>
          <w:spacing w:val="-5"/>
        </w:rPr>
        <w:t> </w:t>
      </w:r>
      <w:r>
        <w:rPr>
          <w:smallCaps/>
          <w:color w:val="1F487C"/>
        </w:rPr>
        <w:t>Supervised</w:t>
      </w:r>
      <w:r>
        <w:rPr>
          <w:smallCaps/>
          <w:color w:val="1F487C"/>
          <w:spacing w:val="-5"/>
        </w:rPr>
        <w:t> </w:t>
      </w:r>
      <w:r>
        <w:rPr>
          <w:smallCaps/>
          <w:color w:val="1F487C"/>
        </w:rPr>
        <w:t>(with</w:t>
      </w:r>
      <w:r>
        <w:rPr>
          <w:smallCaps/>
          <w:color w:val="1F487C"/>
          <w:spacing w:val="-6"/>
        </w:rPr>
        <w:t> </w:t>
      </w:r>
      <w:r>
        <w:rPr>
          <w:smallCaps/>
          <w:color w:val="1F487C"/>
        </w:rPr>
        <w:t>initial</w:t>
      </w:r>
      <w:r>
        <w:rPr>
          <w:smallCaps/>
          <w:color w:val="1F487C"/>
          <w:spacing w:val="-5"/>
        </w:rPr>
        <w:t> </w:t>
      </w:r>
      <w:r>
        <w:rPr>
          <w:smallCaps/>
          <w:color w:val="1F487C"/>
        </w:rPr>
        <w:t>job</w:t>
      </w:r>
      <w:r>
        <w:rPr>
          <w:smallCaps/>
          <w:color w:val="1F487C"/>
          <w:spacing w:val="-4"/>
        </w:rPr>
        <w:t> </w:t>
      </w:r>
      <w:r>
        <w:rPr>
          <w:smallCaps/>
          <w:color w:val="1F487C"/>
          <w:spacing w:val="-2"/>
        </w:rPr>
        <w:t>placement)</w:t>
      </w:r>
    </w:p>
    <w:p>
      <w:pPr>
        <w:pStyle w:val="BodyText"/>
        <w:spacing w:before="22"/>
        <w:rPr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295" w:val="left" w:leader="none"/>
        </w:tabs>
        <w:spacing w:line="240" w:lineRule="auto" w:before="0" w:after="0"/>
        <w:ind w:left="1295" w:right="0" w:hanging="359"/>
        <w:jc w:val="left"/>
        <w:rPr>
          <w:sz w:val="24"/>
        </w:rPr>
      </w:pPr>
      <w:hyperlink r:id="rId65">
        <w:r>
          <w:rPr>
            <w:color w:val="1F487C"/>
            <w:sz w:val="24"/>
          </w:rPr>
          <w:t>Yang</w:t>
        </w:r>
        <w:r>
          <w:rPr>
            <w:color w:val="1F487C"/>
            <w:spacing w:val="-2"/>
            <w:sz w:val="24"/>
          </w:rPr>
          <w:t> </w:t>
        </w:r>
        <w:r>
          <w:rPr>
            <w:color w:val="1F487C"/>
            <w:sz w:val="24"/>
          </w:rPr>
          <w:t>Li</w:t>
        </w:r>
      </w:hyperlink>
      <w:r>
        <w:rPr>
          <w:color w:val="1F487C"/>
          <w:spacing w:val="-1"/>
          <w:sz w:val="24"/>
        </w:rPr>
        <w:t> </w:t>
      </w:r>
      <w:r>
        <w:rPr>
          <w:sz w:val="24"/>
        </w:rPr>
        <w:t>(2016,</w:t>
      </w:r>
      <w:r>
        <w:rPr>
          <w:spacing w:val="-1"/>
          <w:sz w:val="24"/>
        </w:rPr>
        <w:t> </w:t>
      </w:r>
      <w:r>
        <w:rPr>
          <w:sz w:val="24"/>
        </w:rPr>
        <w:t>Nankai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University)</w:t>
      </w:r>
    </w:p>
    <w:p>
      <w:pPr>
        <w:pStyle w:val="ListParagraph"/>
        <w:numPr>
          <w:ilvl w:val="0"/>
          <w:numId w:val="1"/>
        </w:numPr>
        <w:tabs>
          <w:tab w:pos="1295" w:val="left" w:leader="none"/>
        </w:tabs>
        <w:spacing w:line="240" w:lineRule="auto" w:before="0" w:after="0"/>
        <w:ind w:left="1295" w:right="0" w:hanging="359"/>
        <w:jc w:val="left"/>
        <w:rPr>
          <w:sz w:val="24"/>
        </w:rPr>
      </w:pPr>
      <w:hyperlink r:id="rId66">
        <w:r>
          <w:rPr>
            <w:color w:val="1F487C"/>
            <w:sz w:val="24"/>
          </w:rPr>
          <w:t>Yuliyan</w:t>
        </w:r>
        <w:r>
          <w:rPr>
            <w:color w:val="1F487C"/>
            <w:spacing w:val="-2"/>
            <w:sz w:val="24"/>
          </w:rPr>
          <w:t> </w:t>
        </w:r>
        <w:r>
          <w:rPr>
            <w:color w:val="1F487C"/>
            <w:sz w:val="24"/>
          </w:rPr>
          <w:t>Mitkov</w:t>
        </w:r>
      </w:hyperlink>
      <w:r>
        <w:rPr>
          <w:color w:val="1F487C"/>
          <w:spacing w:val="-1"/>
          <w:sz w:val="24"/>
        </w:rPr>
        <w:t> </w:t>
      </w:r>
      <w:r>
        <w:rPr>
          <w:sz w:val="24"/>
        </w:rPr>
        <w:t>(2017,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Bonn)</w:t>
      </w:r>
    </w:p>
    <w:p>
      <w:pPr>
        <w:pStyle w:val="ListParagraph"/>
        <w:numPr>
          <w:ilvl w:val="0"/>
          <w:numId w:val="1"/>
        </w:numPr>
        <w:tabs>
          <w:tab w:pos="1295" w:val="left" w:leader="none"/>
        </w:tabs>
        <w:spacing w:line="240" w:lineRule="auto" w:before="0" w:after="0"/>
        <w:ind w:left="1295" w:right="0" w:hanging="359"/>
        <w:jc w:val="left"/>
        <w:rPr>
          <w:sz w:val="24"/>
        </w:rPr>
      </w:pPr>
      <w:hyperlink r:id="rId67">
        <w:r>
          <w:rPr>
            <w:color w:val="1F487C"/>
            <w:sz w:val="24"/>
          </w:rPr>
          <w:t>Hyeon</w:t>
        </w:r>
        <w:r>
          <w:rPr>
            <w:color w:val="1F487C"/>
            <w:spacing w:val="-2"/>
            <w:sz w:val="24"/>
          </w:rPr>
          <w:t> </w:t>
        </w:r>
        <w:r>
          <w:rPr>
            <w:color w:val="1F487C"/>
            <w:sz w:val="24"/>
          </w:rPr>
          <w:t>Ok</w:t>
        </w:r>
        <w:r>
          <w:rPr>
            <w:color w:val="1F487C"/>
            <w:spacing w:val="-1"/>
            <w:sz w:val="24"/>
          </w:rPr>
          <w:t> </w:t>
        </w:r>
        <w:r>
          <w:rPr>
            <w:color w:val="1F487C"/>
            <w:sz w:val="24"/>
          </w:rPr>
          <w:t>Lee</w:t>
        </w:r>
      </w:hyperlink>
      <w:r>
        <w:rPr>
          <w:color w:val="1F487C"/>
          <w:spacing w:val="-2"/>
          <w:sz w:val="24"/>
        </w:rPr>
        <w:t> </w:t>
      </w:r>
      <w:r>
        <w:rPr>
          <w:sz w:val="24"/>
        </w:rPr>
        <w:t>(2019,</w:t>
      </w:r>
      <w:r>
        <w:rPr>
          <w:spacing w:val="-2"/>
          <w:sz w:val="24"/>
        </w:rPr>
        <w:t> </w:t>
      </w:r>
      <w:r>
        <w:rPr>
          <w:sz w:val="24"/>
        </w:rPr>
        <w:t>Shanghai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Finance 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Economics)</w:t>
      </w:r>
    </w:p>
    <w:p>
      <w:pPr>
        <w:pStyle w:val="ListParagraph"/>
        <w:numPr>
          <w:ilvl w:val="0"/>
          <w:numId w:val="1"/>
        </w:numPr>
        <w:tabs>
          <w:tab w:pos="1295" w:val="left" w:leader="none"/>
        </w:tabs>
        <w:spacing w:line="240" w:lineRule="auto" w:before="0" w:after="0"/>
        <w:ind w:left="1295" w:right="0" w:hanging="359"/>
        <w:jc w:val="left"/>
        <w:rPr>
          <w:sz w:val="24"/>
        </w:rPr>
      </w:pPr>
      <w:hyperlink r:id="rId68">
        <w:r>
          <w:rPr>
            <w:color w:val="1F487C"/>
            <w:sz w:val="24"/>
          </w:rPr>
          <w:t>Ryuichiro</w:t>
        </w:r>
        <w:r>
          <w:rPr>
            <w:color w:val="1F487C"/>
            <w:spacing w:val="-3"/>
            <w:sz w:val="24"/>
          </w:rPr>
          <w:t> </w:t>
        </w:r>
        <w:r>
          <w:rPr>
            <w:color w:val="1F487C"/>
            <w:sz w:val="24"/>
          </w:rPr>
          <w:t>Izumi</w:t>
        </w:r>
      </w:hyperlink>
      <w:r>
        <w:rPr>
          <w:color w:val="1F487C"/>
          <w:spacing w:val="-2"/>
          <w:sz w:val="24"/>
        </w:rPr>
        <w:t> </w:t>
      </w:r>
      <w:r>
        <w:rPr>
          <w:sz w:val="24"/>
        </w:rPr>
        <w:t>(2019, Wesleyan</w:t>
      </w:r>
      <w:r>
        <w:rPr>
          <w:spacing w:val="-2"/>
          <w:sz w:val="24"/>
        </w:rPr>
        <w:t> University)</w:t>
      </w:r>
    </w:p>
    <w:p>
      <w:pPr>
        <w:pStyle w:val="ListParagraph"/>
        <w:numPr>
          <w:ilvl w:val="0"/>
          <w:numId w:val="1"/>
        </w:numPr>
        <w:tabs>
          <w:tab w:pos="1295" w:val="left" w:leader="none"/>
        </w:tabs>
        <w:spacing w:line="240" w:lineRule="auto" w:before="0" w:after="0"/>
        <w:ind w:left="1295" w:right="0" w:hanging="359"/>
        <w:jc w:val="left"/>
        <w:rPr>
          <w:sz w:val="24"/>
        </w:rPr>
      </w:pPr>
      <w:r>
        <w:rPr>
          <w:sz w:val="24"/>
        </w:rPr>
        <w:t>Yan</w:t>
      </w:r>
      <w:r>
        <w:rPr>
          <w:spacing w:val="-3"/>
          <w:sz w:val="24"/>
        </w:rPr>
        <w:t> </w:t>
      </w:r>
      <w:r>
        <w:rPr>
          <w:sz w:val="24"/>
        </w:rPr>
        <w:t>Xue (2021,</w:t>
      </w:r>
      <w:r>
        <w:rPr>
          <w:spacing w:val="-1"/>
          <w:sz w:val="24"/>
        </w:rPr>
        <w:t> </w:t>
      </w:r>
      <w:r>
        <w:rPr>
          <w:sz w:val="24"/>
        </w:rPr>
        <w:t>Shandong </w:t>
      </w:r>
      <w:r>
        <w:rPr>
          <w:spacing w:val="-2"/>
          <w:sz w:val="24"/>
        </w:rPr>
        <w:t>University)</w:t>
      </w:r>
    </w:p>
    <w:p>
      <w:pPr>
        <w:pStyle w:val="ListParagraph"/>
        <w:numPr>
          <w:ilvl w:val="0"/>
          <w:numId w:val="1"/>
        </w:numPr>
        <w:tabs>
          <w:tab w:pos="1295" w:val="left" w:leader="none"/>
        </w:tabs>
        <w:spacing w:line="240" w:lineRule="auto" w:before="0" w:after="0"/>
        <w:ind w:left="1295" w:right="0" w:hanging="359"/>
        <w:jc w:val="left"/>
        <w:rPr>
          <w:sz w:val="24"/>
        </w:rPr>
      </w:pPr>
      <w:hyperlink r:id="rId69">
        <w:r>
          <w:rPr>
            <w:color w:val="1F487C"/>
            <w:sz w:val="24"/>
          </w:rPr>
          <w:t>Xuesong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Huang</w:t>
        </w:r>
      </w:hyperlink>
      <w:r>
        <w:rPr>
          <w:color w:val="1F487C"/>
          <w:spacing w:val="-2"/>
          <w:sz w:val="24"/>
        </w:rPr>
        <w:t> </w:t>
      </w:r>
      <w:r>
        <w:rPr>
          <w:sz w:val="24"/>
        </w:rPr>
        <w:t>(co-advisor;</w:t>
      </w:r>
      <w:r>
        <w:rPr>
          <w:spacing w:val="-2"/>
          <w:sz w:val="24"/>
        </w:rPr>
        <w:t> </w:t>
      </w:r>
      <w:r>
        <w:rPr>
          <w:sz w:val="24"/>
        </w:rPr>
        <w:t>2021,</w:t>
      </w:r>
      <w:r>
        <w:rPr>
          <w:spacing w:val="-2"/>
          <w:sz w:val="24"/>
        </w:rPr>
        <w:t> </w:t>
      </w:r>
      <w:r>
        <w:rPr>
          <w:sz w:val="24"/>
        </w:rPr>
        <w:t>Lingnan</w:t>
      </w:r>
      <w:r>
        <w:rPr>
          <w:spacing w:val="-2"/>
          <w:sz w:val="24"/>
        </w:rPr>
        <w:t> </w:t>
      </w:r>
      <w:r>
        <w:rPr>
          <w:sz w:val="24"/>
        </w:rPr>
        <w:t>College,</w:t>
      </w:r>
      <w:r>
        <w:rPr>
          <w:spacing w:val="-2"/>
          <w:sz w:val="24"/>
        </w:rPr>
        <w:t> </w:t>
      </w:r>
      <w:r>
        <w:rPr>
          <w:sz w:val="24"/>
        </w:rPr>
        <w:t>Sun</w:t>
      </w:r>
      <w:r>
        <w:rPr>
          <w:spacing w:val="-2"/>
          <w:sz w:val="24"/>
        </w:rPr>
        <w:t> </w:t>
      </w:r>
      <w:r>
        <w:rPr>
          <w:sz w:val="24"/>
        </w:rPr>
        <w:t>Yat-sen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University)</w:t>
      </w:r>
    </w:p>
    <w:p>
      <w:pPr>
        <w:pStyle w:val="ListParagraph"/>
        <w:numPr>
          <w:ilvl w:val="0"/>
          <w:numId w:val="1"/>
        </w:numPr>
        <w:tabs>
          <w:tab w:pos="1295" w:val="left" w:leader="none"/>
        </w:tabs>
        <w:spacing w:line="240" w:lineRule="auto" w:before="0" w:after="0"/>
        <w:ind w:left="1295" w:right="0" w:hanging="359"/>
        <w:jc w:val="left"/>
        <w:rPr>
          <w:sz w:val="24"/>
        </w:rPr>
      </w:pPr>
      <w:hyperlink r:id="rId70">
        <w:r>
          <w:rPr>
            <w:color w:val="1F487C"/>
            <w:sz w:val="24"/>
          </w:rPr>
          <w:t>Yu</w:t>
        </w:r>
        <w:r>
          <w:rPr>
            <w:color w:val="1F487C"/>
            <w:spacing w:val="-4"/>
            <w:sz w:val="24"/>
          </w:rPr>
          <w:t> </w:t>
        </w:r>
        <w:r>
          <w:rPr>
            <w:color w:val="1F487C"/>
            <w:sz w:val="24"/>
          </w:rPr>
          <w:t>Xiao</w:t>
        </w:r>
      </w:hyperlink>
      <w:r>
        <w:rPr>
          <w:color w:val="1F487C"/>
          <w:spacing w:val="-3"/>
          <w:sz w:val="24"/>
        </w:rPr>
        <w:t> </w:t>
      </w:r>
      <w:r>
        <w:rPr>
          <w:sz w:val="24"/>
        </w:rPr>
        <w:t>(2022,</w:t>
      </w:r>
      <w:r>
        <w:rPr>
          <w:spacing w:val="-1"/>
          <w:sz w:val="24"/>
        </w:rPr>
        <w:t> </w:t>
      </w:r>
      <w:r>
        <w:rPr>
          <w:sz w:val="24"/>
        </w:rPr>
        <w:t>Southwestern</w:t>
      </w:r>
      <w:r>
        <w:rPr>
          <w:spacing w:val="-2"/>
          <w:sz w:val="24"/>
        </w:rPr>
        <w:t> </w:t>
      </w:r>
      <w:r>
        <w:rPr>
          <w:sz w:val="24"/>
        </w:rPr>
        <w:t>University</w:t>
      </w:r>
      <w:r>
        <w:rPr>
          <w:spacing w:val="-2"/>
          <w:sz w:val="24"/>
        </w:rPr>
        <w:t> </w:t>
      </w:r>
      <w:r>
        <w:rPr>
          <w:sz w:val="24"/>
        </w:rPr>
        <w:t>of Finance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Economics)</w:t>
      </w:r>
    </w:p>
    <w:p>
      <w:pPr>
        <w:pStyle w:val="BodyText"/>
        <w:spacing w:before="242"/>
      </w:pPr>
    </w:p>
    <w:p>
      <w:pPr>
        <w:spacing w:before="0"/>
        <w:ind w:left="215" w:right="0" w:firstLine="0"/>
        <w:jc w:val="left"/>
        <w:rPr>
          <w:b/>
          <w:sz w:val="22"/>
        </w:rPr>
      </w:pPr>
      <w:bookmarkStart w:name="awards and honors" w:id="15"/>
      <w:bookmarkEnd w:id="15"/>
      <w:r>
        <w:rPr/>
      </w:r>
      <w:r>
        <w:rPr>
          <w:b/>
          <w:color w:val="1F487C"/>
          <w:sz w:val="22"/>
        </w:rPr>
        <w:t>AWARDS</w:t>
      </w:r>
      <w:r>
        <w:rPr>
          <w:b/>
          <w:color w:val="1F487C"/>
          <w:spacing w:val="-7"/>
          <w:sz w:val="22"/>
        </w:rPr>
        <w:t> </w:t>
      </w:r>
      <w:r>
        <w:rPr>
          <w:b/>
          <w:color w:val="1F487C"/>
          <w:sz w:val="22"/>
        </w:rPr>
        <w:t>AND</w:t>
      </w:r>
      <w:r>
        <w:rPr>
          <w:b/>
          <w:color w:val="1F487C"/>
          <w:spacing w:val="-7"/>
          <w:sz w:val="22"/>
        </w:rPr>
        <w:t> </w:t>
      </w:r>
      <w:r>
        <w:rPr>
          <w:b/>
          <w:color w:val="1F487C"/>
          <w:spacing w:val="-2"/>
          <w:sz w:val="22"/>
        </w:rPr>
        <w:t>HONORS</w:t>
      </w:r>
    </w:p>
    <w:p>
      <w:pPr>
        <w:pStyle w:val="BodyText"/>
        <w:spacing w:before="34"/>
        <w:rPr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295" w:val="left" w:leader="none"/>
        </w:tabs>
        <w:spacing w:line="240" w:lineRule="auto" w:before="1" w:after="0"/>
        <w:ind w:left="1295" w:right="0" w:hanging="359"/>
        <w:jc w:val="left"/>
        <w:rPr>
          <w:sz w:val="24"/>
        </w:rPr>
      </w:pPr>
      <w:r>
        <w:rPr>
          <w:sz w:val="24"/>
        </w:rPr>
        <w:t>Graduate</w:t>
      </w:r>
      <w:r>
        <w:rPr>
          <w:spacing w:val="-1"/>
          <w:sz w:val="24"/>
        </w:rPr>
        <w:t> </w:t>
      </w:r>
      <w:r>
        <w:rPr>
          <w:sz w:val="24"/>
        </w:rPr>
        <w:t>Teacher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Year, Department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Economics,</w:t>
      </w:r>
      <w:r>
        <w:rPr>
          <w:spacing w:val="-2"/>
          <w:sz w:val="24"/>
        </w:rPr>
        <w:t> </w:t>
      </w:r>
      <w:r>
        <w:rPr>
          <w:sz w:val="24"/>
        </w:rPr>
        <w:t>Rutgers</w:t>
      </w:r>
      <w:r>
        <w:rPr>
          <w:spacing w:val="-2"/>
          <w:sz w:val="24"/>
        </w:rPr>
        <w:t> </w:t>
      </w:r>
      <w:r>
        <w:rPr>
          <w:sz w:val="24"/>
        </w:rPr>
        <w:t>University,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2019</w:t>
      </w:r>
    </w:p>
    <w:p>
      <w:pPr>
        <w:pStyle w:val="ListParagraph"/>
        <w:numPr>
          <w:ilvl w:val="0"/>
          <w:numId w:val="1"/>
        </w:numPr>
        <w:tabs>
          <w:tab w:pos="1295" w:val="left" w:leader="none"/>
        </w:tabs>
        <w:spacing w:line="240" w:lineRule="auto" w:before="0" w:after="0"/>
        <w:ind w:left="1295" w:right="0" w:hanging="359"/>
        <w:jc w:val="left"/>
        <w:rPr>
          <w:sz w:val="24"/>
        </w:rPr>
      </w:pPr>
      <w:r>
        <w:rPr>
          <w:sz w:val="24"/>
        </w:rPr>
        <w:t>Outstanding</w:t>
      </w:r>
      <w:r>
        <w:rPr>
          <w:spacing w:val="-3"/>
          <w:sz w:val="24"/>
        </w:rPr>
        <w:t> </w:t>
      </w:r>
      <w:r>
        <w:rPr>
          <w:sz w:val="24"/>
        </w:rPr>
        <w:t>Referee</w:t>
      </w:r>
      <w:r>
        <w:rPr>
          <w:spacing w:val="-3"/>
          <w:sz w:val="24"/>
        </w:rPr>
        <w:t> </w:t>
      </w:r>
      <w:r>
        <w:rPr>
          <w:sz w:val="24"/>
        </w:rPr>
        <w:t>Award,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Dynamics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Control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2013</w:t>
      </w:r>
    </w:p>
    <w:p>
      <w:pPr>
        <w:pStyle w:val="ListParagraph"/>
        <w:numPr>
          <w:ilvl w:val="0"/>
          <w:numId w:val="1"/>
        </w:numPr>
        <w:tabs>
          <w:tab w:pos="1295" w:val="left" w:leader="none"/>
        </w:tabs>
        <w:spacing w:line="240" w:lineRule="auto" w:before="0" w:after="0"/>
        <w:ind w:left="1295" w:right="0" w:hanging="359"/>
        <w:jc w:val="left"/>
        <w:rPr>
          <w:sz w:val="24"/>
        </w:rPr>
      </w:pPr>
      <w:r>
        <w:rPr>
          <w:sz w:val="24"/>
        </w:rPr>
        <w:t>Excellence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Refereeing Award,</w:t>
      </w:r>
      <w:r>
        <w:rPr>
          <w:spacing w:val="-3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2008</w:t>
      </w:r>
    </w:p>
    <w:p>
      <w:pPr>
        <w:pStyle w:val="ListParagraph"/>
        <w:numPr>
          <w:ilvl w:val="0"/>
          <w:numId w:val="1"/>
        </w:numPr>
        <w:tabs>
          <w:tab w:pos="1295" w:val="left" w:leader="none"/>
          <w:tab w:pos="1655" w:val="left" w:leader="none"/>
        </w:tabs>
        <w:spacing w:line="240" w:lineRule="auto" w:before="0" w:after="0"/>
        <w:ind w:left="1655" w:right="2166" w:hanging="720"/>
        <w:jc w:val="left"/>
        <w:rPr>
          <w:sz w:val="24"/>
        </w:rPr>
      </w:pPr>
      <w:r>
        <w:rPr>
          <w:sz w:val="24"/>
        </w:rPr>
        <w:t>Research</w:t>
      </w:r>
      <w:r>
        <w:rPr>
          <w:spacing w:val="-5"/>
          <w:sz w:val="24"/>
        </w:rPr>
        <w:t> </w:t>
      </w:r>
      <w:r>
        <w:rPr>
          <w:sz w:val="24"/>
        </w:rPr>
        <w:t>Fellow,</w:t>
      </w:r>
      <w:r>
        <w:rPr>
          <w:spacing w:val="-6"/>
          <w:sz w:val="24"/>
        </w:rPr>
        <w:t> </w:t>
      </w:r>
      <w:r>
        <w:rPr>
          <w:sz w:val="24"/>
        </w:rPr>
        <w:t>Sistema</w:t>
      </w:r>
      <w:r>
        <w:rPr>
          <w:spacing w:val="-7"/>
          <w:sz w:val="24"/>
        </w:rPr>
        <w:t> </w:t>
      </w:r>
      <w:r>
        <w:rPr>
          <w:sz w:val="24"/>
        </w:rPr>
        <w:t>Nacional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Investigadores</w:t>
      </w:r>
      <w:r>
        <w:rPr>
          <w:spacing w:val="-6"/>
          <w:sz w:val="24"/>
        </w:rPr>
        <w:t> </w:t>
      </w:r>
      <w:r>
        <w:rPr>
          <w:sz w:val="24"/>
        </w:rPr>
        <w:t>(SNI),</w:t>
      </w:r>
      <w:r>
        <w:rPr>
          <w:spacing w:val="-6"/>
          <w:sz w:val="24"/>
        </w:rPr>
        <w:t> </w:t>
      </w:r>
      <w:r>
        <w:rPr>
          <w:sz w:val="24"/>
        </w:rPr>
        <w:t>Mexico Level Two: 2005 – 2006; Level One: 2001 – 2004</w:t>
      </w:r>
    </w:p>
    <w:p>
      <w:pPr>
        <w:pStyle w:val="ListParagraph"/>
        <w:numPr>
          <w:ilvl w:val="0"/>
          <w:numId w:val="1"/>
        </w:numPr>
        <w:tabs>
          <w:tab w:pos="1295" w:val="left" w:leader="none"/>
          <w:tab w:pos="1656" w:val="left" w:leader="none"/>
        </w:tabs>
        <w:spacing w:line="240" w:lineRule="auto" w:before="0" w:after="0"/>
        <w:ind w:left="1656" w:right="2453" w:hanging="720"/>
        <w:jc w:val="left"/>
        <w:rPr>
          <w:sz w:val="24"/>
        </w:rPr>
      </w:pPr>
      <w:r>
        <w:rPr>
          <w:sz w:val="24"/>
        </w:rPr>
        <w:t>President’s</w:t>
      </w:r>
      <w:r>
        <w:rPr>
          <w:spacing w:val="-6"/>
          <w:sz w:val="24"/>
        </w:rPr>
        <w:t> </w:t>
      </w:r>
      <w:r>
        <w:rPr>
          <w:sz w:val="24"/>
        </w:rPr>
        <w:t>Letter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Recognition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Teaching</w:t>
      </w:r>
      <w:r>
        <w:rPr>
          <w:spacing w:val="-6"/>
          <w:sz w:val="24"/>
        </w:rPr>
        <w:t> </w:t>
      </w:r>
      <w:r>
        <w:rPr>
          <w:sz w:val="24"/>
        </w:rPr>
        <w:t>Excellence,</w:t>
      </w:r>
      <w:r>
        <w:rPr>
          <w:spacing w:val="-4"/>
          <w:sz w:val="24"/>
        </w:rPr>
        <w:t> </w:t>
      </w:r>
      <w:r>
        <w:rPr>
          <w:sz w:val="24"/>
        </w:rPr>
        <w:t>ITAM 1999, 2000, 2002, 2003, 2004, 2005</w:t>
      </w:r>
    </w:p>
    <w:p>
      <w:pPr>
        <w:pStyle w:val="ListParagraph"/>
        <w:numPr>
          <w:ilvl w:val="0"/>
          <w:numId w:val="1"/>
        </w:numPr>
        <w:tabs>
          <w:tab w:pos="1295" w:val="left" w:leader="none"/>
        </w:tabs>
        <w:spacing w:line="240" w:lineRule="auto" w:before="0" w:after="0"/>
        <w:ind w:left="1295" w:right="0" w:hanging="359"/>
        <w:jc w:val="left"/>
        <w:rPr>
          <w:sz w:val="24"/>
        </w:rPr>
      </w:pPr>
      <w:r>
        <w:rPr>
          <w:sz w:val="24"/>
        </w:rPr>
        <w:t>Alfred</w:t>
      </w:r>
      <w:r>
        <w:rPr>
          <w:spacing w:val="-5"/>
          <w:sz w:val="24"/>
        </w:rPr>
        <w:t> </w:t>
      </w:r>
      <w:r>
        <w:rPr>
          <w:sz w:val="24"/>
        </w:rPr>
        <w:t>P.</w:t>
      </w:r>
      <w:r>
        <w:rPr>
          <w:spacing w:val="-3"/>
          <w:sz w:val="24"/>
        </w:rPr>
        <w:t> </w:t>
      </w:r>
      <w:r>
        <w:rPr>
          <w:sz w:val="24"/>
        </w:rPr>
        <w:t>Sloan</w:t>
      </w:r>
      <w:r>
        <w:rPr>
          <w:spacing w:val="-2"/>
          <w:sz w:val="24"/>
        </w:rPr>
        <w:t> </w:t>
      </w:r>
      <w:r>
        <w:rPr>
          <w:sz w:val="24"/>
        </w:rPr>
        <w:t>Foundation</w:t>
      </w:r>
      <w:r>
        <w:rPr>
          <w:spacing w:val="-3"/>
          <w:sz w:val="24"/>
        </w:rPr>
        <w:t> </w:t>
      </w:r>
      <w:r>
        <w:rPr>
          <w:sz w:val="24"/>
        </w:rPr>
        <w:t>Doctoral</w:t>
      </w:r>
      <w:r>
        <w:rPr>
          <w:spacing w:val="-2"/>
          <w:sz w:val="24"/>
        </w:rPr>
        <w:t> </w:t>
      </w:r>
      <w:r>
        <w:rPr>
          <w:sz w:val="24"/>
        </w:rPr>
        <w:t>Dissertation</w:t>
      </w:r>
      <w:r>
        <w:rPr>
          <w:spacing w:val="-3"/>
          <w:sz w:val="24"/>
        </w:rPr>
        <w:t> </w:t>
      </w:r>
      <w:r>
        <w:rPr>
          <w:sz w:val="24"/>
        </w:rPr>
        <w:t>Fellowship,</w:t>
      </w:r>
      <w:r>
        <w:rPr>
          <w:spacing w:val="-2"/>
          <w:sz w:val="24"/>
        </w:rPr>
        <w:t> </w:t>
      </w:r>
      <w:r>
        <w:rPr>
          <w:sz w:val="24"/>
        </w:rPr>
        <w:t>1997-</w:t>
      </w:r>
      <w:r>
        <w:rPr>
          <w:spacing w:val="-5"/>
          <w:sz w:val="24"/>
        </w:rPr>
        <w:t>98</w:t>
      </w:r>
    </w:p>
    <w:p>
      <w:pPr>
        <w:pStyle w:val="ListParagraph"/>
        <w:numPr>
          <w:ilvl w:val="0"/>
          <w:numId w:val="1"/>
        </w:numPr>
        <w:tabs>
          <w:tab w:pos="1295" w:val="left" w:leader="none"/>
        </w:tabs>
        <w:spacing w:line="240" w:lineRule="auto" w:before="0" w:after="0"/>
        <w:ind w:left="1295" w:right="0" w:hanging="359"/>
        <w:jc w:val="left"/>
        <w:rPr>
          <w:sz w:val="24"/>
        </w:rPr>
      </w:pPr>
      <w:r>
        <w:rPr>
          <w:sz w:val="24"/>
        </w:rPr>
        <w:t>Sage</w:t>
      </w:r>
      <w:r>
        <w:rPr>
          <w:spacing w:val="-5"/>
          <w:sz w:val="24"/>
        </w:rPr>
        <w:t> </w:t>
      </w:r>
      <w:r>
        <w:rPr>
          <w:sz w:val="24"/>
        </w:rPr>
        <w:t>Foundation</w:t>
      </w:r>
      <w:r>
        <w:rPr>
          <w:spacing w:val="-2"/>
          <w:sz w:val="24"/>
        </w:rPr>
        <w:t> </w:t>
      </w:r>
      <w:r>
        <w:rPr>
          <w:sz w:val="24"/>
        </w:rPr>
        <w:t>Graduate</w:t>
      </w:r>
      <w:r>
        <w:rPr>
          <w:spacing w:val="-2"/>
          <w:sz w:val="24"/>
        </w:rPr>
        <w:t> </w:t>
      </w:r>
      <w:r>
        <w:rPr>
          <w:sz w:val="24"/>
        </w:rPr>
        <w:t>Fellowship,</w:t>
      </w:r>
      <w:r>
        <w:rPr>
          <w:spacing w:val="-2"/>
          <w:sz w:val="24"/>
        </w:rPr>
        <w:t> </w:t>
      </w:r>
      <w:r>
        <w:rPr>
          <w:sz w:val="24"/>
        </w:rPr>
        <w:t>Cornell</w:t>
      </w:r>
      <w:r>
        <w:rPr>
          <w:spacing w:val="-2"/>
          <w:sz w:val="24"/>
        </w:rPr>
        <w:t> </w:t>
      </w:r>
      <w:r>
        <w:rPr>
          <w:sz w:val="24"/>
        </w:rPr>
        <w:t>University,</w:t>
      </w:r>
      <w:r>
        <w:rPr>
          <w:spacing w:val="-1"/>
          <w:sz w:val="24"/>
        </w:rPr>
        <w:t> </w:t>
      </w:r>
      <w:r>
        <w:rPr>
          <w:sz w:val="24"/>
        </w:rPr>
        <w:t>1993-94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1996-</w:t>
      </w:r>
      <w:r>
        <w:rPr>
          <w:spacing w:val="-5"/>
          <w:sz w:val="24"/>
        </w:rPr>
        <w:t>97</w:t>
      </w:r>
    </w:p>
    <w:p>
      <w:pPr>
        <w:pStyle w:val="ListParagraph"/>
        <w:numPr>
          <w:ilvl w:val="0"/>
          <w:numId w:val="1"/>
        </w:numPr>
        <w:tabs>
          <w:tab w:pos="1295" w:val="left" w:leader="none"/>
        </w:tabs>
        <w:spacing w:line="240" w:lineRule="auto" w:before="0" w:after="0"/>
        <w:ind w:left="1295" w:right="0" w:hanging="359"/>
        <w:jc w:val="left"/>
        <w:rPr>
          <w:sz w:val="24"/>
        </w:rPr>
      </w:pPr>
      <w:r>
        <w:rPr>
          <w:sz w:val="24"/>
        </w:rPr>
        <w:t>Outstanding</w:t>
      </w:r>
      <w:r>
        <w:rPr>
          <w:spacing w:val="-2"/>
          <w:sz w:val="24"/>
        </w:rPr>
        <w:t> </w:t>
      </w:r>
      <w:r>
        <w:rPr>
          <w:sz w:val="24"/>
        </w:rPr>
        <w:t>Teaching</w:t>
      </w:r>
      <w:r>
        <w:rPr>
          <w:spacing w:val="-2"/>
          <w:sz w:val="24"/>
        </w:rPr>
        <w:t> </w:t>
      </w:r>
      <w:r>
        <w:rPr>
          <w:sz w:val="24"/>
        </w:rPr>
        <w:t>Assistant</w:t>
      </w:r>
      <w:r>
        <w:rPr>
          <w:spacing w:val="-2"/>
          <w:sz w:val="24"/>
        </w:rPr>
        <w:t> </w:t>
      </w:r>
      <w:r>
        <w:rPr>
          <w:sz w:val="24"/>
        </w:rPr>
        <w:t>Award,</w:t>
      </w:r>
      <w:r>
        <w:rPr>
          <w:spacing w:val="-1"/>
          <w:sz w:val="24"/>
        </w:rPr>
        <w:t> </w:t>
      </w:r>
      <w:r>
        <w:rPr>
          <w:sz w:val="24"/>
        </w:rPr>
        <w:t>Cornell</w:t>
      </w:r>
      <w:r>
        <w:rPr>
          <w:spacing w:val="-2"/>
          <w:sz w:val="24"/>
        </w:rPr>
        <w:t> </w:t>
      </w:r>
      <w:r>
        <w:rPr>
          <w:sz w:val="24"/>
        </w:rPr>
        <w:t>University,</w:t>
      </w:r>
      <w:r>
        <w:rPr>
          <w:spacing w:val="-2"/>
          <w:sz w:val="24"/>
        </w:rPr>
        <w:t> </w:t>
      </w:r>
      <w:r>
        <w:rPr>
          <w:sz w:val="24"/>
        </w:rPr>
        <w:t>1994-95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1995-</w:t>
      </w:r>
      <w:r>
        <w:rPr>
          <w:spacing w:val="-5"/>
          <w:sz w:val="24"/>
        </w:rPr>
        <w:t>96</w:t>
      </w:r>
    </w:p>
    <w:p>
      <w:pPr>
        <w:pStyle w:val="BodyText"/>
        <w:spacing w:before="183"/>
      </w:pPr>
    </w:p>
    <w:p>
      <w:pPr>
        <w:pStyle w:val="Heading1"/>
      </w:pPr>
      <w:bookmarkStart w:name="Military service" w:id="16"/>
      <w:bookmarkEnd w:id="16"/>
      <w:r>
        <w:rPr>
          <w:b w:val="0"/>
        </w:rPr>
      </w:r>
      <w:r>
        <w:rPr>
          <w:smallCaps/>
          <w:color w:val="1F487C"/>
        </w:rPr>
        <w:t>Military</w:t>
      </w:r>
      <w:r>
        <w:rPr>
          <w:smallCaps/>
          <w:color w:val="1F487C"/>
          <w:spacing w:val="-9"/>
        </w:rPr>
        <w:t> </w:t>
      </w:r>
      <w:r>
        <w:rPr>
          <w:smallCaps/>
          <w:color w:val="1F487C"/>
          <w:spacing w:val="-2"/>
        </w:rPr>
        <w:t>service</w:t>
      </w:r>
    </w:p>
    <w:p>
      <w:pPr>
        <w:pStyle w:val="BodyText"/>
        <w:spacing w:before="22"/>
        <w:rPr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295" w:val="left" w:leader="none"/>
        </w:tabs>
        <w:spacing w:line="240" w:lineRule="auto" w:before="0" w:after="0"/>
        <w:ind w:left="1295" w:right="0" w:hanging="359"/>
        <w:jc w:val="left"/>
        <w:rPr>
          <w:sz w:val="24"/>
        </w:rPr>
      </w:pPr>
      <w:r>
        <w:rPr>
          <w:sz w:val="24"/>
        </w:rPr>
        <w:t>Lieutenant,</w:t>
      </w:r>
      <w:r>
        <w:rPr>
          <w:spacing w:val="-4"/>
          <w:sz w:val="24"/>
        </w:rPr>
        <w:t> </w:t>
      </w:r>
      <w:r>
        <w:rPr>
          <w:sz w:val="24"/>
        </w:rPr>
        <w:t>United</w:t>
      </w:r>
      <w:r>
        <w:rPr>
          <w:spacing w:val="-2"/>
          <w:sz w:val="24"/>
        </w:rPr>
        <w:t> </w:t>
      </w:r>
      <w:r>
        <w:rPr>
          <w:sz w:val="24"/>
        </w:rPr>
        <w:t>States</w:t>
      </w:r>
      <w:r>
        <w:rPr>
          <w:spacing w:val="1"/>
          <w:sz w:val="24"/>
        </w:rPr>
        <w:t> </w:t>
      </w:r>
      <w:r>
        <w:rPr>
          <w:sz w:val="24"/>
        </w:rPr>
        <w:t>Air</w:t>
      </w:r>
      <w:r>
        <w:rPr>
          <w:spacing w:val="-3"/>
          <w:sz w:val="24"/>
        </w:rPr>
        <w:t> </w:t>
      </w:r>
      <w:r>
        <w:rPr>
          <w:sz w:val="24"/>
        </w:rPr>
        <w:t>Force;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active</w:t>
      </w:r>
      <w:r>
        <w:rPr>
          <w:spacing w:val="-3"/>
          <w:sz w:val="24"/>
        </w:rPr>
        <w:t> </w:t>
      </w:r>
      <w:r>
        <w:rPr>
          <w:sz w:val="24"/>
        </w:rPr>
        <w:t>duty</w:t>
      </w:r>
      <w:r>
        <w:rPr>
          <w:spacing w:val="-1"/>
          <w:sz w:val="24"/>
        </w:rPr>
        <w:t> </w:t>
      </w:r>
      <w:r>
        <w:rPr>
          <w:sz w:val="24"/>
        </w:rPr>
        <w:t>1989-</w:t>
      </w:r>
      <w:r>
        <w:rPr>
          <w:spacing w:val="-4"/>
          <w:sz w:val="24"/>
        </w:rPr>
        <w:t>1992</w:t>
      </w:r>
    </w:p>
    <w:p>
      <w:pPr>
        <w:pStyle w:val="ListParagraph"/>
        <w:numPr>
          <w:ilvl w:val="0"/>
          <w:numId w:val="1"/>
        </w:numPr>
        <w:tabs>
          <w:tab w:pos="1295" w:val="left" w:leader="none"/>
        </w:tabs>
        <w:spacing w:line="240" w:lineRule="auto" w:before="0" w:after="0"/>
        <w:ind w:left="1295" w:right="0" w:hanging="359"/>
        <w:jc w:val="left"/>
        <w:rPr>
          <w:sz w:val="24"/>
        </w:rPr>
      </w:pPr>
      <w:r>
        <w:rPr>
          <w:sz w:val="24"/>
        </w:rPr>
        <w:t>Air</w:t>
      </w:r>
      <w:r>
        <w:rPr>
          <w:spacing w:val="-3"/>
          <w:sz w:val="24"/>
        </w:rPr>
        <w:t> </w:t>
      </w:r>
      <w:r>
        <w:rPr>
          <w:sz w:val="24"/>
        </w:rPr>
        <w:t>Force</w:t>
      </w:r>
      <w:r>
        <w:rPr>
          <w:spacing w:val="-2"/>
          <w:sz w:val="24"/>
        </w:rPr>
        <w:t> </w:t>
      </w:r>
      <w:r>
        <w:rPr>
          <w:sz w:val="24"/>
        </w:rPr>
        <w:t>Reserve</w:t>
      </w:r>
      <w:r>
        <w:rPr>
          <w:spacing w:val="-3"/>
          <w:sz w:val="24"/>
        </w:rPr>
        <w:t> </w:t>
      </w:r>
      <w:r>
        <w:rPr>
          <w:sz w:val="24"/>
        </w:rPr>
        <w:t>Officer</w:t>
      </w:r>
      <w:r>
        <w:rPr>
          <w:spacing w:val="-2"/>
          <w:sz w:val="24"/>
        </w:rPr>
        <w:t> </w:t>
      </w:r>
      <w:r>
        <w:rPr>
          <w:sz w:val="24"/>
        </w:rPr>
        <w:t>Training</w:t>
      </w:r>
      <w:r>
        <w:rPr>
          <w:spacing w:val="-2"/>
          <w:sz w:val="24"/>
        </w:rPr>
        <w:t> </w:t>
      </w:r>
      <w:r>
        <w:rPr>
          <w:sz w:val="24"/>
        </w:rPr>
        <w:t>Corps</w:t>
      </w:r>
      <w:r>
        <w:rPr>
          <w:spacing w:val="-1"/>
          <w:sz w:val="24"/>
        </w:rPr>
        <w:t> </w:t>
      </w:r>
      <w:r>
        <w:rPr>
          <w:sz w:val="24"/>
        </w:rPr>
        <w:t>Scholarship,</w:t>
      </w:r>
      <w:r>
        <w:rPr>
          <w:spacing w:val="-2"/>
          <w:sz w:val="24"/>
        </w:rPr>
        <w:t> </w:t>
      </w:r>
      <w:r>
        <w:rPr>
          <w:sz w:val="24"/>
        </w:rPr>
        <w:t>Duke</w:t>
      </w:r>
      <w:r>
        <w:rPr>
          <w:spacing w:val="-2"/>
          <w:sz w:val="24"/>
        </w:rPr>
        <w:t> </w:t>
      </w:r>
      <w:r>
        <w:rPr>
          <w:sz w:val="24"/>
        </w:rPr>
        <w:t>University,</w:t>
      </w:r>
      <w:r>
        <w:rPr>
          <w:spacing w:val="-1"/>
          <w:sz w:val="24"/>
        </w:rPr>
        <w:t> </w:t>
      </w:r>
      <w:r>
        <w:rPr>
          <w:sz w:val="24"/>
        </w:rPr>
        <w:t>1986-</w:t>
      </w:r>
      <w:r>
        <w:rPr>
          <w:spacing w:val="-4"/>
          <w:sz w:val="24"/>
        </w:rPr>
        <w:t>1989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7"/>
      </w:pPr>
    </w:p>
    <w:p>
      <w:pPr>
        <w:spacing w:before="0"/>
        <w:ind w:left="0" w:right="68" w:firstLine="0"/>
        <w:jc w:val="right"/>
        <w:rPr>
          <w:sz w:val="16"/>
        </w:rPr>
      </w:pPr>
      <w:r>
        <w:rPr>
          <w:sz w:val="16"/>
        </w:rPr>
        <w:t>Updated</w:t>
      </w:r>
      <w:r>
        <w:rPr>
          <w:spacing w:val="-4"/>
          <w:sz w:val="16"/>
        </w:rPr>
        <w:t> </w:t>
      </w:r>
      <w:r>
        <w:rPr>
          <w:sz w:val="16"/>
        </w:rPr>
        <w:t>July</w:t>
      </w:r>
      <w:r>
        <w:rPr>
          <w:spacing w:val="-4"/>
          <w:sz w:val="16"/>
        </w:rPr>
        <w:t> </w:t>
      </w:r>
      <w:r>
        <w:rPr>
          <w:sz w:val="16"/>
        </w:rPr>
        <w:t>1,</w:t>
      </w:r>
      <w:r>
        <w:rPr>
          <w:spacing w:val="-4"/>
          <w:sz w:val="16"/>
        </w:rPr>
        <w:t> 2025</w:t>
      </w:r>
    </w:p>
    <w:sectPr>
      <w:pgSz w:w="12240" w:h="15840"/>
      <w:pgMar w:header="792" w:footer="0" w:top="10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1440">
              <wp:simplePos x="0" y="0"/>
              <wp:positionH relativeFrom="page">
                <wp:posOffset>3586925</wp:posOffset>
              </wp:positionH>
              <wp:positionV relativeFrom="page">
                <wp:posOffset>490324</wp:posOffset>
              </wp:positionV>
              <wp:extent cx="687705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877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z w:val="20"/>
                            </w:rPr>
                            <w:t>Keister-</w:t>
                          </w:r>
                          <w:r>
                            <w:rPr>
                              <w:i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i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i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i/>
                              <w:sz w:val="20"/>
                            </w:rPr>
                            <w:t>2</w:t>
                          </w:r>
                          <w:r>
                            <w:rPr>
                              <w:i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i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–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2.435089pt;margin-top:38.608231pt;width:54.15pt;height:13.05pt;mso-position-horizontal-relative:page;mso-position-vertical-relative:page;z-index:-15895040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i/>
                        <w:sz w:val="20"/>
                      </w:rPr>
                      <w:t>Keister-</w:t>
                    </w:r>
                    <w:r>
                      <w:rPr>
                        <w:i/>
                        <w:sz w:val="20"/>
                      </w:rPr>
                      <w:fldChar w:fldCharType="begin"/>
                    </w:r>
                    <w:r>
                      <w:rPr>
                        <w:i/>
                        <w:sz w:val="20"/>
                      </w:rPr>
                      <w:instrText> PAGE </w:instrText>
                    </w:r>
                    <w:r>
                      <w:rPr>
                        <w:i/>
                        <w:sz w:val="20"/>
                      </w:rPr>
                      <w:fldChar w:fldCharType="separate"/>
                    </w:r>
                    <w:r>
                      <w:rPr>
                        <w:i/>
                        <w:sz w:val="20"/>
                      </w:rPr>
                      <w:t>2</w:t>
                    </w:r>
                    <w:r>
                      <w:rPr>
                        <w:i/>
                        <w:sz w:val="20"/>
                      </w:rPr>
                      <w:fldChar w:fldCharType="end"/>
                    </w:r>
                    <w:r>
                      <w:rPr>
                        <w:i/>
                        <w:spacing w:val="-6"/>
                        <w:sz w:val="20"/>
                      </w:rPr>
                      <w:t> </w:t>
                    </w:r>
                    <w:r>
                      <w:rPr>
                        <w:spacing w:val="-10"/>
                        <w:sz w:val="20"/>
                      </w:rPr>
                      <w:t>–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65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0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4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8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6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15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95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todd.keister@ny.frb.org" TargetMode="External"/><Relationship Id="rId6" Type="http://schemas.openxmlformats.org/officeDocument/2006/relationships/hyperlink" Target="http://www.toddkeister.com/" TargetMode="External"/><Relationship Id="rId7" Type="http://schemas.openxmlformats.org/officeDocument/2006/relationships/hyperlink" Target="https://www.sciencedirect.com/journal/journal-of-monetary-economics/about/editorial-board" TargetMode="External"/><Relationship Id="rId8" Type="http://schemas.openxmlformats.org/officeDocument/2006/relationships/hyperlink" Target="https://www.aeaweb.org/journals/mac/editors" TargetMode="External"/><Relationship Id="rId9" Type="http://schemas.openxmlformats.org/officeDocument/2006/relationships/header" Target="header1.xml"/><Relationship Id="rId10" Type="http://schemas.openxmlformats.org/officeDocument/2006/relationships/hyperlink" Target="http://www.toddkeister.net/articles.html" TargetMode="External"/><Relationship Id="rId11" Type="http://schemas.openxmlformats.org/officeDocument/2006/relationships/hyperlink" Target="https://doi.org/10.1016/j.jet.2023.105672" TargetMode="External"/><Relationship Id="rId12" Type="http://schemas.openxmlformats.org/officeDocument/2006/relationships/hyperlink" Target="https://academic.oup.com/restud/advance-article-abstract/doi/10.1093/restud/rdac017/6561552" TargetMode="External"/><Relationship Id="rId13" Type="http://schemas.openxmlformats.org/officeDocument/2006/relationships/hyperlink" Target="https://www.sciencedirect.com/science/article/abs/pii/S0165188922002056" TargetMode="External"/><Relationship Id="rId14" Type="http://schemas.openxmlformats.org/officeDocument/2006/relationships/hyperlink" Target="https://www.sciencedirect.com/journal/journal-of-economic-dynamics-and-control/vol/142/" TargetMode="External"/><Relationship Id="rId15" Type="http://schemas.openxmlformats.org/officeDocument/2006/relationships/hyperlink" Target="https://doi.org/10.1016/j.jmoneco.2017.09.002" TargetMode="External"/><Relationship Id="rId16" Type="http://schemas.openxmlformats.org/officeDocument/2006/relationships/hyperlink" Target="http://dx.doi.org/10.1016/j.red.2015.03.004" TargetMode="External"/><Relationship Id="rId17" Type="http://schemas.openxmlformats.org/officeDocument/2006/relationships/hyperlink" Target="http://dx.doi.org/10.1093/restud/rdv044" TargetMode="External"/><Relationship Id="rId18" Type="http://schemas.openxmlformats.org/officeDocument/2006/relationships/hyperlink" Target="http://rdcu.be/mEVM" TargetMode="External"/><Relationship Id="rId19" Type="http://schemas.openxmlformats.org/officeDocument/2006/relationships/hyperlink" Target="http://dx.doi.org/10.1016/j.jmoneco.2010.04.005" TargetMode="External"/><Relationship Id="rId20" Type="http://schemas.openxmlformats.org/officeDocument/2006/relationships/hyperlink" Target="http://www.toddkeister.net/pdf/Ennis-Keister_2009_AER.pdf" TargetMode="External"/><Relationship Id="rId21" Type="http://schemas.openxmlformats.org/officeDocument/2006/relationships/hyperlink" Target="https://onlinelibrary.wiley.com/doi/abs/10.1111/j.1468-2354.2009.00556.x" TargetMode="External"/><Relationship Id="rId22" Type="http://schemas.openxmlformats.org/officeDocument/2006/relationships/hyperlink" Target="http://dx.doi.org/10.1016/j.jet.2009.05.001" TargetMode="External"/><Relationship Id="rId23" Type="http://schemas.openxmlformats.org/officeDocument/2006/relationships/hyperlink" Target="http://dx.doi.org/10.1016/j.jebo.2009.03.009" TargetMode="External"/><Relationship Id="rId24" Type="http://schemas.openxmlformats.org/officeDocument/2006/relationships/hyperlink" Target="http://dx.doi.org/10.1016/j.jmoneco.2004.09.006" TargetMode="External"/><Relationship Id="rId25" Type="http://schemas.openxmlformats.org/officeDocument/2006/relationships/hyperlink" Target="http://journals.cambridge.org/action/displayAbstract?fromPage=online&amp;aid=361225" TargetMode="External"/><Relationship Id="rId26" Type="http://schemas.openxmlformats.org/officeDocument/2006/relationships/hyperlink" Target="http://dx.doi.org/10.1016/j.jmoneco.2004.08.006" TargetMode="External"/><Relationship Id="rId27" Type="http://schemas.openxmlformats.org/officeDocument/2006/relationships/hyperlink" Target="http://dx.doi.org/10.1016/j.euroecorev.2003.08.006" TargetMode="External"/><Relationship Id="rId28" Type="http://schemas.openxmlformats.org/officeDocument/2006/relationships/hyperlink" Target="https://onlinelibrary.wiley.com/doi/abs/10.1111/j.1468-2354.2004.00129.x" TargetMode="External"/><Relationship Id="rId29" Type="http://schemas.openxmlformats.org/officeDocument/2006/relationships/hyperlink" Target="http://dx.doi.org/10.1016/S0022-0531(03)00014-0" TargetMode="External"/><Relationship Id="rId30" Type="http://schemas.openxmlformats.org/officeDocument/2006/relationships/hyperlink" Target="http://dx.doi.org/10.1006/jeth.1999.2634" TargetMode="External"/><Relationship Id="rId31" Type="http://schemas.openxmlformats.org/officeDocument/2006/relationships/hyperlink" Target="http://dx.doi.org/10.1006/jeth.2001.2798" TargetMode="External"/><Relationship Id="rId32" Type="http://schemas.openxmlformats.org/officeDocument/2006/relationships/hyperlink" Target="http://dx.doi.org/10.1006/jeth.2000.2750" TargetMode="External"/><Relationship Id="rId33" Type="http://schemas.openxmlformats.org/officeDocument/2006/relationships/hyperlink" Target="http://journals.cambridge.org/action/displayAbstract?fromPage=online&amp;aid=79383&amp;fulltextType=RA&amp;fileId=S1365100500020010" TargetMode="External"/><Relationship Id="rId34" Type="http://schemas.openxmlformats.org/officeDocument/2006/relationships/hyperlink" Target="http://dx.doi.org/10.1006/jeth.1999.2632" TargetMode="External"/><Relationship Id="rId35" Type="http://schemas.openxmlformats.org/officeDocument/2006/relationships/hyperlink" Target="http://dx.doi.org/10.1006/jeth.1998.2455" TargetMode="External"/><Relationship Id="rId36" Type="http://schemas.openxmlformats.org/officeDocument/2006/relationships/hyperlink" Target="http://rdcu.be/mE2B" TargetMode="External"/><Relationship Id="rId37" Type="http://schemas.openxmlformats.org/officeDocument/2006/relationships/hyperlink" Target="http://www.toddkeister.net/fedpubs.html" TargetMode="External"/><Relationship Id="rId38" Type="http://schemas.openxmlformats.org/officeDocument/2006/relationships/hyperlink" Target="http://www.toddkeister.net/pdf/KM_CEPR_chapter.pdf" TargetMode="External"/><Relationship Id="rId39" Type="http://schemas.openxmlformats.org/officeDocument/2006/relationships/hyperlink" Target="https://voxeu.org/content/central-bank-digital-currency-considerations-projects-outlook" TargetMode="External"/><Relationship Id="rId40" Type="http://schemas.openxmlformats.org/officeDocument/2006/relationships/hyperlink" Target="https://www.bankingperspectives.com/the-liquidity-coverage-ratio-and-monetary-policy-implementation/" TargetMode="External"/><Relationship Id="rId41" Type="http://schemas.openxmlformats.org/officeDocument/2006/relationships/hyperlink" Target="http://www.toddkeister.net/pdf/Keister_LCR_discussion.pdf" TargetMode="External"/><Relationship Id="rId42" Type="http://schemas.openxmlformats.org/officeDocument/2006/relationships/hyperlink" Target="http://www.ny.frb.org/research/epr/2014/1402yor3.pdf" TargetMode="External"/><Relationship Id="rId43" Type="http://schemas.openxmlformats.org/officeDocument/2006/relationships/hyperlink" Target="http://www.rba.gov.au/publications/confs/2013/pdf/bech-keister.pdf" TargetMode="External"/><Relationship Id="rId44" Type="http://schemas.openxmlformats.org/officeDocument/2006/relationships/hyperlink" Target="http://www.bis.org/publ/qtrpdf/r_qt1212g.pdf" TargetMode="External"/><Relationship Id="rId45" Type="http://schemas.openxmlformats.org/officeDocument/2006/relationships/hyperlink" Target="https://www.richmondfed.org/publications/research/economic_quarterly/2010/q1/ennis" TargetMode="External"/><Relationship Id="rId46" Type="http://schemas.openxmlformats.org/officeDocument/2006/relationships/hyperlink" Target="http://www.newyorkfed.org/research/current_issues/ci15-8.pdf" TargetMode="External"/><Relationship Id="rId47" Type="http://schemas.openxmlformats.org/officeDocument/2006/relationships/hyperlink" Target="http://www.newyorkfed.org/research/epr/08v14n2/0809keis.pdf" TargetMode="External"/><Relationship Id="rId48" Type="http://schemas.openxmlformats.org/officeDocument/2006/relationships/hyperlink" Target="https://www.richmondfed.org/publications/research/economic_quarterly/2008/summer/ennis_keister" TargetMode="External"/><Relationship Id="rId49" Type="http://schemas.openxmlformats.org/officeDocument/2006/relationships/hyperlink" Target="http://research.stlouisfed.org/publications/review/01/11/29-40Antinolfi.pdf" TargetMode="External"/><Relationship Id="rId50" Type="http://schemas.openxmlformats.org/officeDocument/2006/relationships/hyperlink" Target="http://financialservices.house.gov/uploadedfiles/hhrg-114-ba19-wstate-tkeister-20160517.pdf" TargetMode="External"/><Relationship Id="rId51" Type="http://schemas.openxmlformats.org/officeDocument/2006/relationships/hyperlink" Target="http://www.toddkeister.net/pdf/IOER_oral_testimony.pdf" TargetMode="External"/><Relationship Id="rId52" Type="http://schemas.openxmlformats.org/officeDocument/2006/relationships/hyperlink" Target="http://www.toddkeister.net/discussions.html" TargetMode="External"/><Relationship Id="rId53" Type="http://schemas.openxmlformats.org/officeDocument/2006/relationships/hyperlink" Target="https://doi.org/10.1016/j.jedc.2022.104496" TargetMode="External"/><Relationship Id="rId54" Type="http://schemas.openxmlformats.org/officeDocument/2006/relationships/hyperlink" Target="http://dx.doi.org/10.1007/s10436-012-0201-6" TargetMode="External"/><Relationship Id="rId55" Type="http://schemas.openxmlformats.org/officeDocument/2006/relationships/hyperlink" Target="http://onlinelibrary.wiley.com/doi/10.1111/j.1538-4616.2011.00447.x/abstract" TargetMode="External"/><Relationship Id="rId56" Type="http://schemas.openxmlformats.org/officeDocument/2006/relationships/hyperlink" Target="http://dx.doi.org/10.1016/j.jmoneco.2009.11.002" TargetMode="External"/><Relationship Id="rId57" Type="http://schemas.openxmlformats.org/officeDocument/2006/relationships/hyperlink" Target="http://www.toddkeister.net/working_papers.html" TargetMode="External"/><Relationship Id="rId58" Type="http://schemas.openxmlformats.org/officeDocument/2006/relationships/hyperlink" Target="https://toddkeister.net/pdf/HK_fees.pdf" TargetMode="External"/><Relationship Id="rId59" Type="http://schemas.openxmlformats.org/officeDocument/2006/relationships/hyperlink" Target="https://www.philadelphiafed.org/-/media/frbp/assets/working-papers/2016/wp16-32.pdf" TargetMode="External"/><Relationship Id="rId60" Type="http://schemas.openxmlformats.org/officeDocument/2006/relationships/hyperlink" Target="https://www.newyorkfed.org/medialibrary/media/research/staff_reports/sr754.pdf" TargetMode="External"/><Relationship Id="rId61" Type="http://schemas.openxmlformats.org/officeDocument/2006/relationships/hyperlink" Target="http://econpapers.repec.org/paper/ciewpaper/0002.htm" TargetMode="External"/><Relationship Id="rId62" Type="http://schemas.openxmlformats.org/officeDocument/2006/relationships/hyperlink" Target="https://cepr.org/research/research-policy-networks/fintech-and-digital-currencies" TargetMode="External"/><Relationship Id="rId63" Type="http://schemas.openxmlformats.org/officeDocument/2006/relationships/hyperlink" Target="https://www.cbanddc.net/" TargetMode="External"/><Relationship Id="rId64" Type="http://schemas.openxmlformats.org/officeDocument/2006/relationships/hyperlink" Target="https://sammf.com/joint-workshop-the-economics-of-digital-currencies/" TargetMode="External"/><Relationship Id="rId65" Type="http://schemas.openxmlformats.org/officeDocument/2006/relationships/hyperlink" Target="https://sites.google.com/site/yanglinankai/" TargetMode="External"/><Relationship Id="rId66" Type="http://schemas.openxmlformats.org/officeDocument/2006/relationships/hyperlink" Target="https://sites.google.com/site/yuliyanborisovmitkov/" TargetMode="External"/><Relationship Id="rId67" Type="http://schemas.openxmlformats.org/officeDocument/2006/relationships/hyperlink" Target="https://sites.google.com/view/hyeonok-lee" TargetMode="External"/><Relationship Id="rId68" Type="http://schemas.openxmlformats.org/officeDocument/2006/relationships/hyperlink" Target="https://www.ryuichiroizumi.com/" TargetMode="External"/><Relationship Id="rId69" Type="http://schemas.openxmlformats.org/officeDocument/2006/relationships/hyperlink" Target="https://www.xuesonghuang.org/" TargetMode="External"/><Relationship Id="rId70" Type="http://schemas.openxmlformats.org/officeDocument/2006/relationships/hyperlink" Target="https://www.econyuxiao.com/" TargetMode="External"/><Relationship Id="rId7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Rutgers University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KIRK;TK</dc:creator>
  <dc:title>keister cv</dc:title>
  <dcterms:created xsi:type="dcterms:W3CDTF">2026-01-29T06:18:29Z</dcterms:created>
  <dcterms:modified xsi:type="dcterms:W3CDTF">2026-01-29T06:18:29Z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Acrobat PDFMaker 24 for Word</vt:lpwstr>
  </property>
  <property fmtid="{D5CDD505-2E9C-101B-9397-08002B2CF9AE}" pid="4" name="GrammarlyDocumentId">
    <vt:lpwstr>a43aff9f-cbe7-4fb8-ad39-99c769226c97</vt:lpwstr>
  </property>
  <property fmtid="{D5CDD505-2E9C-101B-9397-08002B2CF9AE}" pid="5" name="LastSaved">
    <vt:filetime>2026-01-29T00:00:00Z</vt:filetime>
  </property>
  <property fmtid="{D5CDD505-2E9C-101B-9397-08002B2CF9AE}" pid="6" name="Producer">
    <vt:lpwstr>Adobe PDF Library 24.5.96</vt:lpwstr>
  </property>
  <property fmtid="{D5CDD505-2E9C-101B-9397-08002B2CF9AE}" pid="7" name="SourceModified">
    <vt:lpwstr>D:20250709213651</vt:lpwstr>
  </property>
</Properties>
</file>