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7" w:lineRule="auto" w:before="63"/>
        <w:ind w:left="3537" w:right="4546" w:firstLine="0"/>
        <w:jc w:val="center"/>
        <w:rPr>
          <w:b/>
          <w:sz w:val="24"/>
        </w:rPr>
      </w:pPr>
      <w:r>
        <w:rPr>
          <w:b/>
          <w:sz w:val="24"/>
        </w:rPr>
        <w:t>Jessie Li </w:t>
      </w:r>
      <w:hyperlink r:id="rId5">
        <w:r>
          <w:rPr>
            <w:b/>
            <w:spacing w:val="-2"/>
            <w:sz w:val="24"/>
          </w:rPr>
          <w:t>jeqli@ucsc.edu</w:t>
        </w:r>
      </w:hyperlink>
    </w:p>
    <w:p>
      <w:pPr>
        <w:pStyle w:val="BodyText"/>
        <w:spacing w:before="236"/>
        <w:rPr>
          <w:b/>
        </w:rPr>
      </w:pPr>
    </w:p>
    <w:p>
      <w:pPr>
        <w:pStyle w:val="Heading1"/>
        <w:spacing w:before="1"/>
      </w:pPr>
      <w:r>
        <w:rPr/>
        <w:t>EMPLOYMENT</w:t>
      </w:r>
      <w:r>
        <w:rPr>
          <w:spacing w:val="-3"/>
        </w:rPr>
        <w:t> </w:t>
      </w:r>
      <w:r>
        <w:rPr>
          <w:spacing w:val="-2"/>
        </w:rPr>
        <w:t>HISTORY</w:t>
      </w:r>
    </w:p>
    <w:p>
      <w:pPr>
        <w:pStyle w:val="BodyText"/>
        <w:tabs>
          <w:tab w:pos="2666" w:val="left" w:leader="none"/>
        </w:tabs>
        <w:spacing w:line="237" w:lineRule="auto" w:before="33"/>
        <w:ind w:left="2666" w:right="879" w:hanging="2160"/>
      </w:pPr>
      <w:r>
        <w:rPr/>
        <w:t>July 2024 –Present</w:t>
        <w:tab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Santa</w:t>
      </w:r>
      <w:r>
        <w:rPr>
          <w:spacing w:val="-6"/>
        </w:rPr>
        <w:t> </w:t>
      </w:r>
      <w:r>
        <w:rPr/>
        <w:t>Cruz Masters Program Director</w:t>
      </w:r>
    </w:p>
    <w:p>
      <w:pPr>
        <w:pStyle w:val="BodyText"/>
        <w:tabs>
          <w:tab w:pos="2666" w:val="left" w:leader="none"/>
        </w:tabs>
        <w:ind w:left="506"/>
      </w:pPr>
      <w:r>
        <w:rPr/>
        <w:t>2017 – June</w:t>
      </w:r>
      <w:r>
        <w:rPr>
          <w:spacing w:val="-1"/>
        </w:rPr>
        <w:t> </w:t>
      </w:r>
      <w:r>
        <w:rPr>
          <w:spacing w:val="-4"/>
        </w:rPr>
        <w:t>2024</w:t>
      </w:r>
      <w:r>
        <w:rPr/>
        <w:tab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Santa</w:t>
      </w:r>
      <w:r>
        <w:rPr>
          <w:spacing w:val="-2"/>
        </w:rPr>
        <w:t> </w:t>
      </w:r>
      <w:r>
        <w:rPr>
          <w:spacing w:val="-4"/>
        </w:rPr>
        <w:t>Cruz</w:t>
      </w:r>
    </w:p>
    <w:p>
      <w:pPr>
        <w:pStyle w:val="BodyText"/>
        <w:spacing w:before="29"/>
      </w:pPr>
    </w:p>
    <w:p>
      <w:pPr>
        <w:pStyle w:val="Heading1"/>
        <w:spacing w:after="42"/>
      </w:pPr>
      <w:r>
        <w:rPr>
          <w:spacing w:val="-2"/>
        </w:rPr>
        <w:t>EDUCATION</w:t>
      </w: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8954"/>
      </w:tblGrid>
      <w:tr>
        <w:trPr>
          <w:trHeight w:val="300" w:hRule="atLeast"/>
        </w:trPr>
        <w:tc>
          <w:tcPr>
            <w:tcW w:w="696" w:type="dxa"/>
          </w:tcPr>
          <w:p>
            <w:pPr>
              <w:pStyle w:val="TableParagraph"/>
              <w:spacing w:line="266" w:lineRule="exact" w:before="0"/>
              <w:ind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954" w:type="dxa"/>
          </w:tcPr>
          <w:p>
            <w:pPr>
              <w:pStyle w:val="TableParagraph"/>
              <w:spacing w:line="266" w:lineRule="exact" w:before="0"/>
              <w:ind w:left="165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Stanford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35" w:hRule="atLeast"/>
        </w:trPr>
        <w:tc>
          <w:tcPr>
            <w:tcW w:w="696" w:type="dxa"/>
          </w:tcPr>
          <w:p>
            <w:pPr>
              <w:pStyle w:val="TableParagraph"/>
              <w:ind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954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M.S.,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Statistics,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Stanford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36" w:hRule="atLeast"/>
        </w:trPr>
        <w:tc>
          <w:tcPr>
            <w:tcW w:w="696" w:type="dxa"/>
          </w:tcPr>
          <w:p>
            <w:pPr>
              <w:pStyle w:val="TableParagraph"/>
              <w:ind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954" w:type="dxa"/>
          </w:tcPr>
          <w:p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B.S.,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Massachusetts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Technology</w:t>
            </w:r>
          </w:p>
        </w:tc>
      </w:tr>
      <w:tr>
        <w:trPr>
          <w:trHeight w:val="300" w:hRule="atLeast"/>
        </w:trPr>
        <w:tc>
          <w:tcPr>
            <w:tcW w:w="696" w:type="dxa"/>
          </w:tcPr>
          <w:p>
            <w:pPr>
              <w:pStyle w:val="TableParagraph"/>
              <w:spacing w:line="256" w:lineRule="exact"/>
              <w:ind w:right="1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954" w:type="dxa"/>
          </w:tcPr>
          <w:p>
            <w:pPr>
              <w:pStyle w:val="TableParagraph"/>
              <w:spacing w:line="256" w:lineRule="exact"/>
              <w:ind w:left="165"/>
              <w:rPr>
                <w:sz w:val="24"/>
              </w:rPr>
            </w:pPr>
            <w:r>
              <w:rPr>
                <w:sz w:val="24"/>
              </w:rPr>
              <w:t>B.S.,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Massachusetts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Technology</w:t>
            </w:r>
          </w:p>
        </w:tc>
      </w:tr>
    </w:tbl>
    <w:p>
      <w:pPr>
        <w:pStyle w:val="BodyText"/>
        <w:spacing w:before="31"/>
        <w:rPr>
          <w:b/>
        </w:rPr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GRANTS</w:t>
      </w:r>
    </w:p>
    <w:p>
      <w:pPr>
        <w:pStyle w:val="BodyText"/>
        <w:tabs>
          <w:tab w:pos="1317" w:val="left" w:leader="none"/>
        </w:tabs>
        <w:spacing w:before="32"/>
        <w:ind w:left="506"/>
      </w:pPr>
      <w:r>
        <w:rPr>
          <w:spacing w:val="-4"/>
        </w:rPr>
        <w:t>2018</w:t>
      </w:r>
      <w:r>
        <w:rPr/>
        <w:tab/>
        <w:t>Principal</w:t>
      </w:r>
      <w:r>
        <w:rPr>
          <w:spacing w:val="-4"/>
        </w:rPr>
        <w:t> </w:t>
      </w:r>
      <w:r>
        <w:rPr/>
        <w:t>Investigator,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Faculty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UCSC,</w:t>
      </w:r>
      <w:r>
        <w:rPr>
          <w:spacing w:val="-1"/>
        </w:rPr>
        <w:t> </w:t>
      </w:r>
      <w:r>
        <w:rPr>
          <w:spacing w:val="-2"/>
        </w:rPr>
        <w:t>$3,729</w:t>
      </w:r>
    </w:p>
    <w:p>
      <w:pPr>
        <w:pStyle w:val="BodyText"/>
        <w:spacing w:before="28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34"/>
        <w:rPr>
          <w:b/>
        </w:rPr>
      </w:pPr>
    </w:p>
    <w:p>
      <w:pPr>
        <w:spacing w:line="275" w:lineRule="exact" w:before="0"/>
        <w:ind w:left="511" w:right="0" w:firstLine="0"/>
        <w:jc w:val="left"/>
        <w:rPr>
          <w:i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Proximal</w:t>
      </w:r>
      <w:r>
        <w:rPr>
          <w:spacing w:val="-1"/>
          <w:sz w:val="24"/>
        </w:rPr>
        <w:t> </w:t>
      </w:r>
      <w:r>
        <w:rPr>
          <w:sz w:val="24"/>
        </w:rPr>
        <w:t>Bootstrap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Constrained</w:t>
      </w:r>
      <w:r>
        <w:rPr>
          <w:spacing w:val="-1"/>
          <w:sz w:val="24"/>
        </w:rPr>
        <w:t> </w:t>
      </w:r>
      <w:r>
        <w:rPr>
          <w:sz w:val="24"/>
        </w:rPr>
        <w:t>Estimators.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Inference</w:t>
      </w:r>
    </w:p>
    <w:p>
      <w:pPr>
        <w:pStyle w:val="BodyText"/>
        <w:spacing w:line="275" w:lineRule="exact" w:before="0"/>
        <w:ind w:left="511"/>
      </w:pPr>
      <w:r>
        <w:rPr/>
        <w:t>Volume</w:t>
      </w:r>
      <w:r>
        <w:rPr>
          <w:spacing w:val="-2"/>
        </w:rPr>
        <w:t> </w:t>
      </w:r>
      <w:r>
        <w:rPr/>
        <w:t>236,</w:t>
      </w:r>
      <w:r>
        <w:rPr>
          <w:spacing w:val="-1"/>
        </w:rPr>
        <w:t> </w:t>
      </w:r>
      <w:r>
        <w:rPr>
          <w:color w:val="1F1F1F"/>
        </w:rPr>
        <w:t>May 2025,</w:t>
      </w:r>
      <w:r>
        <w:rPr>
          <w:color w:val="1F1F1F"/>
          <w:spacing w:val="-1"/>
        </w:rPr>
        <w:t> </w:t>
      </w:r>
      <w:r>
        <w:rPr>
          <w:color w:val="1F1F1F"/>
        </w:rPr>
        <w:t>Article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106245</w:t>
      </w:r>
    </w:p>
    <w:p>
      <w:pPr>
        <w:spacing w:line="242" w:lineRule="auto" w:before="60"/>
        <w:ind w:left="511" w:right="365" w:firstLine="0"/>
        <w:jc w:val="left"/>
        <w:rPr>
          <w:i/>
          <w:sz w:val="24"/>
        </w:rPr>
      </w:pPr>
      <w:r>
        <w:rPr>
          <w:sz w:val="24"/>
        </w:rPr>
        <w:t>Rate-Adaptive</w:t>
      </w:r>
      <w:r>
        <w:rPr>
          <w:spacing w:val="-5"/>
          <w:sz w:val="24"/>
        </w:rPr>
        <w:t> </w:t>
      </w:r>
      <w:r>
        <w:rPr>
          <w:sz w:val="24"/>
        </w:rPr>
        <w:t>Bootstrap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Possibly</w:t>
      </w:r>
      <w:r>
        <w:rPr>
          <w:spacing w:val="-4"/>
          <w:sz w:val="24"/>
        </w:rPr>
        <w:t> </w:t>
      </w:r>
      <w:r>
        <w:rPr>
          <w:sz w:val="24"/>
        </w:rPr>
        <w:t>Misspecified</w:t>
      </w:r>
      <w:r>
        <w:rPr>
          <w:spacing w:val="-4"/>
          <w:sz w:val="24"/>
        </w:rPr>
        <w:t> </w:t>
      </w:r>
      <w:r>
        <w:rPr>
          <w:sz w:val="24"/>
        </w:rPr>
        <w:t>GMM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Han</w:t>
      </w:r>
      <w:r>
        <w:rPr>
          <w:spacing w:val="-4"/>
          <w:sz w:val="24"/>
        </w:rPr>
        <w:t> </w:t>
      </w:r>
      <w:r>
        <w:rPr>
          <w:sz w:val="24"/>
        </w:rPr>
        <w:t>Hong)</w:t>
      </w:r>
      <w:r>
        <w:rPr>
          <w:spacing w:val="-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 (2024) 1:51</w:t>
      </w:r>
    </w:p>
    <w:p>
      <w:pPr>
        <w:spacing w:line="237" w:lineRule="auto" w:before="59"/>
        <w:ind w:left="511" w:right="365" w:firstLine="0"/>
        <w:jc w:val="left"/>
        <w:rPr>
          <w:sz w:val="24"/>
        </w:rPr>
      </w:pPr>
      <w:r>
        <w:rPr>
          <w:sz w:val="24"/>
        </w:rPr>
        <w:t>Asymptotics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K-fold</w:t>
      </w:r>
      <w:r>
        <w:rPr>
          <w:spacing w:val="-4"/>
          <w:sz w:val="24"/>
        </w:rPr>
        <w:t> </w:t>
      </w:r>
      <w:r>
        <w:rPr>
          <w:sz w:val="24"/>
        </w:rPr>
        <w:t>Cross</w:t>
      </w:r>
      <w:r>
        <w:rPr>
          <w:spacing w:val="-4"/>
          <w:sz w:val="24"/>
        </w:rPr>
        <w:t> </w:t>
      </w:r>
      <w:r>
        <w:rPr>
          <w:sz w:val="24"/>
        </w:rPr>
        <w:t>Validation.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Artificial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Intelligence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Research,</w:t>
      </w:r>
      <w:r>
        <w:rPr>
          <w:i/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(2023)</w:t>
      </w:r>
      <w:r>
        <w:rPr>
          <w:spacing w:val="-4"/>
          <w:sz w:val="24"/>
        </w:rPr>
        <w:t> </w:t>
      </w:r>
      <w:r>
        <w:rPr>
          <w:sz w:val="24"/>
        </w:rPr>
        <w:t>491- </w:t>
      </w:r>
      <w:r>
        <w:rPr>
          <w:spacing w:val="-4"/>
          <w:sz w:val="24"/>
        </w:rPr>
        <w:t>526.</w:t>
      </w:r>
    </w:p>
    <w:p>
      <w:pPr>
        <w:pStyle w:val="BodyText"/>
        <w:spacing w:line="242" w:lineRule="auto"/>
        <w:ind w:left="511"/>
      </w:pPr>
      <w:r>
        <w:rPr/>
        <w:t>Constrained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Penalization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MCMC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Gallant,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Hong,</w:t>
      </w:r>
      <w:r>
        <w:rPr>
          <w:spacing w:val="-4"/>
        </w:rPr>
        <w:t> </w:t>
      </w:r>
      <w:r>
        <w:rPr/>
        <w:t>and Michael Leung) (2022). </w:t>
      </w:r>
      <w:r>
        <w:rPr>
          <w:i/>
        </w:rPr>
        <w:t>Journal of Econometrics</w:t>
      </w:r>
      <w:r>
        <w:rPr/>
        <w:t>, 228(1), 85-106.</w:t>
      </w:r>
    </w:p>
    <w:p>
      <w:pPr>
        <w:pStyle w:val="BodyText"/>
        <w:spacing w:line="237" w:lineRule="auto" w:before="59"/>
        <w:ind w:left="511" w:right="365"/>
      </w:pPr>
      <w:r>
        <w:rPr/>
        <w:t>The</w:t>
      </w:r>
      <w:r>
        <w:rPr>
          <w:spacing w:val="-5"/>
        </w:rPr>
        <w:t> </w:t>
      </w:r>
      <w:r>
        <w:rPr/>
        <w:t>Proximal</w:t>
      </w:r>
      <w:r>
        <w:rPr>
          <w:spacing w:val="-4"/>
        </w:rPr>
        <w:t> </w:t>
      </w:r>
      <w:r>
        <w:rPr/>
        <w:t>Bootstrap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Finite-Dimensional</w:t>
      </w:r>
      <w:r>
        <w:rPr>
          <w:spacing w:val="-4"/>
        </w:rPr>
        <w:t> </w:t>
      </w:r>
      <w:r>
        <w:rPr/>
        <w:t>Regularized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(May</w:t>
      </w:r>
      <w:r>
        <w:rPr>
          <w:spacing w:val="-4"/>
        </w:rPr>
        <w:t> </w:t>
      </w:r>
      <w:r>
        <w:rPr/>
        <w:t>2021).</w:t>
      </w:r>
      <w:r>
        <w:rPr>
          <w:spacing w:val="-4"/>
        </w:rPr>
        <w:t> </w:t>
      </w:r>
      <w:r>
        <w:rPr>
          <w:i/>
        </w:rPr>
        <w:t>AEA</w:t>
      </w:r>
      <w:r>
        <w:rPr>
          <w:i/>
          <w:spacing w:val="-4"/>
        </w:rPr>
        <w:t> </w:t>
      </w:r>
      <w:r>
        <w:rPr>
          <w:i/>
        </w:rPr>
        <w:t>Papers and Proceedings</w:t>
      </w:r>
      <w:r>
        <w:rPr/>
        <w:t>. Volume 111, pages 616-20.</w:t>
      </w:r>
    </w:p>
    <w:p>
      <w:pPr>
        <w:pStyle w:val="BodyText"/>
        <w:spacing w:line="242" w:lineRule="auto"/>
        <w:ind w:left="511" w:right="365"/>
      </w:pPr>
      <w:r>
        <w:rPr/>
        <w:t>"BLP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Laplace</w:t>
      </w:r>
      <w:r>
        <w:rPr>
          <w:spacing w:val="-5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Overlapping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Draws"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Han Hong and Huiyu Li) (2021). </w:t>
      </w:r>
      <w:r>
        <w:rPr>
          <w:i/>
        </w:rPr>
        <w:t>Journal of Econometrics, </w:t>
      </w:r>
      <w:r>
        <w:rPr/>
        <w:t>222(1), 56-72.</w:t>
      </w:r>
    </w:p>
    <w:p>
      <w:pPr>
        <w:pStyle w:val="BodyText"/>
        <w:spacing w:line="237" w:lineRule="auto" w:before="59"/>
        <w:ind w:left="511" w:right="592"/>
      </w:pPr>
      <w:r>
        <w:rPr/>
        <w:t>"The</w:t>
      </w:r>
      <w:r>
        <w:rPr>
          <w:spacing w:val="-4"/>
        </w:rPr>
        <w:t> </w:t>
      </w:r>
      <w:r>
        <w:rPr/>
        <w:t>Numerical</w:t>
      </w:r>
      <w:r>
        <w:rPr>
          <w:spacing w:val="-3"/>
        </w:rPr>
        <w:t> </w:t>
      </w:r>
      <w:r>
        <w:rPr/>
        <w:t>Bootstrap"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Han</w:t>
      </w:r>
      <w:r>
        <w:rPr>
          <w:spacing w:val="-3"/>
        </w:rPr>
        <w:t> </w:t>
      </w:r>
      <w:r>
        <w:rPr/>
        <w:t>Hong).</w:t>
      </w:r>
      <w:r>
        <w:rPr>
          <w:spacing w:val="-4"/>
        </w:rPr>
        <w:t> </w:t>
      </w:r>
      <w:r>
        <w:rPr>
          <w:i/>
        </w:rPr>
        <w:t>Annals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Statistics</w:t>
      </w:r>
      <w:r>
        <w:rPr/>
        <w:t>.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48,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(2020), </w:t>
      </w:r>
      <w:r>
        <w:rPr>
          <w:spacing w:val="-2"/>
        </w:rPr>
        <w:t>397-412</w:t>
      </w:r>
    </w:p>
    <w:p>
      <w:pPr>
        <w:pStyle w:val="BodyText"/>
        <w:spacing w:line="237" w:lineRule="auto" w:before="6"/>
        <w:ind w:left="511" w:right="879"/>
      </w:pPr>
      <w:r>
        <w:rPr/>
        <w:t>"Inference</w:t>
      </w:r>
      <w:r>
        <w:rPr>
          <w:spacing w:val="-1"/>
        </w:rPr>
        <w:t> </w:t>
      </w:r>
      <w:r>
        <w:rPr/>
        <w:t>on finite-population treatment effects under limited overlap" (with Han Hong and Michael</w:t>
      </w:r>
      <w:r>
        <w:rPr>
          <w:spacing w:val="-3"/>
        </w:rPr>
        <w:t> </w:t>
      </w:r>
      <w:r>
        <w:rPr/>
        <w:t>Leung).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23,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Pages</w:t>
      </w:r>
      <w:r>
        <w:rPr>
          <w:spacing w:val="-3"/>
        </w:rPr>
        <w:t> </w:t>
      </w:r>
      <w:r>
        <w:rPr/>
        <w:t>32–47</w:t>
      </w:r>
    </w:p>
    <w:p>
      <w:pPr>
        <w:spacing w:line="240" w:lineRule="auto" w:before="61"/>
        <w:ind w:left="511" w:right="365" w:firstLine="0"/>
        <w:jc w:val="left"/>
        <w:rPr>
          <w:sz w:val="24"/>
        </w:rPr>
      </w:pPr>
      <w:r>
        <w:rPr>
          <w:sz w:val="24"/>
        </w:rPr>
        <w:t>"OLS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2SLS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Randomized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Conditionally</w:t>
      </w:r>
      <w:r>
        <w:rPr>
          <w:spacing w:val="-4"/>
          <w:sz w:val="24"/>
        </w:rPr>
        <w:t> </w:t>
      </w:r>
      <w:r>
        <w:rPr>
          <w:sz w:val="24"/>
        </w:rPr>
        <w:t>Randomized</w:t>
      </w:r>
      <w:r>
        <w:rPr>
          <w:spacing w:val="-4"/>
          <w:sz w:val="24"/>
        </w:rPr>
        <w:t> </w:t>
      </w:r>
      <w:r>
        <w:rPr>
          <w:sz w:val="24"/>
        </w:rPr>
        <w:t>Experiments"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Jason</w:t>
      </w:r>
      <w:r>
        <w:rPr>
          <w:spacing w:val="-4"/>
          <w:sz w:val="24"/>
        </w:rPr>
        <w:t> </w:t>
      </w:r>
      <w:r>
        <w:rPr>
          <w:sz w:val="24"/>
        </w:rPr>
        <w:t>Ansel and Han Hong). </w:t>
      </w:r>
      <w:r>
        <w:rPr>
          <w:i/>
          <w:sz w:val="24"/>
        </w:rPr>
        <w:t>Jahrbücher für Nationalökonomie und Statistik (Journal of Economics and Statistics), </w:t>
      </w:r>
      <w:r>
        <w:rPr>
          <w:sz w:val="24"/>
        </w:rPr>
        <w:t>Volume 238, Issue 3-4, Pages 243-293</w:t>
      </w:r>
    </w:p>
    <w:p>
      <w:pPr>
        <w:spacing w:before="60"/>
        <w:ind w:left="511" w:right="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3"/>
          <w:sz w:val="24"/>
        </w:rPr>
        <w:t> </w:t>
      </w:r>
      <w:r>
        <w:rPr>
          <w:sz w:val="24"/>
        </w:rPr>
        <w:t>Numerical</w:t>
      </w:r>
      <w:r>
        <w:rPr>
          <w:spacing w:val="-1"/>
          <w:sz w:val="24"/>
        </w:rPr>
        <w:t> </w:t>
      </w:r>
      <w:r>
        <w:rPr>
          <w:sz w:val="24"/>
        </w:rPr>
        <w:t>Delta</w:t>
      </w:r>
      <w:r>
        <w:rPr>
          <w:spacing w:val="-3"/>
          <w:sz w:val="24"/>
        </w:rPr>
        <w:t> </w:t>
      </w:r>
      <w:r>
        <w:rPr>
          <w:sz w:val="24"/>
        </w:rPr>
        <w:t>Method"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Han</w:t>
      </w:r>
      <w:r>
        <w:rPr>
          <w:spacing w:val="-1"/>
          <w:sz w:val="24"/>
        </w:rPr>
        <w:t> </w:t>
      </w:r>
      <w:r>
        <w:rPr>
          <w:sz w:val="24"/>
        </w:rPr>
        <w:t>Hong).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1"/>
          <w:sz w:val="24"/>
        </w:rPr>
        <w:t> </w:t>
      </w:r>
      <w:r>
        <w:rPr>
          <w:sz w:val="24"/>
        </w:rPr>
        <w:t>206</w:t>
      </w:r>
      <w:r>
        <w:rPr>
          <w:spacing w:val="-2"/>
          <w:sz w:val="24"/>
        </w:rPr>
        <w:t> </w:t>
      </w:r>
      <w:r>
        <w:rPr>
          <w:sz w:val="24"/>
        </w:rPr>
        <w:t>(2018)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379-</w:t>
      </w:r>
      <w:r>
        <w:rPr>
          <w:spacing w:val="-5"/>
          <w:sz w:val="24"/>
        </w:rPr>
        <w:t>394</w:t>
      </w:r>
    </w:p>
    <w:p>
      <w:pPr>
        <w:pStyle w:val="BodyText"/>
        <w:spacing w:before="29"/>
      </w:pPr>
    </w:p>
    <w:p>
      <w:pPr>
        <w:pStyle w:val="Heading1"/>
      </w:pPr>
      <w:r>
        <w:rPr/>
        <w:t>PROFESSIONAL</w:t>
      </w:r>
      <w:r>
        <w:rPr>
          <w:spacing w:val="-1"/>
        </w:rPr>
        <w:t> </w:t>
      </w:r>
      <w:r>
        <w:rPr>
          <w:spacing w:val="-2"/>
        </w:rPr>
        <w:t>ACTIVITIES</w:t>
      </w:r>
    </w:p>
    <w:p>
      <w:pPr>
        <w:pStyle w:val="Heading1"/>
        <w:spacing w:after="0"/>
        <w:sectPr>
          <w:type w:val="continuous"/>
          <w:pgSz w:w="12240" w:h="15840"/>
          <w:pgMar w:top="1680" w:bottom="280" w:left="1080" w:right="720"/>
        </w:sectPr>
      </w:pPr>
    </w:p>
    <w:p>
      <w:pPr>
        <w:spacing w:before="78"/>
        <w:ind w:left="0" w:right="719" w:firstLine="0"/>
        <w:jc w:val="righ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spacing w:before="0" w:after="41"/>
        <w:ind w:left="719" w:right="0" w:firstLine="0"/>
        <w:jc w:val="left"/>
        <w:rPr>
          <w:b/>
          <w:sz w:val="24"/>
        </w:rPr>
      </w:pPr>
      <w:r>
        <w:rPr>
          <w:b/>
          <w:sz w:val="24"/>
        </w:rPr>
        <w:t>Conferences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Meetings</w:t>
      </w: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6560"/>
      </w:tblGrid>
      <w:tr>
        <w:trPr>
          <w:trHeight w:val="300" w:hRule="atLeast"/>
        </w:trPr>
        <w:tc>
          <w:tcPr>
            <w:tcW w:w="681" w:type="dxa"/>
          </w:tcPr>
          <w:p>
            <w:pPr>
              <w:pStyle w:val="TableParagraph"/>
              <w:spacing w:line="266" w:lineRule="exact" w:before="0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560" w:type="dxa"/>
          </w:tcPr>
          <w:p>
            <w:pPr>
              <w:pStyle w:val="TableParagraph"/>
              <w:spacing w:line="266" w:lineRule="exact" w:before="0"/>
              <w:ind w:left="151"/>
              <w:rPr>
                <w:sz w:val="24"/>
              </w:rPr>
            </w:pPr>
            <w:r>
              <w:rPr>
                <w:sz w:val="24"/>
              </w:rPr>
              <w:t>Econometrics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Conference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Society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Junior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Econometricians’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UCSC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Asian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NTU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Singapore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Asian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Tsinghua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Econometricians’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Davis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CEME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Econometricians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Duke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California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Stanford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Society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Society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Econometric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Congress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Society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Asian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California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2"/>
                <w:sz w:val="24"/>
              </w:rPr>
              <w:t> Conference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North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Society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Asian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336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Asian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2017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Microeconometrics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Duke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335" w:hRule="atLeast"/>
        </w:trPr>
        <w:tc>
          <w:tcPr>
            <w:tcW w:w="681" w:type="dxa"/>
          </w:tcPr>
          <w:p>
            <w:pPr>
              <w:pStyle w:val="TableParagraph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6560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Econometric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Congress</w:t>
            </w:r>
          </w:p>
        </w:tc>
      </w:tr>
      <w:tr>
        <w:trPr>
          <w:trHeight w:val="300" w:hRule="atLeast"/>
        </w:trPr>
        <w:tc>
          <w:tcPr>
            <w:tcW w:w="681" w:type="dxa"/>
          </w:tcPr>
          <w:p>
            <w:pPr>
              <w:pStyle w:val="TableParagraph"/>
              <w:spacing w:line="256" w:lineRule="exact"/>
              <w:ind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6560" w:type="dxa"/>
          </w:tcPr>
          <w:p>
            <w:pPr>
              <w:pStyle w:val="TableParagraph"/>
              <w:spacing w:line="256" w:lineRule="exact"/>
              <w:ind w:left="151"/>
              <w:rPr>
                <w:sz w:val="24"/>
              </w:rPr>
            </w:pPr>
            <w:r>
              <w:rPr>
                <w:sz w:val="24"/>
              </w:rPr>
              <w:t>Stanford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Theoretical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(SITE)</w:t>
            </w:r>
          </w:p>
        </w:tc>
      </w:tr>
    </w:tbl>
    <w:p>
      <w:pPr>
        <w:pStyle w:val="BodyText"/>
        <w:spacing w:before="41"/>
        <w:rPr>
          <w:b/>
        </w:rPr>
      </w:pPr>
    </w:p>
    <w:p>
      <w:pPr>
        <w:spacing w:before="0"/>
        <w:ind w:left="719" w:right="0" w:firstLine="0"/>
        <w:jc w:val="left"/>
        <w:rPr>
          <w:b/>
          <w:sz w:val="24"/>
        </w:rPr>
      </w:pPr>
      <w:r>
        <w:rPr>
          <w:b/>
          <w:sz w:val="24"/>
        </w:rPr>
        <w:t>Referee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BodyText"/>
        <w:spacing w:before="32"/>
        <w:ind w:left="506" w:right="592"/>
      </w:pP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Economics, Review of Economic Studies, Econometric Theory, Journal of Political Economy Microeconomics,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Journal of Econometric Methods, Journal of Money, Credit and Banking</w:t>
      </w:r>
    </w:p>
    <w:p>
      <w:pPr>
        <w:pStyle w:val="BodyText"/>
        <w:spacing w:before="31"/>
      </w:pPr>
    </w:p>
    <w:p>
      <w:pPr>
        <w:spacing w:before="0" w:after="42"/>
        <w:ind w:left="719" w:right="0" w:firstLine="0"/>
        <w:jc w:val="left"/>
        <w:rPr>
          <w:b/>
          <w:sz w:val="24"/>
        </w:rPr>
      </w:pPr>
      <w:r>
        <w:rPr>
          <w:b/>
          <w:sz w:val="24"/>
        </w:rPr>
        <w:t>Talks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Presentations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Colleges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Universities</w:t>
      </w:r>
    </w:p>
    <w:tbl>
      <w:tblPr>
        <w:tblW w:w="0" w:type="auto"/>
        <w:jc w:val="left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7413"/>
      </w:tblGrid>
      <w:tr>
        <w:trPr>
          <w:trHeight w:val="300" w:hRule="atLeast"/>
        </w:trPr>
        <w:tc>
          <w:tcPr>
            <w:tcW w:w="787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413" w:type="dxa"/>
          </w:tcPr>
          <w:p>
            <w:pPr>
              <w:pStyle w:val="TableParagraph"/>
              <w:spacing w:line="266" w:lineRule="exact" w:before="0"/>
              <w:ind w:left="256"/>
              <w:rPr>
                <w:sz w:val="24"/>
              </w:rPr>
            </w:pPr>
            <w:r>
              <w:rPr>
                <w:sz w:val="24"/>
              </w:rPr>
              <w:t>Seminars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Tsinghua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A&amp;M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Austin</w:t>
            </w:r>
          </w:p>
        </w:tc>
      </w:tr>
      <w:tr>
        <w:trPr>
          <w:trHeight w:val="336" w:hRule="atLeast"/>
        </w:trPr>
        <w:tc>
          <w:tcPr>
            <w:tcW w:w="78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413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Seminars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Berkeley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Wisconsin-</w:t>
            </w:r>
            <w:r>
              <w:rPr>
                <w:spacing w:val="-2"/>
                <w:sz w:val="24"/>
              </w:rPr>
              <w:t>Madison</w:t>
            </w:r>
          </w:p>
        </w:tc>
      </w:tr>
      <w:tr>
        <w:trPr>
          <w:trHeight w:val="336" w:hRule="atLeast"/>
        </w:trPr>
        <w:tc>
          <w:tcPr>
            <w:tcW w:w="78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413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Seminars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State</w:t>
            </w:r>
          </w:p>
        </w:tc>
      </w:tr>
      <w:tr>
        <w:trPr>
          <w:trHeight w:val="335" w:hRule="atLeast"/>
        </w:trPr>
        <w:tc>
          <w:tcPr>
            <w:tcW w:w="78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413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Davis</w:t>
            </w:r>
          </w:p>
        </w:tc>
      </w:tr>
      <w:tr>
        <w:trPr>
          <w:trHeight w:val="335" w:hRule="atLeast"/>
        </w:trPr>
        <w:tc>
          <w:tcPr>
            <w:tcW w:w="78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413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Chicago</w:t>
            </w:r>
          </w:p>
        </w:tc>
      </w:tr>
      <w:tr>
        <w:trPr>
          <w:trHeight w:val="336" w:hRule="atLeast"/>
        </w:trPr>
        <w:tc>
          <w:tcPr>
            <w:tcW w:w="78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413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Boston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00" w:hRule="atLeast"/>
        </w:trPr>
        <w:tc>
          <w:tcPr>
            <w:tcW w:w="787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413" w:type="dxa"/>
          </w:tcPr>
          <w:p>
            <w:pPr>
              <w:pStyle w:val="TableParagraph"/>
              <w:spacing w:line="256" w:lineRule="exact"/>
              <w:ind w:left="256"/>
              <w:rPr>
                <w:sz w:val="24"/>
              </w:rPr>
            </w:pPr>
            <w:r>
              <w:rPr>
                <w:sz w:val="24"/>
              </w:rPr>
              <w:t>Seminars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Columbia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Riverside,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Irvine,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</w:tr>
    </w:tbl>
    <w:sectPr>
      <w:pgSz w:w="12240" w:h="15840"/>
      <w:pgMar w:top="6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qli@ucsc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Jessie Li</dc:creator>
  <dc:title>Li-cv</dc:title>
  <dcterms:created xsi:type="dcterms:W3CDTF">2026-01-29T09:16:53Z</dcterms:created>
  <dcterms:modified xsi:type="dcterms:W3CDTF">2026-01-29T09:16:53Z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14.3.1 (Build 23D60) Quartz PDFContext</vt:lpwstr>
  </property>
</Properties>
</file>