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
        <w:ind w:left="3763"/>
      </w:pPr>
      <w:r>
        <w:rPr/>
        <mc:AlternateContent>
          <mc:Choice Requires="wps">
            <w:drawing>
              <wp:anchor distT="0" distB="0" distL="0" distR="0" allowOverlap="1" layoutInCell="1" locked="0" behindDoc="0" simplePos="0" relativeHeight="15728640">
                <wp:simplePos x="0" y="0"/>
                <wp:positionH relativeFrom="page">
                  <wp:posOffset>309879</wp:posOffset>
                </wp:positionH>
                <wp:positionV relativeFrom="page">
                  <wp:posOffset>1074419</wp:posOffset>
                </wp:positionV>
                <wp:extent cx="7172959" cy="203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72959" cy="20320"/>
                          <a:chExt cx="7172959" cy="20320"/>
                        </a:xfrm>
                      </wpg:grpSpPr>
                      <wps:wsp>
                        <wps:cNvPr id="2" name="Graphic 2"/>
                        <wps:cNvSpPr/>
                        <wps:spPr>
                          <a:xfrm>
                            <a:off x="0" y="0"/>
                            <a:ext cx="7172959" cy="10160"/>
                          </a:xfrm>
                          <a:custGeom>
                            <a:avLst/>
                            <a:gdLst/>
                            <a:ahLst/>
                            <a:cxnLst/>
                            <a:rect l="l" t="t" r="r" b="b"/>
                            <a:pathLst>
                              <a:path w="7172959" h="10160">
                                <a:moveTo>
                                  <a:pt x="7172959" y="0"/>
                                </a:moveTo>
                                <a:lnTo>
                                  <a:pt x="0" y="0"/>
                                </a:lnTo>
                                <a:lnTo>
                                  <a:pt x="0" y="10159"/>
                                </a:lnTo>
                                <a:lnTo>
                                  <a:pt x="7172959" y="10159"/>
                                </a:lnTo>
                                <a:lnTo>
                                  <a:pt x="7172959" y="0"/>
                                </a:lnTo>
                                <a:close/>
                              </a:path>
                            </a:pathLst>
                          </a:custGeom>
                          <a:solidFill>
                            <a:srgbClr val="2C2C2C"/>
                          </a:solidFill>
                        </wps:spPr>
                        <wps:bodyPr wrap="square" lIns="0" tIns="0" rIns="0" bIns="0" rtlCol="0">
                          <a:prstTxWarp prst="textNoShape">
                            <a:avLst/>
                          </a:prstTxWarp>
                          <a:noAutofit/>
                        </wps:bodyPr>
                      </wps:wsp>
                      <wps:wsp>
                        <wps:cNvPr id="3" name="Graphic 3"/>
                        <wps:cNvSpPr/>
                        <wps:spPr>
                          <a:xfrm>
                            <a:off x="0" y="10160"/>
                            <a:ext cx="7172959" cy="10160"/>
                          </a:xfrm>
                          <a:custGeom>
                            <a:avLst/>
                            <a:gdLst/>
                            <a:ahLst/>
                            <a:cxnLst/>
                            <a:rect l="l" t="t" r="r" b="b"/>
                            <a:pathLst>
                              <a:path w="7172959" h="10160">
                                <a:moveTo>
                                  <a:pt x="7172959" y="0"/>
                                </a:moveTo>
                                <a:lnTo>
                                  <a:pt x="0" y="0"/>
                                </a:lnTo>
                                <a:lnTo>
                                  <a:pt x="0" y="10159"/>
                                </a:lnTo>
                                <a:lnTo>
                                  <a:pt x="7172959" y="10159"/>
                                </a:lnTo>
                                <a:lnTo>
                                  <a:pt x="7172959" y="0"/>
                                </a:lnTo>
                                <a:close/>
                              </a:path>
                            </a:pathLst>
                          </a:custGeom>
                          <a:solidFill>
                            <a:srgbClr val="D4D4D4"/>
                          </a:solidFill>
                        </wps:spPr>
                        <wps:bodyPr wrap="square" lIns="0" tIns="0" rIns="0" bIns="0" rtlCol="0">
                          <a:prstTxWarp prst="textNoShape">
                            <a:avLst/>
                          </a:prstTxWarp>
                          <a:noAutofit/>
                        </wps:bodyPr>
                      </wps:wsp>
                      <wps:wsp>
                        <wps:cNvPr id="4" name="Graphic 4"/>
                        <wps:cNvSpPr/>
                        <wps:spPr>
                          <a:xfrm>
                            <a:off x="0" y="0"/>
                            <a:ext cx="10160" cy="20320"/>
                          </a:xfrm>
                          <a:custGeom>
                            <a:avLst/>
                            <a:gdLst/>
                            <a:ahLst/>
                            <a:cxnLst/>
                            <a:rect l="l" t="t" r="r" b="b"/>
                            <a:pathLst>
                              <a:path w="10160" h="20320">
                                <a:moveTo>
                                  <a:pt x="10160" y="0"/>
                                </a:moveTo>
                                <a:lnTo>
                                  <a:pt x="0" y="0"/>
                                </a:lnTo>
                                <a:lnTo>
                                  <a:pt x="0" y="20320"/>
                                </a:lnTo>
                                <a:lnTo>
                                  <a:pt x="10160" y="10159"/>
                                </a:lnTo>
                                <a:lnTo>
                                  <a:pt x="10160" y="0"/>
                                </a:lnTo>
                                <a:close/>
                              </a:path>
                            </a:pathLst>
                          </a:custGeom>
                          <a:solidFill>
                            <a:srgbClr val="2C2C2C"/>
                          </a:solidFill>
                        </wps:spPr>
                        <wps:bodyPr wrap="square" lIns="0" tIns="0" rIns="0" bIns="0" rtlCol="0">
                          <a:prstTxWarp prst="textNoShape">
                            <a:avLst/>
                          </a:prstTxWarp>
                          <a:noAutofit/>
                        </wps:bodyPr>
                      </wps:wsp>
                      <wps:wsp>
                        <wps:cNvPr id="5" name="Graphic 5"/>
                        <wps:cNvSpPr/>
                        <wps:spPr>
                          <a:xfrm>
                            <a:off x="7162800" y="0"/>
                            <a:ext cx="10160" cy="20320"/>
                          </a:xfrm>
                          <a:custGeom>
                            <a:avLst/>
                            <a:gdLst/>
                            <a:ahLst/>
                            <a:cxnLst/>
                            <a:rect l="l" t="t" r="r" b="b"/>
                            <a:pathLst>
                              <a:path w="10160" h="20320">
                                <a:moveTo>
                                  <a:pt x="10160" y="0"/>
                                </a:moveTo>
                                <a:lnTo>
                                  <a:pt x="0" y="10159"/>
                                </a:lnTo>
                                <a:lnTo>
                                  <a:pt x="0" y="20320"/>
                                </a:lnTo>
                                <a:lnTo>
                                  <a:pt x="10160" y="20320"/>
                                </a:lnTo>
                                <a:lnTo>
                                  <a:pt x="10160" y="0"/>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24.4pt;margin-top:84.599998pt;width:564.8pt;height:1.6pt;mso-position-horizontal-relative:page;mso-position-vertical-relative:page;z-index:15728640" id="docshapegroup1" coordorigin="488,1692" coordsize="11296,32">
                <v:rect style="position:absolute;left:488;top:1692;width:11296;height:16" id="docshape2" filled="true" fillcolor="#2c2c2c" stroked="false">
                  <v:fill type="solid"/>
                </v:rect>
                <v:rect style="position:absolute;left:488;top:1708;width:11296;height:16" id="docshape3" filled="true" fillcolor="#d4d4d4" stroked="false">
                  <v:fill type="solid"/>
                </v:rect>
                <v:shape style="position:absolute;left:488;top:1692;width:16;height:32" id="docshape4" coordorigin="488,1692" coordsize="16,32" path="m504,1692l488,1692,488,1724,504,1708,504,1692xe" filled="true" fillcolor="#2c2c2c" stroked="false">
                  <v:path arrowok="t"/>
                  <v:fill type="solid"/>
                </v:shape>
                <v:shape style="position:absolute;left:11768;top:1692;width:16;height:32" id="docshape5" coordorigin="11768,1692" coordsize="16,32" path="m11784,1692l11768,1708,11768,1724,11784,1724,11784,1692xe" filled="true" fillcolor="#d4d4d4" stroked="false">
                  <v:path arrowok="t"/>
                  <v:fill type="solid"/>
                </v:shape>
                <w10:wrap type="none"/>
              </v:group>
            </w:pict>
          </mc:Fallback>
        </mc:AlternateContent>
      </w:r>
      <w:r>
        <w:rPr/>
        <w:t>CURRICULUM</w:t>
      </w:r>
      <w:r>
        <w:rPr>
          <w:spacing w:val="25"/>
        </w:rPr>
        <w:t> </w:t>
      </w:r>
      <w:r>
        <w:rPr>
          <w:spacing w:val="-4"/>
        </w:rPr>
        <w:t>VITAE</w:t>
      </w:r>
    </w:p>
    <w:p>
      <w:pPr>
        <w:pStyle w:val="Title"/>
      </w:pPr>
      <w:r>
        <w:rPr/>
        <w:t>THEO</w:t>
      </w:r>
      <w:r>
        <w:rPr>
          <w:spacing w:val="-1"/>
        </w:rPr>
        <w:t> </w:t>
      </w:r>
      <w:r>
        <w:rPr/>
        <w:t>S.</w:t>
      </w:r>
      <w:r>
        <w:rPr>
          <w:spacing w:val="-1"/>
        </w:rPr>
        <w:t> </w:t>
      </w:r>
      <w:r>
        <w:rPr>
          <w:spacing w:val="-2"/>
        </w:rPr>
        <w:t>EICHER</w:t>
      </w:r>
    </w:p>
    <w:p>
      <w:pPr>
        <w:pStyle w:val="Heading1"/>
        <w:spacing w:before="335"/>
      </w:pPr>
      <w:r>
        <w:rPr/>
        <w:t>Contact</w:t>
      </w:r>
      <w:r>
        <w:rPr>
          <w:spacing w:val="11"/>
        </w:rPr>
        <w:t> </w:t>
      </w:r>
      <w:r>
        <w:rPr>
          <w:spacing w:val="-2"/>
        </w:rPr>
        <w:t>Information</w:t>
      </w:r>
    </w:p>
    <w:p>
      <w:pPr>
        <w:pStyle w:val="BodyText"/>
        <w:spacing w:before="4"/>
        <w:ind w:left="127"/>
      </w:pPr>
      <w:r>
        <w:rPr/>
        <w:t>Theo</w:t>
      </w:r>
      <w:r>
        <w:rPr>
          <w:spacing w:val="7"/>
        </w:rPr>
        <w:t> </w:t>
      </w:r>
      <w:r>
        <w:rPr/>
        <w:t>S.</w:t>
      </w:r>
      <w:r>
        <w:rPr>
          <w:spacing w:val="7"/>
        </w:rPr>
        <w:t> </w:t>
      </w:r>
      <w:r>
        <w:rPr>
          <w:spacing w:val="-2"/>
        </w:rPr>
        <w:t>Eicher</w:t>
      </w:r>
    </w:p>
    <w:p>
      <w:pPr>
        <w:pStyle w:val="BodyText"/>
        <w:spacing w:before="0"/>
        <w:ind w:left="127"/>
      </w:pPr>
      <w:r>
        <w:rPr/>
        <w:t>Castor</w:t>
      </w:r>
      <w:r>
        <w:rPr>
          <w:spacing w:val="12"/>
        </w:rPr>
        <w:t> </w:t>
      </w:r>
      <w:r>
        <w:rPr/>
        <w:t>Professor</w:t>
      </w:r>
      <w:r>
        <w:rPr>
          <w:spacing w:val="12"/>
        </w:rPr>
        <w:t> </w:t>
      </w:r>
      <w:r>
        <w:rPr/>
        <w:t>in</w:t>
      </w:r>
      <w:r>
        <w:rPr>
          <w:spacing w:val="12"/>
        </w:rPr>
        <w:t> </w:t>
      </w:r>
      <w:r>
        <w:rPr>
          <w:spacing w:val="-2"/>
        </w:rPr>
        <w:t>Economics</w:t>
      </w:r>
    </w:p>
    <w:p>
      <w:pPr>
        <w:pStyle w:val="BodyText"/>
        <w:ind w:left="127" w:right="4158"/>
      </w:pPr>
      <w:r>
        <w:rPr/>
        <w:t>Department of Economics, 305 Savery Hall, Box 353330 University of Washington, Seattle, WA 98195 USA</w:t>
      </w:r>
    </w:p>
    <w:p>
      <w:pPr>
        <w:pStyle w:val="BodyText"/>
      </w:pPr>
    </w:p>
    <w:p>
      <w:pPr>
        <w:pStyle w:val="BodyText"/>
        <w:ind w:left="127"/>
      </w:pPr>
      <w:r>
        <w:rPr/>
        <w:t>Tel:</w:t>
      </w:r>
      <w:r>
        <w:rPr>
          <w:spacing w:val="-9"/>
        </w:rPr>
        <w:t> </w:t>
      </w:r>
      <w:r>
        <w:rPr>
          <w:spacing w:val="-2"/>
        </w:rPr>
        <w:t>206.685.8082</w:t>
      </w:r>
    </w:p>
    <w:p>
      <w:pPr>
        <w:pStyle w:val="BodyText"/>
        <w:spacing w:before="0"/>
        <w:ind w:left="127" w:right="5813"/>
      </w:pPr>
      <w:r>
        <w:rPr/>
        <w:t>Web: </w:t>
      </w:r>
      <w:hyperlink r:id="rId5">
        <w:r>
          <w:rPr/>
          <w:t>http://faculty.washington.edu/te/</w:t>
        </w:r>
      </w:hyperlink>
      <w:r>
        <w:rPr/>
        <w:t> Email: </w:t>
      </w:r>
      <w:hyperlink r:id="rId6">
        <w:r>
          <w:rPr/>
          <w:t>te@u.washington.edu</w:t>
        </w:r>
      </w:hyperlink>
    </w:p>
    <w:p>
      <w:pPr>
        <w:pStyle w:val="BodyText"/>
        <w:spacing w:before="8"/>
      </w:pPr>
    </w:p>
    <w:p>
      <w:pPr>
        <w:spacing w:before="0" w:after="46"/>
        <w:ind w:left="127" w:right="0" w:firstLine="0"/>
        <w:jc w:val="left"/>
        <w:rPr>
          <w:b/>
          <w:sz w:val="38"/>
        </w:rPr>
      </w:pPr>
      <w:r>
        <w:rPr>
          <w:b/>
          <w:sz w:val="38"/>
        </w:rPr>
        <w:t>Current</w:t>
      </w:r>
      <w:r>
        <w:rPr>
          <w:b/>
          <w:spacing w:val="5"/>
          <w:sz w:val="38"/>
        </w:rPr>
        <w:t> </w:t>
      </w:r>
      <w:r>
        <w:rPr>
          <w:b/>
          <w:spacing w:val="-2"/>
          <w:sz w:val="38"/>
        </w:rPr>
        <w:t>Positions</w:t>
      </w: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7"/>
        <w:gridCol w:w="8741"/>
      </w:tblGrid>
      <w:tr>
        <w:trPr>
          <w:trHeight w:val="272" w:hRule="atLeast"/>
        </w:trPr>
        <w:tc>
          <w:tcPr>
            <w:tcW w:w="877" w:type="dxa"/>
          </w:tcPr>
          <w:p>
            <w:pPr>
              <w:pStyle w:val="TableParagraph"/>
              <w:spacing w:line="246" w:lineRule="exact"/>
              <w:ind w:left="0" w:right="177"/>
              <w:jc w:val="center"/>
              <w:rPr>
                <w:sz w:val="25"/>
              </w:rPr>
            </w:pPr>
            <w:r>
              <w:rPr>
                <w:spacing w:val="-2"/>
                <w:sz w:val="25"/>
              </w:rPr>
              <w:t>2012-</w:t>
            </w:r>
          </w:p>
        </w:tc>
        <w:tc>
          <w:tcPr>
            <w:tcW w:w="8741" w:type="dxa"/>
          </w:tcPr>
          <w:p>
            <w:pPr>
              <w:pStyle w:val="TableParagraph"/>
              <w:spacing w:line="246" w:lineRule="exact"/>
              <w:ind w:left="229"/>
              <w:rPr>
                <w:sz w:val="25"/>
              </w:rPr>
            </w:pPr>
            <w:r>
              <w:rPr>
                <w:i/>
                <w:sz w:val="25"/>
              </w:rPr>
              <w:t>Castor</w:t>
            </w:r>
            <w:r>
              <w:rPr>
                <w:i/>
                <w:spacing w:val="11"/>
                <w:sz w:val="25"/>
              </w:rPr>
              <w:t> </w:t>
            </w:r>
            <w:r>
              <w:rPr>
                <w:i/>
                <w:sz w:val="25"/>
              </w:rPr>
              <w:t>Professor</w:t>
            </w:r>
            <w:r>
              <w:rPr>
                <w:i/>
                <w:spacing w:val="11"/>
                <w:sz w:val="25"/>
              </w:rPr>
              <w:t> </w:t>
            </w:r>
            <w:r>
              <w:rPr>
                <w:i/>
                <w:sz w:val="25"/>
              </w:rPr>
              <w:t>in</w:t>
            </w:r>
            <w:r>
              <w:rPr>
                <w:i/>
                <w:spacing w:val="11"/>
                <w:sz w:val="25"/>
              </w:rPr>
              <w:t> </w:t>
            </w:r>
            <w:r>
              <w:rPr>
                <w:i/>
                <w:sz w:val="25"/>
              </w:rPr>
              <w:t>Economics,</w:t>
            </w:r>
            <w:r>
              <w:rPr>
                <w:i/>
                <w:spacing w:val="11"/>
                <w:sz w:val="25"/>
              </w:rPr>
              <w:t> </w:t>
            </w:r>
            <w:r>
              <w:rPr>
                <w:sz w:val="25"/>
              </w:rPr>
              <w:t>University</w:t>
            </w:r>
            <w:r>
              <w:rPr>
                <w:spacing w:val="12"/>
                <w:sz w:val="25"/>
              </w:rPr>
              <w:t> </w:t>
            </w:r>
            <w:r>
              <w:rPr>
                <w:sz w:val="25"/>
              </w:rPr>
              <w:t>of</w:t>
            </w:r>
            <w:r>
              <w:rPr>
                <w:spacing w:val="11"/>
                <w:sz w:val="25"/>
              </w:rPr>
              <w:t> </w:t>
            </w:r>
            <w:r>
              <w:rPr>
                <w:spacing w:val="-2"/>
                <w:sz w:val="25"/>
              </w:rPr>
              <w:t>Washington</w:t>
            </w:r>
          </w:p>
        </w:tc>
      </w:tr>
      <w:tr>
        <w:trPr>
          <w:trHeight w:val="288" w:hRule="atLeast"/>
        </w:trPr>
        <w:tc>
          <w:tcPr>
            <w:tcW w:w="877" w:type="dxa"/>
          </w:tcPr>
          <w:p>
            <w:pPr>
              <w:pStyle w:val="TableParagraph"/>
              <w:ind w:left="0" w:right="177"/>
              <w:jc w:val="center"/>
              <w:rPr>
                <w:sz w:val="25"/>
              </w:rPr>
            </w:pPr>
            <w:r>
              <w:rPr>
                <w:spacing w:val="-2"/>
                <w:sz w:val="25"/>
              </w:rPr>
              <w:t>2006-</w:t>
            </w:r>
          </w:p>
        </w:tc>
        <w:tc>
          <w:tcPr>
            <w:tcW w:w="8741" w:type="dxa"/>
          </w:tcPr>
          <w:p>
            <w:pPr>
              <w:pStyle w:val="TableParagraph"/>
              <w:ind w:left="229"/>
              <w:rPr>
                <w:sz w:val="25"/>
              </w:rPr>
            </w:pPr>
            <w:r>
              <w:rPr>
                <w:i/>
                <w:sz w:val="25"/>
              </w:rPr>
              <w:t>Professor</w:t>
            </w:r>
            <w:r>
              <w:rPr>
                <w:sz w:val="25"/>
              </w:rPr>
              <w:t>,</w:t>
            </w:r>
            <w:r>
              <w:rPr>
                <w:spacing w:val="13"/>
                <w:sz w:val="25"/>
              </w:rPr>
              <w:t> </w:t>
            </w:r>
            <w:r>
              <w:rPr>
                <w:sz w:val="25"/>
              </w:rPr>
              <w:t>Department</w:t>
            </w:r>
            <w:r>
              <w:rPr>
                <w:spacing w:val="14"/>
                <w:sz w:val="25"/>
              </w:rPr>
              <w:t> </w:t>
            </w:r>
            <w:r>
              <w:rPr>
                <w:sz w:val="25"/>
              </w:rPr>
              <w:t>of</w:t>
            </w:r>
            <w:r>
              <w:rPr>
                <w:spacing w:val="14"/>
                <w:sz w:val="25"/>
              </w:rPr>
              <w:t> </w:t>
            </w:r>
            <w:r>
              <w:rPr>
                <w:sz w:val="25"/>
              </w:rPr>
              <w:t>Economics,</w:t>
            </w:r>
            <w:r>
              <w:rPr>
                <w:spacing w:val="13"/>
                <w:sz w:val="25"/>
              </w:rPr>
              <w:t> </w:t>
            </w:r>
            <w:r>
              <w:rPr>
                <w:sz w:val="25"/>
              </w:rPr>
              <w:t>University</w:t>
            </w:r>
            <w:r>
              <w:rPr>
                <w:spacing w:val="14"/>
                <w:sz w:val="25"/>
              </w:rPr>
              <w:t> </w:t>
            </w:r>
            <w:r>
              <w:rPr>
                <w:sz w:val="25"/>
              </w:rPr>
              <w:t>of</w:t>
            </w:r>
            <w:r>
              <w:rPr>
                <w:spacing w:val="14"/>
                <w:sz w:val="25"/>
              </w:rPr>
              <w:t> </w:t>
            </w:r>
            <w:r>
              <w:rPr>
                <w:spacing w:val="-2"/>
                <w:sz w:val="25"/>
              </w:rPr>
              <w:t>Washington</w:t>
            </w:r>
          </w:p>
        </w:tc>
      </w:tr>
      <w:tr>
        <w:trPr>
          <w:trHeight w:val="287" w:hRule="atLeast"/>
        </w:trPr>
        <w:tc>
          <w:tcPr>
            <w:tcW w:w="877" w:type="dxa"/>
          </w:tcPr>
          <w:p>
            <w:pPr>
              <w:pStyle w:val="TableParagraph"/>
              <w:ind w:left="0" w:right="177"/>
              <w:jc w:val="center"/>
              <w:rPr>
                <w:sz w:val="25"/>
              </w:rPr>
            </w:pPr>
            <w:r>
              <w:rPr>
                <w:spacing w:val="-2"/>
                <w:sz w:val="25"/>
              </w:rPr>
              <w:t>2003-</w:t>
            </w:r>
          </w:p>
        </w:tc>
        <w:tc>
          <w:tcPr>
            <w:tcW w:w="8741" w:type="dxa"/>
          </w:tcPr>
          <w:p>
            <w:pPr>
              <w:pStyle w:val="TableParagraph"/>
              <w:ind w:left="229"/>
              <w:rPr>
                <w:sz w:val="25"/>
              </w:rPr>
            </w:pPr>
            <w:r>
              <w:rPr>
                <w:i/>
                <w:sz w:val="25"/>
              </w:rPr>
              <w:t>Director,</w:t>
            </w:r>
            <w:r>
              <w:rPr>
                <w:i/>
                <w:spacing w:val="7"/>
                <w:sz w:val="25"/>
              </w:rPr>
              <w:t> </w:t>
            </w:r>
            <w:r>
              <w:rPr>
                <w:i/>
                <w:sz w:val="25"/>
              </w:rPr>
              <w:t>Economic</w:t>
            </w:r>
            <w:r>
              <w:rPr>
                <w:i/>
                <w:spacing w:val="7"/>
                <w:sz w:val="25"/>
              </w:rPr>
              <w:t> </w:t>
            </w:r>
            <w:r>
              <w:rPr>
                <w:i/>
                <w:sz w:val="25"/>
              </w:rPr>
              <w:t>Policy</w:t>
            </w:r>
            <w:r>
              <w:rPr>
                <w:i/>
                <w:spacing w:val="6"/>
                <w:sz w:val="25"/>
              </w:rPr>
              <w:t> </w:t>
            </w:r>
            <w:r>
              <w:rPr>
                <w:i/>
                <w:sz w:val="25"/>
              </w:rPr>
              <w:t>Research</w:t>
            </w:r>
            <w:r>
              <w:rPr>
                <w:i/>
                <w:spacing w:val="7"/>
                <w:sz w:val="25"/>
              </w:rPr>
              <w:t> </w:t>
            </w:r>
            <w:r>
              <w:rPr>
                <w:i/>
                <w:sz w:val="25"/>
              </w:rPr>
              <w:t>Center</w:t>
            </w:r>
            <w:r>
              <w:rPr>
                <w:sz w:val="25"/>
              </w:rPr>
              <w:t>,</w:t>
            </w:r>
            <w:r>
              <w:rPr>
                <w:spacing w:val="7"/>
                <w:sz w:val="25"/>
              </w:rPr>
              <w:t> </w:t>
            </w:r>
            <w:r>
              <w:rPr>
                <w:sz w:val="25"/>
              </w:rPr>
              <w:t>University</w:t>
            </w:r>
            <w:r>
              <w:rPr>
                <w:spacing w:val="7"/>
                <w:sz w:val="25"/>
              </w:rPr>
              <w:t> </w:t>
            </w:r>
            <w:r>
              <w:rPr>
                <w:sz w:val="25"/>
              </w:rPr>
              <w:t>of</w:t>
            </w:r>
            <w:r>
              <w:rPr>
                <w:spacing w:val="7"/>
                <w:sz w:val="25"/>
              </w:rPr>
              <w:t> </w:t>
            </w:r>
            <w:r>
              <w:rPr>
                <w:spacing w:val="-2"/>
                <w:sz w:val="25"/>
              </w:rPr>
              <w:t>Washington</w:t>
            </w:r>
          </w:p>
        </w:tc>
      </w:tr>
      <w:tr>
        <w:trPr>
          <w:trHeight w:val="287" w:hRule="atLeast"/>
        </w:trPr>
        <w:tc>
          <w:tcPr>
            <w:tcW w:w="877" w:type="dxa"/>
          </w:tcPr>
          <w:p>
            <w:pPr>
              <w:pStyle w:val="TableParagraph"/>
              <w:ind w:left="0" w:right="177"/>
              <w:jc w:val="center"/>
              <w:rPr>
                <w:sz w:val="25"/>
              </w:rPr>
            </w:pPr>
            <w:r>
              <w:rPr>
                <w:spacing w:val="-2"/>
                <w:sz w:val="25"/>
              </w:rPr>
              <w:t>2003-</w:t>
            </w:r>
          </w:p>
        </w:tc>
        <w:tc>
          <w:tcPr>
            <w:tcW w:w="8741" w:type="dxa"/>
          </w:tcPr>
          <w:p>
            <w:pPr>
              <w:pStyle w:val="TableParagraph"/>
              <w:ind w:left="229"/>
              <w:rPr>
                <w:sz w:val="25"/>
              </w:rPr>
            </w:pPr>
            <w:r>
              <w:rPr>
                <w:i/>
                <w:sz w:val="25"/>
              </w:rPr>
              <w:t>Research</w:t>
            </w:r>
            <w:r>
              <w:rPr>
                <w:i/>
                <w:spacing w:val="11"/>
                <w:sz w:val="25"/>
              </w:rPr>
              <w:t> </w:t>
            </w:r>
            <w:r>
              <w:rPr>
                <w:i/>
                <w:sz w:val="25"/>
              </w:rPr>
              <w:t>Fellow</w:t>
            </w:r>
            <w:r>
              <w:rPr>
                <w:sz w:val="25"/>
              </w:rPr>
              <w:t>,</w:t>
            </w:r>
            <w:r>
              <w:rPr>
                <w:spacing w:val="12"/>
                <w:sz w:val="25"/>
              </w:rPr>
              <w:t> </w:t>
            </w:r>
            <w:r>
              <w:rPr>
                <w:sz w:val="25"/>
              </w:rPr>
              <w:t>CESifo</w:t>
            </w:r>
            <w:r>
              <w:rPr>
                <w:spacing w:val="11"/>
                <w:sz w:val="25"/>
              </w:rPr>
              <w:t> </w:t>
            </w:r>
            <w:r>
              <w:rPr>
                <w:sz w:val="25"/>
              </w:rPr>
              <w:t>Research</w:t>
            </w:r>
            <w:r>
              <w:rPr>
                <w:spacing w:val="12"/>
                <w:sz w:val="25"/>
              </w:rPr>
              <w:t> </w:t>
            </w:r>
            <w:r>
              <w:rPr>
                <w:sz w:val="25"/>
              </w:rPr>
              <w:t>Network,</w:t>
            </w:r>
            <w:r>
              <w:rPr>
                <w:spacing w:val="11"/>
                <w:sz w:val="25"/>
              </w:rPr>
              <w:t> </w:t>
            </w:r>
            <w:r>
              <w:rPr>
                <w:sz w:val="25"/>
              </w:rPr>
              <w:t>at</w:t>
            </w:r>
            <w:r>
              <w:rPr>
                <w:spacing w:val="12"/>
                <w:sz w:val="25"/>
              </w:rPr>
              <w:t> </w:t>
            </w:r>
            <w:r>
              <w:rPr>
                <w:sz w:val="25"/>
              </w:rPr>
              <w:t>the</w:t>
            </w:r>
            <w:r>
              <w:rPr>
                <w:spacing w:val="11"/>
                <w:sz w:val="25"/>
              </w:rPr>
              <w:t> </w:t>
            </w:r>
            <w:r>
              <w:rPr>
                <w:sz w:val="25"/>
              </w:rPr>
              <w:t>University</w:t>
            </w:r>
            <w:r>
              <w:rPr>
                <w:spacing w:val="12"/>
                <w:sz w:val="25"/>
              </w:rPr>
              <w:t> </w:t>
            </w:r>
            <w:r>
              <w:rPr>
                <w:sz w:val="25"/>
              </w:rPr>
              <w:t>of</w:t>
            </w:r>
            <w:r>
              <w:rPr>
                <w:spacing w:val="11"/>
                <w:sz w:val="25"/>
              </w:rPr>
              <w:t> </w:t>
            </w:r>
            <w:r>
              <w:rPr>
                <w:spacing w:val="-2"/>
                <w:sz w:val="25"/>
              </w:rPr>
              <w:t>Munich</w:t>
            </w:r>
          </w:p>
        </w:tc>
      </w:tr>
      <w:tr>
        <w:trPr>
          <w:trHeight w:val="288" w:hRule="atLeast"/>
        </w:trPr>
        <w:tc>
          <w:tcPr>
            <w:tcW w:w="877" w:type="dxa"/>
          </w:tcPr>
          <w:p>
            <w:pPr>
              <w:pStyle w:val="TableParagraph"/>
              <w:ind w:left="0" w:right="177"/>
              <w:jc w:val="center"/>
              <w:rPr>
                <w:sz w:val="25"/>
              </w:rPr>
            </w:pPr>
            <w:r>
              <w:rPr>
                <w:spacing w:val="-2"/>
                <w:sz w:val="25"/>
              </w:rPr>
              <w:t>2004-</w:t>
            </w:r>
          </w:p>
        </w:tc>
        <w:tc>
          <w:tcPr>
            <w:tcW w:w="8741" w:type="dxa"/>
          </w:tcPr>
          <w:p>
            <w:pPr>
              <w:pStyle w:val="TableParagraph"/>
              <w:ind w:left="229"/>
              <w:rPr>
                <w:sz w:val="25"/>
              </w:rPr>
            </w:pPr>
            <w:r>
              <w:rPr>
                <w:i/>
                <w:sz w:val="25"/>
              </w:rPr>
              <w:t>Research</w:t>
            </w:r>
            <w:r>
              <w:rPr>
                <w:i/>
                <w:spacing w:val="8"/>
                <w:sz w:val="25"/>
              </w:rPr>
              <w:t> </w:t>
            </w:r>
            <w:r>
              <w:rPr>
                <w:i/>
                <w:sz w:val="25"/>
              </w:rPr>
              <w:t>Fellow</w:t>
            </w:r>
            <w:r>
              <w:rPr>
                <w:sz w:val="25"/>
              </w:rPr>
              <w:t>,</w:t>
            </w:r>
            <w:r>
              <w:rPr>
                <w:spacing w:val="9"/>
                <w:sz w:val="25"/>
              </w:rPr>
              <w:t> </w:t>
            </w:r>
            <w:r>
              <w:rPr>
                <w:sz w:val="25"/>
              </w:rPr>
              <w:t>IZA</w:t>
            </w:r>
            <w:r>
              <w:rPr>
                <w:spacing w:val="-7"/>
                <w:sz w:val="25"/>
              </w:rPr>
              <w:t> </w:t>
            </w:r>
            <w:r>
              <w:rPr>
                <w:sz w:val="25"/>
              </w:rPr>
              <w:t>Institute</w:t>
            </w:r>
            <w:r>
              <w:rPr>
                <w:spacing w:val="8"/>
                <w:sz w:val="25"/>
              </w:rPr>
              <w:t> </w:t>
            </w:r>
            <w:r>
              <w:rPr>
                <w:sz w:val="25"/>
              </w:rPr>
              <w:t>for</w:t>
            </w:r>
            <w:r>
              <w:rPr>
                <w:spacing w:val="9"/>
                <w:sz w:val="25"/>
              </w:rPr>
              <w:t> </w:t>
            </w:r>
            <w:r>
              <w:rPr>
                <w:sz w:val="25"/>
              </w:rPr>
              <w:t>the</w:t>
            </w:r>
            <w:r>
              <w:rPr>
                <w:spacing w:val="8"/>
                <w:sz w:val="25"/>
              </w:rPr>
              <w:t> </w:t>
            </w:r>
            <w:r>
              <w:rPr>
                <w:sz w:val="25"/>
              </w:rPr>
              <w:t>Study</w:t>
            </w:r>
            <w:r>
              <w:rPr>
                <w:spacing w:val="9"/>
                <w:sz w:val="25"/>
              </w:rPr>
              <w:t> </w:t>
            </w:r>
            <w:r>
              <w:rPr>
                <w:sz w:val="25"/>
              </w:rPr>
              <w:t>of</w:t>
            </w:r>
            <w:r>
              <w:rPr>
                <w:spacing w:val="8"/>
                <w:sz w:val="25"/>
              </w:rPr>
              <w:t> </w:t>
            </w:r>
            <w:r>
              <w:rPr>
                <w:sz w:val="25"/>
              </w:rPr>
              <w:t>Labor,</w:t>
            </w:r>
            <w:r>
              <w:rPr>
                <w:spacing w:val="9"/>
                <w:sz w:val="25"/>
              </w:rPr>
              <w:t> </w:t>
            </w:r>
            <w:r>
              <w:rPr>
                <w:spacing w:val="-4"/>
                <w:sz w:val="25"/>
              </w:rPr>
              <w:t>Bonn</w:t>
            </w:r>
          </w:p>
        </w:tc>
      </w:tr>
      <w:tr>
        <w:trPr>
          <w:trHeight w:val="287" w:hRule="atLeast"/>
        </w:trPr>
        <w:tc>
          <w:tcPr>
            <w:tcW w:w="877" w:type="dxa"/>
          </w:tcPr>
          <w:p>
            <w:pPr>
              <w:pStyle w:val="TableParagraph"/>
              <w:ind w:left="0" w:right="177"/>
              <w:jc w:val="center"/>
              <w:rPr>
                <w:sz w:val="25"/>
              </w:rPr>
            </w:pPr>
            <w:r>
              <w:rPr>
                <w:spacing w:val="-2"/>
                <w:sz w:val="25"/>
              </w:rPr>
              <w:t>2005-</w:t>
            </w:r>
          </w:p>
        </w:tc>
        <w:tc>
          <w:tcPr>
            <w:tcW w:w="8741" w:type="dxa"/>
          </w:tcPr>
          <w:p>
            <w:pPr>
              <w:pStyle w:val="TableParagraph"/>
              <w:ind w:left="229"/>
              <w:rPr>
                <w:sz w:val="25"/>
              </w:rPr>
            </w:pPr>
            <w:r>
              <w:rPr>
                <w:i/>
                <w:sz w:val="25"/>
              </w:rPr>
              <w:t>Affiliate</w:t>
            </w:r>
            <w:r>
              <w:rPr>
                <w:i/>
                <w:spacing w:val="10"/>
                <w:sz w:val="25"/>
              </w:rPr>
              <w:t> </w:t>
            </w:r>
            <w:r>
              <w:rPr>
                <w:i/>
                <w:sz w:val="25"/>
              </w:rPr>
              <w:t>Professor</w:t>
            </w:r>
            <w:r>
              <w:rPr>
                <w:sz w:val="25"/>
              </w:rPr>
              <w:t>,</w:t>
            </w:r>
            <w:r>
              <w:rPr>
                <w:spacing w:val="11"/>
                <w:sz w:val="25"/>
              </w:rPr>
              <w:t> </w:t>
            </w:r>
            <w:r>
              <w:rPr>
                <w:sz w:val="25"/>
              </w:rPr>
              <w:t>Center</w:t>
            </w:r>
            <w:r>
              <w:rPr>
                <w:spacing w:val="11"/>
                <w:sz w:val="25"/>
              </w:rPr>
              <w:t> </w:t>
            </w:r>
            <w:r>
              <w:rPr>
                <w:sz w:val="25"/>
              </w:rPr>
              <w:t>for</w:t>
            </w:r>
            <w:r>
              <w:rPr>
                <w:spacing w:val="11"/>
                <w:sz w:val="25"/>
              </w:rPr>
              <w:t> </w:t>
            </w:r>
            <w:r>
              <w:rPr>
                <w:sz w:val="25"/>
              </w:rPr>
              <w:t>Statistics</w:t>
            </w:r>
            <w:r>
              <w:rPr>
                <w:spacing w:val="11"/>
                <w:sz w:val="25"/>
              </w:rPr>
              <w:t> </w:t>
            </w:r>
            <w:r>
              <w:rPr>
                <w:sz w:val="25"/>
              </w:rPr>
              <w:t>and</w:t>
            </w:r>
            <w:r>
              <w:rPr>
                <w:spacing w:val="10"/>
                <w:sz w:val="25"/>
              </w:rPr>
              <w:t> </w:t>
            </w:r>
            <w:r>
              <w:rPr>
                <w:sz w:val="25"/>
              </w:rPr>
              <w:t>the</w:t>
            </w:r>
            <w:r>
              <w:rPr>
                <w:spacing w:val="11"/>
                <w:sz w:val="25"/>
              </w:rPr>
              <w:t> </w:t>
            </w:r>
            <w:r>
              <w:rPr>
                <w:sz w:val="25"/>
              </w:rPr>
              <w:t>Social</w:t>
            </w:r>
            <w:r>
              <w:rPr>
                <w:spacing w:val="11"/>
                <w:sz w:val="25"/>
              </w:rPr>
              <w:t> </w:t>
            </w:r>
            <w:r>
              <w:rPr>
                <w:sz w:val="25"/>
              </w:rPr>
              <w:t>Sciences,</w:t>
            </w:r>
            <w:r>
              <w:rPr>
                <w:spacing w:val="11"/>
                <w:sz w:val="25"/>
              </w:rPr>
              <w:t> </w:t>
            </w:r>
            <w:r>
              <w:rPr>
                <w:sz w:val="25"/>
              </w:rPr>
              <w:t>University</w:t>
            </w:r>
            <w:r>
              <w:rPr>
                <w:spacing w:val="11"/>
                <w:sz w:val="25"/>
              </w:rPr>
              <w:t> </w:t>
            </w:r>
            <w:r>
              <w:rPr>
                <w:spacing w:val="-5"/>
                <w:sz w:val="25"/>
              </w:rPr>
              <w:t>of</w:t>
            </w:r>
          </w:p>
        </w:tc>
      </w:tr>
      <w:tr>
        <w:trPr>
          <w:trHeight w:val="288" w:hRule="atLeast"/>
        </w:trPr>
        <w:tc>
          <w:tcPr>
            <w:tcW w:w="877" w:type="dxa"/>
          </w:tcPr>
          <w:p>
            <w:pPr>
              <w:pStyle w:val="TableParagraph"/>
              <w:spacing w:line="240" w:lineRule="auto"/>
              <w:ind w:left="0"/>
              <w:rPr>
                <w:sz w:val="20"/>
              </w:rPr>
            </w:pPr>
          </w:p>
        </w:tc>
        <w:tc>
          <w:tcPr>
            <w:tcW w:w="8741" w:type="dxa"/>
          </w:tcPr>
          <w:p>
            <w:pPr>
              <w:pStyle w:val="TableParagraph"/>
              <w:ind w:left="229"/>
              <w:rPr>
                <w:sz w:val="25"/>
              </w:rPr>
            </w:pPr>
            <w:r>
              <w:rPr>
                <w:spacing w:val="-2"/>
                <w:sz w:val="25"/>
              </w:rPr>
              <w:t>Washington</w:t>
            </w:r>
          </w:p>
        </w:tc>
      </w:tr>
      <w:tr>
        <w:trPr>
          <w:trHeight w:val="287" w:hRule="atLeast"/>
        </w:trPr>
        <w:tc>
          <w:tcPr>
            <w:tcW w:w="877" w:type="dxa"/>
          </w:tcPr>
          <w:p>
            <w:pPr>
              <w:pStyle w:val="TableParagraph"/>
              <w:ind w:left="0" w:right="177"/>
              <w:jc w:val="center"/>
              <w:rPr>
                <w:sz w:val="25"/>
              </w:rPr>
            </w:pPr>
            <w:r>
              <w:rPr>
                <w:spacing w:val="-2"/>
                <w:sz w:val="25"/>
              </w:rPr>
              <w:t>2000-</w:t>
            </w:r>
          </w:p>
        </w:tc>
        <w:tc>
          <w:tcPr>
            <w:tcW w:w="8741" w:type="dxa"/>
          </w:tcPr>
          <w:p>
            <w:pPr>
              <w:pStyle w:val="TableParagraph"/>
              <w:ind w:left="229"/>
              <w:rPr>
                <w:sz w:val="25"/>
              </w:rPr>
            </w:pPr>
            <w:r>
              <w:rPr>
                <w:i/>
                <w:sz w:val="25"/>
              </w:rPr>
              <w:t>Affiliate</w:t>
            </w:r>
            <w:r>
              <w:rPr>
                <w:i/>
                <w:spacing w:val="10"/>
                <w:sz w:val="25"/>
              </w:rPr>
              <w:t> </w:t>
            </w:r>
            <w:r>
              <w:rPr>
                <w:i/>
                <w:sz w:val="25"/>
              </w:rPr>
              <w:t>Professor</w:t>
            </w:r>
            <w:r>
              <w:rPr>
                <w:sz w:val="25"/>
              </w:rPr>
              <w:t>,</w:t>
            </w:r>
            <w:r>
              <w:rPr>
                <w:spacing w:val="10"/>
                <w:sz w:val="25"/>
              </w:rPr>
              <w:t> </w:t>
            </w:r>
            <w:r>
              <w:rPr>
                <w:sz w:val="25"/>
              </w:rPr>
              <w:t>Center</w:t>
            </w:r>
            <w:r>
              <w:rPr>
                <w:spacing w:val="10"/>
                <w:sz w:val="25"/>
              </w:rPr>
              <w:t> </w:t>
            </w:r>
            <w:r>
              <w:rPr>
                <w:sz w:val="25"/>
              </w:rPr>
              <w:t>for</w:t>
            </w:r>
            <w:r>
              <w:rPr>
                <w:spacing w:val="10"/>
                <w:sz w:val="25"/>
              </w:rPr>
              <w:t> </w:t>
            </w:r>
            <w:r>
              <w:rPr>
                <w:sz w:val="25"/>
              </w:rPr>
              <w:t>Global</w:t>
            </w:r>
            <w:r>
              <w:rPr>
                <w:spacing w:val="10"/>
                <w:sz w:val="25"/>
              </w:rPr>
              <w:t> </w:t>
            </w:r>
            <w:r>
              <w:rPr>
                <w:sz w:val="25"/>
              </w:rPr>
              <w:t>Studies,</w:t>
            </w:r>
            <w:r>
              <w:rPr>
                <w:spacing w:val="11"/>
                <w:sz w:val="25"/>
              </w:rPr>
              <w:t> </w:t>
            </w:r>
            <w:r>
              <w:rPr>
                <w:sz w:val="25"/>
              </w:rPr>
              <w:t>UW</w:t>
            </w:r>
            <w:r>
              <w:rPr>
                <w:spacing w:val="5"/>
                <w:sz w:val="25"/>
              </w:rPr>
              <w:t> </w:t>
            </w:r>
            <w:r>
              <w:rPr>
                <w:sz w:val="25"/>
              </w:rPr>
              <w:t>Jackson</w:t>
            </w:r>
            <w:r>
              <w:rPr>
                <w:spacing w:val="10"/>
                <w:sz w:val="25"/>
              </w:rPr>
              <w:t> </w:t>
            </w:r>
            <w:r>
              <w:rPr>
                <w:sz w:val="25"/>
              </w:rPr>
              <w:t>School</w:t>
            </w:r>
            <w:r>
              <w:rPr>
                <w:spacing w:val="11"/>
                <w:sz w:val="25"/>
              </w:rPr>
              <w:t> </w:t>
            </w:r>
            <w:r>
              <w:rPr>
                <w:sz w:val="25"/>
              </w:rPr>
              <w:t>of</w:t>
            </w:r>
            <w:r>
              <w:rPr>
                <w:spacing w:val="10"/>
                <w:sz w:val="25"/>
              </w:rPr>
              <w:t> </w:t>
            </w:r>
            <w:r>
              <w:rPr>
                <w:spacing w:val="-2"/>
                <w:sz w:val="25"/>
              </w:rPr>
              <w:t>International</w:t>
            </w:r>
          </w:p>
        </w:tc>
      </w:tr>
      <w:tr>
        <w:trPr>
          <w:trHeight w:val="287" w:hRule="atLeast"/>
        </w:trPr>
        <w:tc>
          <w:tcPr>
            <w:tcW w:w="877" w:type="dxa"/>
          </w:tcPr>
          <w:p>
            <w:pPr>
              <w:pStyle w:val="TableParagraph"/>
              <w:spacing w:line="240" w:lineRule="auto"/>
              <w:ind w:left="0"/>
              <w:rPr>
                <w:sz w:val="20"/>
              </w:rPr>
            </w:pPr>
          </w:p>
        </w:tc>
        <w:tc>
          <w:tcPr>
            <w:tcW w:w="8741" w:type="dxa"/>
          </w:tcPr>
          <w:p>
            <w:pPr>
              <w:pStyle w:val="TableParagraph"/>
              <w:ind w:left="229"/>
              <w:rPr>
                <w:sz w:val="25"/>
              </w:rPr>
            </w:pPr>
            <w:r>
              <w:rPr>
                <w:spacing w:val="-2"/>
                <w:sz w:val="25"/>
              </w:rPr>
              <w:t>Studies</w:t>
            </w:r>
          </w:p>
        </w:tc>
      </w:tr>
      <w:tr>
        <w:trPr>
          <w:trHeight w:val="272" w:hRule="atLeast"/>
        </w:trPr>
        <w:tc>
          <w:tcPr>
            <w:tcW w:w="877" w:type="dxa"/>
          </w:tcPr>
          <w:p>
            <w:pPr>
              <w:pStyle w:val="TableParagraph"/>
              <w:spacing w:line="252" w:lineRule="exact"/>
              <w:ind w:left="0" w:right="177"/>
              <w:jc w:val="center"/>
              <w:rPr>
                <w:sz w:val="25"/>
              </w:rPr>
            </w:pPr>
            <w:r>
              <w:rPr>
                <w:spacing w:val="-2"/>
                <w:sz w:val="25"/>
              </w:rPr>
              <w:t>2013-</w:t>
            </w:r>
          </w:p>
        </w:tc>
        <w:tc>
          <w:tcPr>
            <w:tcW w:w="8741" w:type="dxa"/>
          </w:tcPr>
          <w:p>
            <w:pPr>
              <w:pStyle w:val="TableParagraph"/>
              <w:spacing w:line="252" w:lineRule="exact"/>
              <w:ind w:left="229"/>
              <w:rPr>
                <w:sz w:val="25"/>
              </w:rPr>
            </w:pPr>
            <w:r>
              <w:rPr>
                <w:i/>
                <w:sz w:val="25"/>
              </w:rPr>
              <w:t>Advisory</w:t>
            </w:r>
            <w:r>
              <w:rPr>
                <w:i/>
                <w:spacing w:val="13"/>
                <w:sz w:val="25"/>
              </w:rPr>
              <w:t> </w:t>
            </w:r>
            <w:r>
              <w:rPr>
                <w:i/>
                <w:sz w:val="25"/>
              </w:rPr>
              <w:t>Council,</w:t>
            </w:r>
            <w:r>
              <w:rPr>
                <w:i/>
                <w:spacing w:val="14"/>
                <w:sz w:val="25"/>
              </w:rPr>
              <w:t> </w:t>
            </w:r>
            <w:r>
              <w:rPr>
                <w:sz w:val="25"/>
              </w:rPr>
              <w:t>Revista</w:t>
            </w:r>
            <w:r>
              <w:rPr>
                <w:spacing w:val="14"/>
                <w:sz w:val="25"/>
              </w:rPr>
              <w:t> </w:t>
            </w:r>
            <w:r>
              <w:rPr>
                <w:sz w:val="25"/>
              </w:rPr>
              <w:t>de</w:t>
            </w:r>
            <w:r>
              <w:rPr>
                <w:spacing w:val="14"/>
                <w:sz w:val="25"/>
              </w:rPr>
              <w:t> </w:t>
            </w:r>
            <w:r>
              <w:rPr>
                <w:sz w:val="25"/>
              </w:rPr>
              <w:t>Ciencias</w:t>
            </w:r>
            <w:r>
              <w:rPr>
                <w:spacing w:val="13"/>
                <w:sz w:val="25"/>
              </w:rPr>
              <w:t> </w:t>
            </w:r>
            <w:r>
              <w:rPr>
                <w:spacing w:val="-2"/>
                <w:sz w:val="25"/>
              </w:rPr>
              <w:t>Económicas</w:t>
            </w:r>
          </w:p>
        </w:tc>
      </w:tr>
    </w:tbl>
    <w:p>
      <w:pPr>
        <w:spacing w:before="290" w:after="46"/>
        <w:ind w:left="127" w:right="0" w:firstLine="0"/>
        <w:jc w:val="left"/>
        <w:rPr>
          <w:b/>
          <w:sz w:val="38"/>
        </w:rPr>
      </w:pPr>
      <w:r>
        <w:rPr>
          <w:b/>
          <w:sz w:val="38"/>
        </w:rPr>
        <w:t>Former</w:t>
      </w:r>
      <w:r>
        <w:rPr>
          <w:b/>
          <w:spacing w:val="3"/>
          <w:sz w:val="38"/>
        </w:rPr>
        <w:t> </w:t>
      </w:r>
      <w:r>
        <w:rPr>
          <w:b/>
          <w:spacing w:val="-2"/>
          <w:sz w:val="38"/>
        </w:rPr>
        <w:t>Positions</w:t>
      </w: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
        <w:gridCol w:w="7440"/>
      </w:tblGrid>
      <w:tr>
        <w:trPr>
          <w:trHeight w:val="272" w:hRule="atLeast"/>
        </w:trPr>
        <w:tc>
          <w:tcPr>
            <w:tcW w:w="1005" w:type="dxa"/>
          </w:tcPr>
          <w:p>
            <w:pPr>
              <w:pStyle w:val="TableParagraph"/>
              <w:spacing w:line="246" w:lineRule="exact"/>
              <w:rPr>
                <w:sz w:val="25"/>
              </w:rPr>
            </w:pPr>
            <w:r>
              <w:rPr>
                <w:sz w:val="25"/>
              </w:rPr>
              <w:t>2004-</w:t>
            </w:r>
            <w:r>
              <w:rPr>
                <w:spacing w:val="-5"/>
                <w:sz w:val="25"/>
              </w:rPr>
              <w:t>12</w:t>
            </w:r>
          </w:p>
        </w:tc>
        <w:tc>
          <w:tcPr>
            <w:tcW w:w="7440" w:type="dxa"/>
          </w:tcPr>
          <w:p>
            <w:pPr>
              <w:pStyle w:val="TableParagraph"/>
              <w:spacing w:line="246" w:lineRule="exact"/>
              <w:ind w:left="100"/>
              <w:rPr>
                <w:sz w:val="25"/>
              </w:rPr>
            </w:pPr>
            <w:r>
              <w:rPr>
                <w:i/>
                <w:sz w:val="25"/>
              </w:rPr>
              <w:t>Robert</w:t>
            </w:r>
            <w:r>
              <w:rPr>
                <w:i/>
                <w:spacing w:val="12"/>
                <w:sz w:val="25"/>
              </w:rPr>
              <w:t> </w:t>
            </w:r>
            <w:r>
              <w:rPr>
                <w:i/>
                <w:sz w:val="25"/>
              </w:rPr>
              <w:t>R.</w:t>
            </w:r>
            <w:r>
              <w:rPr>
                <w:i/>
                <w:spacing w:val="13"/>
                <w:sz w:val="25"/>
              </w:rPr>
              <w:t> </w:t>
            </w:r>
            <w:r>
              <w:rPr>
                <w:i/>
                <w:sz w:val="25"/>
              </w:rPr>
              <w:t>Richards</w:t>
            </w:r>
            <w:r>
              <w:rPr>
                <w:i/>
                <w:spacing w:val="13"/>
                <w:sz w:val="25"/>
              </w:rPr>
              <w:t> </w:t>
            </w:r>
            <w:r>
              <w:rPr>
                <w:i/>
                <w:sz w:val="25"/>
              </w:rPr>
              <w:t>Distinguished</w:t>
            </w:r>
            <w:r>
              <w:rPr>
                <w:i/>
                <w:spacing w:val="12"/>
                <w:sz w:val="25"/>
              </w:rPr>
              <w:t> </w:t>
            </w:r>
            <w:r>
              <w:rPr>
                <w:i/>
                <w:sz w:val="25"/>
              </w:rPr>
              <w:t>Scholar</w:t>
            </w:r>
            <w:r>
              <w:rPr>
                <w:sz w:val="25"/>
              </w:rPr>
              <w:t>,</w:t>
            </w:r>
            <w:r>
              <w:rPr>
                <w:spacing w:val="13"/>
                <w:sz w:val="25"/>
              </w:rPr>
              <w:t> </w:t>
            </w:r>
            <w:r>
              <w:rPr>
                <w:sz w:val="25"/>
              </w:rPr>
              <w:t>University</w:t>
            </w:r>
            <w:r>
              <w:rPr>
                <w:spacing w:val="13"/>
                <w:sz w:val="25"/>
              </w:rPr>
              <w:t> </w:t>
            </w:r>
            <w:r>
              <w:rPr>
                <w:sz w:val="25"/>
              </w:rPr>
              <w:t>of</w:t>
            </w:r>
            <w:r>
              <w:rPr>
                <w:spacing w:val="12"/>
                <w:sz w:val="25"/>
              </w:rPr>
              <w:t> </w:t>
            </w:r>
            <w:r>
              <w:rPr>
                <w:spacing w:val="-2"/>
                <w:sz w:val="25"/>
              </w:rPr>
              <w:t>Washington</w:t>
            </w:r>
          </w:p>
        </w:tc>
      </w:tr>
      <w:tr>
        <w:trPr>
          <w:trHeight w:val="287" w:hRule="atLeast"/>
        </w:trPr>
        <w:tc>
          <w:tcPr>
            <w:tcW w:w="1005" w:type="dxa"/>
          </w:tcPr>
          <w:p>
            <w:pPr>
              <w:pStyle w:val="TableParagraph"/>
              <w:rPr>
                <w:sz w:val="25"/>
              </w:rPr>
            </w:pPr>
            <w:r>
              <w:rPr>
                <w:sz w:val="25"/>
              </w:rPr>
              <w:t>2000-</w:t>
            </w:r>
            <w:r>
              <w:rPr>
                <w:spacing w:val="-5"/>
                <w:sz w:val="25"/>
              </w:rPr>
              <w:t>06</w:t>
            </w:r>
          </w:p>
        </w:tc>
        <w:tc>
          <w:tcPr>
            <w:tcW w:w="7440" w:type="dxa"/>
          </w:tcPr>
          <w:p>
            <w:pPr>
              <w:pStyle w:val="TableParagraph"/>
              <w:ind w:left="100"/>
              <w:rPr>
                <w:sz w:val="25"/>
              </w:rPr>
            </w:pPr>
            <w:r>
              <w:rPr>
                <w:i/>
                <w:sz w:val="25"/>
              </w:rPr>
              <w:t>Associate</w:t>
            </w:r>
            <w:r>
              <w:rPr>
                <w:i/>
                <w:spacing w:val="12"/>
                <w:sz w:val="25"/>
              </w:rPr>
              <w:t> </w:t>
            </w:r>
            <w:r>
              <w:rPr>
                <w:i/>
                <w:sz w:val="25"/>
              </w:rPr>
              <w:t>Professor</w:t>
            </w:r>
            <w:r>
              <w:rPr>
                <w:sz w:val="25"/>
              </w:rPr>
              <w:t>,</w:t>
            </w:r>
            <w:r>
              <w:rPr>
                <w:spacing w:val="13"/>
                <w:sz w:val="25"/>
              </w:rPr>
              <w:t> </w:t>
            </w:r>
            <w:r>
              <w:rPr>
                <w:sz w:val="25"/>
              </w:rPr>
              <w:t>Dept.</w:t>
            </w:r>
            <w:r>
              <w:rPr>
                <w:spacing w:val="13"/>
                <w:sz w:val="25"/>
              </w:rPr>
              <w:t> </w:t>
            </w:r>
            <w:r>
              <w:rPr>
                <w:sz w:val="25"/>
              </w:rPr>
              <w:t>of</w:t>
            </w:r>
            <w:r>
              <w:rPr>
                <w:spacing w:val="13"/>
                <w:sz w:val="25"/>
              </w:rPr>
              <w:t> </w:t>
            </w:r>
            <w:r>
              <w:rPr>
                <w:sz w:val="25"/>
              </w:rPr>
              <w:t>Economics,</w:t>
            </w:r>
            <w:r>
              <w:rPr>
                <w:spacing w:val="13"/>
                <w:sz w:val="25"/>
              </w:rPr>
              <w:t> </w:t>
            </w:r>
            <w:r>
              <w:rPr>
                <w:sz w:val="25"/>
              </w:rPr>
              <w:t>University</w:t>
            </w:r>
            <w:r>
              <w:rPr>
                <w:spacing w:val="12"/>
                <w:sz w:val="25"/>
              </w:rPr>
              <w:t> </w:t>
            </w:r>
            <w:r>
              <w:rPr>
                <w:sz w:val="25"/>
              </w:rPr>
              <w:t>of</w:t>
            </w:r>
            <w:r>
              <w:rPr>
                <w:spacing w:val="13"/>
                <w:sz w:val="25"/>
              </w:rPr>
              <w:t> </w:t>
            </w:r>
            <w:r>
              <w:rPr>
                <w:spacing w:val="-2"/>
                <w:sz w:val="25"/>
              </w:rPr>
              <w:t>Washington</w:t>
            </w:r>
          </w:p>
        </w:tc>
      </w:tr>
      <w:tr>
        <w:trPr>
          <w:trHeight w:val="288" w:hRule="atLeast"/>
        </w:trPr>
        <w:tc>
          <w:tcPr>
            <w:tcW w:w="1005" w:type="dxa"/>
          </w:tcPr>
          <w:p>
            <w:pPr>
              <w:pStyle w:val="TableParagraph"/>
              <w:rPr>
                <w:sz w:val="25"/>
              </w:rPr>
            </w:pPr>
            <w:r>
              <w:rPr>
                <w:sz w:val="25"/>
              </w:rPr>
              <w:t>1994-</w:t>
            </w:r>
            <w:r>
              <w:rPr>
                <w:spacing w:val="-5"/>
                <w:sz w:val="25"/>
              </w:rPr>
              <w:t>00</w:t>
            </w:r>
          </w:p>
        </w:tc>
        <w:tc>
          <w:tcPr>
            <w:tcW w:w="7440" w:type="dxa"/>
          </w:tcPr>
          <w:p>
            <w:pPr>
              <w:pStyle w:val="TableParagraph"/>
              <w:ind w:left="100"/>
              <w:rPr>
                <w:sz w:val="25"/>
              </w:rPr>
            </w:pPr>
            <w:r>
              <w:rPr>
                <w:i/>
                <w:sz w:val="25"/>
              </w:rPr>
              <w:t>Assistant</w:t>
            </w:r>
            <w:r>
              <w:rPr>
                <w:i/>
                <w:spacing w:val="12"/>
                <w:sz w:val="25"/>
              </w:rPr>
              <w:t> </w:t>
            </w:r>
            <w:r>
              <w:rPr>
                <w:i/>
                <w:sz w:val="25"/>
              </w:rPr>
              <w:t>Professor</w:t>
            </w:r>
            <w:r>
              <w:rPr>
                <w:sz w:val="25"/>
              </w:rPr>
              <w:t>,</w:t>
            </w:r>
            <w:r>
              <w:rPr>
                <w:spacing w:val="13"/>
                <w:sz w:val="25"/>
              </w:rPr>
              <w:t> </w:t>
            </w:r>
            <w:r>
              <w:rPr>
                <w:sz w:val="25"/>
              </w:rPr>
              <w:t>Dept.</w:t>
            </w:r>
            <w:r>
              <w:rPr>
                <w:spacing w:val="13"/>
                <w:sz w:val="25"/>
              </w:rPr>
              <w:t> </w:t>
            </w:r>
            <w:r>
              <w:rPr>
                <w:sz w:val="25"/>
              </w:rPr>
              <w:t>of</w:t>
            </w:r>
            <w:r>
              <w:rPr>
                <w:spacing w:val="13"/>
                <w:sz w:val="25"/>
              </w:rPr>
              <w:t> </w:t>
            </w:r>
            <w:r>
              <w:rPr>
                <w:sz w:val="25"/>
              </w:rPr>
              <w:t>Economics,</w:t>
            </w:r>
            <w:r>
              <w:rPr>
                <w:spacing w:val="13"/>
                <w:sz w:val="25"/>
              </w:rPr>
              <w:t> </w:t>
            </w:r>
            <w:r>
              <w:rPr>
                <w:sz w:val="25"/>
              </w:rPr>
              <w:t>University</w:t>
            </w:r>
            <w:r>
              <w:rPr>
                <w:spacing w:val="12"/>
                <w:sz w:val="25"/>
              </w:rPr>
              <w:t> </w:t>
            </w:r>
            <w:r>
              <w:rPr>
                <w:sz w:val="25"/>
              </w:rPr>
              <w:t>of</w:t>
            </w:r>
            <w:r>
              <w:rPr>
                <w:spacing w:val="13"/>
                <w:sz w:val="25"/>
              </w:rPr>
              <w:t> </w:t>
            </w:r>
            <w:r>
              <w:rPr>
                <w:spacing w:val="-2"/>
                <w:sz w:val="25"/>
              </w:rPr>
              <w:t>Washington</w:t>
            </w:r>
          </w:p>
        </w:tc>
      </w:tr>
      <w:tr>
        <w:trPr>
          <w:trHeight w:val="287" w:hRule="atLeast"/>
        </w:trPr>
        <w:tc>
          <w:tcPr>
            <w:tcW w:w="1005" w:type="dxa"/>
          </w:tcPr>
          <w:p>
            <w:pPr>
              <w:pStyle w:val="TableParagraph"/>
              <w:rPr>
                <w:sz w:val="25"/>
              </w:rPr>
            </w:pPr>
            <w:r>
              <w:rPr>
                <w:sz w:val="25"/>
              </w:rPr>
              <w:t>1992-</w:t>
            </w:r>
            <w:r>
              <w:rPr>
                <w:spacing w:val="-5"/>
                <w:sz w:val="25"/>
              </w:rPr>
              <w:t>94</w:t>
            </w:r>
          </w:p>
        </w:tc>
        <w:tc>
          <w:tcPr>
            <w:tcW w:w="7440" w:type="dxa"/>
          </w:tcPr>
          <w:p>
            <w:pPr>
              <w:pStyle w:val="TableParagraph"/>
              <w:ind w:left="100"/>
              <w:rPr>
                <w:sz w:val="25"/>
              </w:rPr>
            </w:pPr>
            <w:r>
              <w:rPr>
                <w:i/>
                <w:sz w:val="25"/>
              </w:rPr>
              <w:t>Preceptor</w:t>
            </w:r>
            <w:r>
              <w:rPr>
                <w:sz w:val="25"/>
              </w:rPr>
              <w:t>,</w:t>
            </w:r>
            <w:r>
              <w:rPr>
                <w:spacing w:val="13"/>
                <w:sz w:val="25"/>
              </w:rPr>
              <w:t> </w:t>
            </w:r>
            <w:r>
              <w:rPr>
                <w:sz w:val="25"/>
              </w:rPr>
              <w:t>Dept.</w:t>
            </w:r>
            <w:r>
              <w:rPr>
                <w:spacing w:val="13"/>
                <w:sz w:val="25"/>
              </w:rPr>
              <w:t> </w:t>
            </w:r>
            <w:r>
              <w:rPr>
                <w:sz w:val="25"/>
              </w:rPr>
              <w:t>of</w:t>
            </w:r>
            <w:r>
              <w:rPr>
                <w:spacing w:val="13"/>
                <w:sz w:val="25"/>
              </w:rPr>
              <w:t> </w:t>
            </w:r>
            <w:r>
              <w:rPr>
                <w:sz w:val="25"/>
              </w:rPr>
              <w:t>Economics,</w:t>
            </w:r>
            <w:r>
              <w:rPr>
                <w:spacing w:val="13"/>
                <w:sz w:val="25"/>
              </w:rPr>
              <w:t> </w:t>
            </w:r>
            <w:r>
              <w:rPr>
                <w:sz w:val="25"/>
              </w:rPr>
              <w:t>Columbia</w:t>
            </w:r>
            <w:r>
              <w:rPr>
                <w:spacing w:val="13"/>
                <w:sz w:val="25"/>
              </w:rPr>
              <w:t> </w:t>
            </w:r>
            <w:r>
              <w:rPr>
                <w:spacing w:val="-2"/>
                <w:sz w:val="25"/>
              </w:rPr>
              <w:t>University</w:t>
            </w:r>
          </w:p>
        </w:tc>
      </w:tr>
      <w:tr>
        <w:trPr>
          <w:trHeight w:val="288" w:hRule="atLeast"/>
        </w:trPr>
        <w:tc>
          <w:tcPr>
            <w:tcW w:w="1005" w:type="dxa"/>
          </w:tcPr>
          <w:p>
            <w:pPr>
              <w:pStyle w:val="TableParagraph"/>
              <w:rPr>
                <w:sz w:val="25"/>
              </w:rPr>
            </w:pPr>
            <w:r>
              <w:rPr>
                <w:spacing w:val="-4"/>
                <w:sz w:val="25"/>
              </w:rPr>
              <w:t>1992</w:t>
            </w:r>
          </w:p>
        </w:tc>
        <w:tc>
          <w:tcPr>
            <w:tcW w:w="7440" w:type="dxa"/>
          </w:tcPr>
          <w:p>
            <w:pPr>
              <w:pStyle w:val="TableParagraph"/>
              <w:ind w:left="100"/>
              <w:rPr>
                <w:sz w:val="25"/>
              </w:rPr>
            </w:pPr>
            <w:r>
              <w:rPr>
                <w:i/>
                <w:sz w:val="25"/>
              </w:rPr>
              <w:t>Instructor</w:t>
            </w:r>
            <w:r>
              <w:rPr>
                <w:sz w:val="25"/>
              </w:rPr>
              <w:t>,</w:t>
            </w:r>
            <w:r>
              <w:rPr>
                <w:spacing w:val="15"/>
                <w:sz w:val="25"/>
              </w:rPr>
              <w:t> </w:t>
            </w:r>
            <w:r>
              <w:rPr>
                <w:sz w:val="25"/>
              </w:rPr>
              <w:t>Dept.</w:t>
            </w:r>
            <w:r>
              <w:rPr>
                <w:spacing w:val="15"/>
                <w:sz w:val="25"/>
              </w:rPr>
              <w:t> </w:t>
            </w:r>
            <w:r>
              <w:rPr>
                <w:sz w:val="25"/>
              </w:rPr>
              <w:t>of</w:t>
            </w:r>
            <w:r>
              <w:rPr>
                <w:spacing w:val="16"/>
                <w:sz w:val="25"/>
              </w:rPr>
              <w:t> </w:t>
            </w:r>
            <w:r>
              <w:rPr>
                <w:sz w:val="25"/>
              </w:rPr>
              <w:t>Economics,</w:t>
            </w:r>
            <w:r>
              <w:rPr>
                <w:spacing w:val="15"/>
                <w:sz w:val="25"/>
              </w:rPr>
              <w:t> </w:t>
            </w:r>
            <w:r>
              <w:rPr>
                <w:sz w:val="25"/>
              </w:rPr>
              <w:t>Barnard</w:t>
            </w:r>
            <w:r>
              <w:rPr>
                <w:spacing w:val="15"/>
                <w:sz w:val="25"/>
              </w:rPr>
              <w:t> </w:t>
            </w:r>
            <w:r>
              <w:rPr>
                <w:sz w:val="25"/>
              </w:rPr>
              <w:t>College,</w:t>
            </w:r>
            <w:r>
              <w:rPr>
                <w:spacing w:val="16"/>
                <w:sz w:val="25"/>
              </w:rPr>
              <w:t> </w:t>
            </w:r>
            <w:r>
              <w:rPr>
                <w:sz w:val="25"/>
              </w:rPr>
              <w:t>Columbia</w:t>
            </w:r>
            <w:r>
              <w:rPr>
                <w:spacing w:val="15"/>
                <w:sz w:val="25"/>
              </w:rPr>
              <w:t> </w:t>
            </w:r>
            <w:r>
              <w:rPr>
                <w:spacing w:val="-2"/>
                <w:sz w:val="25"/>
              </w:rPr>
              <w:t>University</w:t>
            </w:r>
          </w:p>
        </w:tc>
      </w:tr>
      <w:tr>
        <w:trPr>
          <w:trHeight w:val="287" w:hRule="atLeast"/>
        </w:trPr>
        <w:tc>
          <w:tcPr>
            <w:tcW w:w="1005" w:type="dxa"/>
          </w:tcPr>
          <w:p>
            <w:pPr>
              <w:pStyle w:val="TableParagraph"/>
              <w:rPr>
                <w:sz w:val="25"/>
              </w:rPr>
            </w:pPr>
            <w:r>
              <w:rPr>
                <w:sz w:val="25"/>
              </w:rPr>
              <w:t>2015-</w:t>
            </w:r>
            <w:r>
              <w:rPr>
                <w:spacing w:val="-5"/>
                <w:sz w:val="25"/>
              </w:rPr>
              <w:t>18</w:t>
            </w:r>
          </w:p>
        </w:tc>
        <w:tc>
          <w:tcPr>
            <w:tcW w:w="7440" w:type="dxa"/>
          </w:tcPr>
          <w:p>
            <w:pPr>
              <w:pStyle w:val="TableParagraph"/>
              <w:ind w:left="100"/>
              <w:rPr>
                <w:sz w:val="25"/>
              </w:rPr>
            </w:pPr>
            <w:r>
              <w:rPr>
                <w:i/>
                <w:sz w:val="25"/>
              </w:rPr>
              <w:t>Editor</w:t>
            </w:r>
            <w:r>
              <w:rPr>
                <w:i/>
                <w:spacing w:val="13"/>
                <w:sz w:val="25"/>
              </w:rPr>
              <w:t> </w:t>
            </w:r>
            <w:r>
              <w:rPr>
                <w:i/>
                <w:sz w:val="25"/>
              </w:rPr>
              <w:t>in</w:t>
            </w:r>
            <w:r>
              <w:rPr>
                <w:i/>
                <w:spacing w:val="13"/>
                <w:sz w:val="25"/>
              </w:rPr>
              <w:t> </w:t>
            </w:r>
            <w:r>
              <w:rPr>
                <w:i/>
                <w:sz w:val="25"/>
              </w:rPr>
              <w:t>Chief,</w:t>
            </w:r>
            <w:r>
              <w:rPr>
                <w:i/>
                <w:spacing w:val="13"/>
                <w:sz w:val="25"/>
              </w:rPr>
              <w:t> </w:t>
            </w:r>
            <w:r>
              <w:rPr>
                <w:sz w:val="25"/>
              </w:rPr>
              <w:t>European</w:t>
            </w:r>
            <w:r>
              <w:rPr>
                <w:spacing w:val="13"/>
                <w:sz w:val="25"/>
              </w:rPr>
              <w:t> </w:t>
            </w:r>
            <w:r>
              <w:rPr>
                <w:sz w:val="25"/>
              </w:rPr>
              <w:t>Economic</w:t>
            </w:r>
            <w:r>
              <w:rPr>
                <w:spacing w:val="13"/>
                <w:sz w:val="25"/>
              </w:rPr>
              <w:t> </w:t>
            </w:r>
            <w:r>
              <w:rPr>
                <w:spacing w:val="-2"/>
                <w:sz w:val="25"/>
              </w:rPr>
              <w:t>Review</w:t>
            </w:r>
          </w:p>
        </w:tc>
      </w:tr>
      <w:tr>
        <w:trPr>
          <w:trHeight w:val="287" w:hRule="atLeast"/>
        </w:trPr>
        <w:tc>
          <w:tcPr>
            <w:tcW w:w="1005" w:type="dxa"/>
          </w:tcPr>
          <w:p>
            <w:pPr>
              <w:pStyle w:val="TableParagraph"/>
              <w:rPr>
                <w:sz w:val="25"/>
              </w:rPr>
            </w:pPr>
            <w:r>
              <w:rPr>
                <w:sz w:val="25"/>
              </w:rPr>
              <w:t>2011-</w:t>
            </w:r>
            <w:r>
              <w:rPr>
                <w:spacing w:val="-5"/>
                <w:sz w:val="25"/>
              </w:rPr>
              <w:t>15</w:t>
            </w:r>
          </w:p>
        </w:tc>
        <w:tc>
          <w:tcPr>
            <w:tcW w:w="7440" w:type="dxa"/>
          </w:tcPr>
          <w:p>
            <w:pPr>
              <w:pStyle w:val="TableParagraph"/>
              <w:ind w:left="100"/>
              <w:rPr>
                <w:sz w:val="25"/>
              </w:rPr>
            </w:pPr>
            <w:r>
              <w:rPr>
                <w:i/>
                <w:sz w:val="25"/>
              </w:rPr>
              <w:t>Editor,</w:t>
            </w:r>
            <w:r>
              <w:rPr>
                <w:i/>
                <w:spacing w:val="6"/>
                <w:sz w:val="25"/>
              </w:rPr>
              <w:t> </w:t>
            </w:r>
            <w:r>
              <w:rPr>
                <w:sz w:val="25"/>
              </w:rPr>
              <w:t>European</w:t>
            </w:r>
            <w:r>
              <w:rPr>
                <w:spacing w:val="7"/>
                <w:sz w:val="25"/>
              </w:rPr>
              <w:t> </w:t>
            </w:r>
            <w:r>
              <w:rPr>
                <w:sz w:val="25"/>
              </w:rPr>
              <w:t>Economic</w:t>
            </w:r>
            <w:r>
              <w:rPr>
                <w:spacing w:val="7"/>
                <w:sz w:val="25"/>
              </w:rPr>
              <w:t> </w:t>
            </w:r>
            <w:r>
              <w:rPr>
                <w:spacing w:val="-2"/>
                <w:sz w:val="25"/>
              </w:rPr>
              <w:t>Review</w:t>
            </w:r>
          </w:p>
        </w:tc>
      </w:tr>
      <w:tr>
        <w:trPr>
          <w:trHeight w:val="288" w:hRule="atLeast"/>
        </w:trPr>
        <w:tc>
          <w:tcPr>
            <w:tcW w:w="1005" w:type="dxa"/>
          </w:tcPr>
          <w:p>
            <w:pPr>
              <w:pStyle w:val="TableParagraph"/>
              <w:rPr>
                <w:sz w:val="25"/>
              </w:rPr>
            </w:pPr>
            <w:r>
              <w:rPr>
                <w:sz w:val="25"/>
              </w:rPr>
              <w:t>2007-</w:t>
            </w:r>
            <w:r>
              <w:rPr>
                <w:spacing w:val="-5"/>
                <w:sz w:val="25"/>
              </w:rPr>
              <w:t>11</w:t>
            </w:r>
          </w:p>
        </w:tc>
        <w:tc>
          <w:tcPr>
            <w:tcW w:w="7440" w:type="dxa"/>
          </w:tcPr>
          <w:p>
            <w:pPr>
              <w:pStyle w:val="TableParagraph"/>
              <w:ind w:left="100"/>
              <w:rPr>
                <w:sz w:val="25"/>
              </w:rPr>
            </w:pPr>
            <w:r>
              <w:rPr>
                <w:i/>
                <w:sz w:val="25"/>
              </w:rPr>
              <w:t>Associate</w:t>
            </w:r>
            <w:r>
              <w:rPr>
                <w:i/>
                <w:spacing w:val="9"/>
                <w:sz w:val="25"/>
              </w:rPr>
              <w:t> </w:t>
            </w:r>
            <w:r>
              <w:rPr>
                <w:i/>
                <w:sz w:val="25"/>
              </w:rPr>
              <w:t>Editor,</w:t>
            </w:r>
            <w:r>
              <w:rPr>
                <w:i/>
                <w:spacing w:val="10"/>
                <w:sz w:val="25"/>
              </w:rPr>
              <w:t> </w:t>
            </w:r>
            <w:r>
              <w:rPr>
                <w:sz w:val="25"/>
              </w:rPr>
              <w:t>European</w:t>
            </w:r>
            <w:r>
              <w:rPr>
                <w:spacing w:val="9"/>
                <w:sz w:val="25"/>
              </w:rPr>
              <w:t> </w:t>
            </w:r>
            <w:r>
              <w:rPr>
                <w:sz w:val="25"/>
              </w:rPr>
              <w:t>Economic</w:t>
            </w:r>
            <w:r>
              <w:rPr>
                <w:spacing w:val="10"/>
                <w:sz w:val="25"/>
              </w:rPr>
              <w:t> </w:t>
            </w:r>
            <w:r>
              <w:rPr>
                <w:spacing w:val="-2"/>
                <w:sz w:val="25"/>
              </w:rPr>
              <w:t>Review</w:t>
            </w:r>
          </w:p>
        </w:tc>
      </w:tr>
      <w:tr>
        <w:trPr>
          <w:trHeight w:val="272" w:hRule="atLeast"/>
        </w:trPr>
        <w:tc>
          <w:tcPr>
            <w:tcW w:w="1005" w:type="dxa"/>
          </w:tcPr>
          <w:p>
            <w:pPr>
              <w:pStyle w:val="TableParagraph"/>
              <w:spacing w:line="252" w:lineRule="exact"/>
              <w:rPr>
                <w:sz w:val="25"/>
              </w:rPr>
            </w:pPr>
            <w:r>
              <w:rPr>
                <w:sz w:val="25"/>
              </w:rPr>
              <w:t>2007-</w:t>
            </w:r>
            <w:r>
              <w:rPr>
                <w:spacing w:val="-5"/>
                <w:sz w:val="25"/>
              </w:rPr>
              <w:t>16</w:t>
            </w:r>
          </w:p>
        </w:tc>
        <w:tc>
          <w:tcPr>
            <w:tcW w:w="7440" w:type="dxa"/>
          </w:tcPr>
          <w:p>
            <w:pPr>
              <w:pStyle w:val="TableParagraph"/>
              <w:spacing w:line="252" w:lineRule="exact"/>
              <w:ind w:left="100"/>
              <w:rPr>
                <w:sz w:val="25"/>
              </w:rPr>
            </w:pPr>
            <w:r>
              <w:rPr>
                <w:i/>
                <w:sz w:val="25"/>
              </w:rPr>
              <w:t>Editorial</w:t>
            </w:r>
            <w:r>
              <w:rPr>
                <w:i/>
                <w:spacing w:val="9"/>
                <w:sz w:val="25"/>
              </w:rPr>
              <w:t> </w:t>
            </w:r>
            <w:r>
              <w:rPr>
                <w:i/>
                <w:sz w:val="25"/>
              </w:rPr>
              <w:t>Board</w:t>
            </w:r>
            <w:r>
              <w:rPr>
                <w:sz w:val="25"/>
              </w:rPr>
              <w:t>,</w:t>
            </w:r>
            <w:r>
              <w:rPr>
                <w:spacing w:val="10"/>
                <w:sz w:val="25"/>
              </w:rPr>
              <w:t> </w:t>
            </w:r>
            <w:r>
              <w:rPr>
                <w:sz w:val="25"/>
              </w:rPr>
              <w:t>Journal</w:t>
            </w:r>
            <w:r>
              <w:rPr>
                <w:spacing w:val="10"/>
                <w:sz w:val="25"/>
              </w:rPr>
              <w:t> </w:t>
            </w:r>
            <w:r>
              <w:rPr>
                <w:sz w:val="25"/>
              </w:rPr>
              <w:t>of</w:t>
            </w:r>
            <w:r>
              <w:rPr>
                <w:spacing w:val="9"/>
                <w:sz w:val="25"/>
              </w:rPr>
              <w:t> </w:t>
            </w:r>
            <w:r>
              <w:rPr>
                <w:spacing w:val="-2"/>
                <w:sz w:val="25"/>
              </w:rPr>
              <w:t>Macroeconomics</w:t>
            </w:r>
          </w:p>
        </w:tc>
      </w:tr>
    </w:tbl>
    <w:p>
      <w:pPr>
        <w:spacing w:before="289" w:after="46"/>
        <w:ind w:left="127" w:right="0" w:firstLine="0"/>
        <w:jc w:val="left"/>
        <w:rPr>
          <w:b/>
          <w:sz w:val="38"/>
        </w:rPr>
      </w:pPr>
      <w:r>
        <w:rPr>
          <w:b/>
          <w:sz w:val="38"/>
        </w:rPr>
        <w:t>Visiting</w:t>
      </w:r>
      <w:r>
        <w:rPr>
          <w:b/>
          <w:spacing w:val="-5"/>
          <w:sz w:val="38"/>
        </w:rPr>
        <w:t> </w:t>
      </w:r>
      <w:r>
        <w:rPr>
          <w:b/>
          <w:spacing w:val="-2"/>
          <w:sz w:val="38"/>
        </w:rPr>
        <w:t>Positions</w:t>
      </w: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0"/>
        <w:gridCol w:w="8853"/>
      </w:tblGrid>
      <w:tr>
        <w:trPr>
          <w:trHeight w:val="272" w:hRule="atLeast"/>
        </w:trPr>
        <w:tc>
          <w:tcPr>
            <w:tcW w:w="1000" w:type="dxa"/>
          </w:tcPr>
          <w:p>
            <w:pPr>
              <w:pStyle w:val="TableParagraph"/>
              <w:spacing w:line="246" w:lineRule="exact"/>
              <w:rPr>
                <w:sz w:val="25"/>
              </w:rPr>
            </w:pPr>
            <w:r>
              <w:rPr>
                <w:spacing w:val="-4"/>
                <w:sz w:val="25"/>
              </w:rPr>
              <w:t>2022</w:t>
            </w:r>
          </w:p>
        </w:tc>
        <w:tc>
          <w:tcPr>
            <w:tcW w:w="8853" w:type="dxa"/>
          </w:tcPr>
          <w:p>
            <w:pPr>
              <w:pStyle w:val="TableParagraph"/>
              <w:spacing w:line="246" w:lineRule="exact"/>
              <w:ind w:left="105"/>
              <w:rPr>
                <w:sz w:val="25"/>
              </w:rPr>
            </w:pPr>
            <w:r>
              <w:rPr>
                <w:i/>
                <w:sz w:val="25"/>
              </w:rPr>
              <w:t>Visiting Scholar</w:t>
            </w:r>
            <w:r>
              <w:rPr>
                <w:sz w:val="25"/>
              </w:rPr>
              <w:t>,</w:t>
            </w:r>
            <w:r>
              <w:rPr>
                <w:spacing w:val="1"/>
                <w:sz w:val="25"/>
              </w:rPr>
              <w:t> </w:t>
            </w:r>
            <w:r>
              <w:rPr>
                <w:sz w:val="25"/>
              </w:rPr>
              <w:t>IMF, </w:t>
            </w:r>
            <w:r>
              <w:rPr>
                <w:spacing w:val="-2"/>
                <w:sz w:val="25"/>
              </w:rPr>
              <w:t>(November)</w:t>
            </w:r>
          </w:p>
        </w:tc>
      </w:tr>
      <w:tr>
        <w:trPr>
          <w:trHeight w:val="288" w:hRule="atLeast"/>
        </w:trPr>
        <w:tc>
          <w:tcPr>
            <w:tcW w:w="1000" w:type="dxa"/>
          </w:tcPr>
          <w:p>
            <w:pPr>
              <w:pStyle w:val="TableParagraph"/>
              <w:rPr>
                <w:sz w:val="25"/>
              </w:rPr>
            </w:pPr>
            <w:r>
              <w:rPr>
                <w:spacing w:val="-4"/>
                <w:sz w:val="25"/>
              </w:rPr>
              <w:t>2016</w:t>
            </w:r>
          </w:p>
        </w:tc>
        <w:tc>
          <w:tcPr>
            <w:tcW w:w="8853" w:type="dxa"/>
          </w:tcPr>
          <w:p>
            <w:pPr>
              <w:pStyle w:val="TableParagraph"/>
              <w:ind w:left="105"/>
              <w:rPr>
                <w:sz w:val="25"/>
              </w:rPr>
            </w:pPr>
            <w:r>
              <w:rPr>
                <w:i/>
                <w:sz w:val="25"/>
              </w:rPr>
              <w:t>Visiting Scholar</w:t>
            </w:r>
            <w:r>
              <w:rPr>
                <w:sz w:val="25"/>
              </w:rPr>
              <w:t>,</w:t>
            </w:r>
            <w:r>
              <w:rPr>
                <w:spacing w:val="1"/>
                <w:sz w:val="25"/>
              </w:rPr>
              <w:t> </w:t>
            </w:r>
            <w:r>
              <w:rPr>
                <w:sz w:val="25"/>
              </w:rPr>
              <w:t>IMF, </w:t>
            </w:r>
            <w:r>
              <w:rPr>
                <w:spacing w:val="-2"/>
                <w:sz w:val="25"/>
              </w:rPr>
              <w:t>(October)</w:t>
            </w:r>
          </w:p>
        </w:tc>
      </w:tr>
      <w:tr>
        <w:trPr>
          <w:trHeight w:val="287" w:hRule="atLeast"/>
        </w:trPr>
        <w:tc>
          <w:tcPr>
            <w:tcW w:w="1000" w:type="dxa"/>
          </w:tcPr>
          <w:p>
            <w:pPr>
              <w:pStyle w:val="TableParagraph"/>
              <w:rPr>
                <w:sz w:val="25"/>
              </w:rPr>
            </w:pPr>
            <w:r>
              <w:rPr>
                <w:spacing w:val="-4"/>
                <w:sz w:val="25"/>
              </w:rPr>
              <w:t>2015</w:t>
            </w:r>
          </w:p>
        </w:tc>
        <w:tc>
          <w:tcPr>
            <w:tcW w:w="8853" w:type="dxa"/>
          </w:tcPr>
          <w:p>
            <w:pPr>
              <w:pStyle w:val="TableParagraph"/>
              <w:ind w:left="105"/>
              <w:rPr>
                <w:sz w:val="25"/>
              </w:rPr>
            </w:pPr>
            <w:r>
              <w:rPr>
                <w:i/>
                <w:sz w:val="25"/>
              </w:rPr>
              <w:t>Visiting Scholar</w:t>
            </w:r>
            <w:r>
              <w:rPr>
                <w:sz w:val="25"/>
              </w:rPr>
              <w:t>,</w:t>
            </w:r>
            <w:r>
              <w:rPr>
                <w:spacing w:val="1"/>
                <w:sz w:val="25"/>
              </w:rPr>
              <w:t> </w:t>
            </w:r>
            <w:r>
              <w:rPr>
                <w:sz w:val="25"/>
              </w:rPr>
              <w:t>IMF, </w:t>
            </w:r>
            <w:r>
              <w:rPr>
                <w:spacing w:val="-2"/>
                <w:sz w:val="25"/>
              </w:rPr>
              <w:t>(November)</w:t>
            </w:r>
          </w:p>
        </w:tc>
      </w:tr>
      <w:tr>
        <w:trPr>
          <w:trHeight w:val="288" w:hRule="atLeast"/>
        </w:trPr>
        <w:tc>
          <w:tcPr>
            <w:tcW w:w="1000" w:type="dxa"/>
          </w:tcPr>
          <w:p>
            <w:pPr>
              <w:pStyle w:val="TableParagraph"/>
              <w:rPr>
                <w:sz w:val="25"/>
              </w:rPr>
            </w:pPr>
            <w:r>
              <w:rPr>
                <w:spacing w:val="-4"/>
                <w:sz w:val="25"/>
              </w:rPr>
              <w:t>2014</w:t>
            </w:r>
          </w:p>
        </w:tc>
        <w:tc>
          <w:tcPr>
            <w:tcW w:w="8853" w:type="dxa"/>
          </w:tcPr>
          <w:p>
            <w:pPr>
              <w:pStyle w:val="TableParagraph"/>
              <w:ind w:left="105"/>
              <w:rPr>
                <w:sz w:val="25"/>
              </w:rPr>
            </w:pPr>
            <w:r>
              <w:rPr>
                <w:i/>
                <w:sz w:val="25"/>
              </w:rPr>
              <w:t>Visiting</w:t>
            </w:r>
            <w:r>
              <w:rPr>
                <w:i/>
                <w:spacing w:val="11"/>
                <w:sz w:val="25"/>
              </w:rPr>
              <w:t> </w:t>
            </w:r>
            <w:r>
              <w:rPr>
                <w:i/>
                <w:sz w:val="25"/>
              </w:rPr>
              <w:t>Professor</w:t>
            </w:r>
            <w:r>
              <w:rPr>
                <w:sz w:val="25"/>
              </w:rPr>
              <w:t>,</w:t>
            </w:r>
            <w:r>
              <w:rPr>
                <w:spacing w:val="11"/>
                <w:sz w:val="25"/>
              </w:rPr>
              <w:t> </w:t>
            </w:r>
            <w:r>
              <w:rPr>
                <w:sz w:val="25"/>
              </w:rPr>
              <w:t>University</w:t>
            </w:r>
            <w:r>
              <w:rPr>
                <w:spacing w:val="11"/>
                <w:sz w:val="25"/>
              </w:rPr>
              <w:t> </w:t>
            </w:r>
            <w:r>
              <w:rPr>
                <w:sz w:val="25"/>
              </w:rPr>
              <w:t>of</w:t>
            </w:r>
            <w:r>
              <w:rPr>
                <w:spacing w:val="11"/>
                <w:sz w:val="25"/>
              </w:rPr>
              <w:t> </w:t>
            </w:r>
            <w:r>
              <w:rPr>
                <w:sz w:val="25"/>
              </w:rPr>
              <w:t>Aix-Marseille,</w:t>
            </w:r>
            <w:r>
              <w:rPr>
                <w:spacing w:val="11"/>
                <w:sz w:val="25"/>
              </w:rPr>
              <w:t> </w:t>
            </w:r>
            <w:r>
              <w:rPr>
                <w:spacing w:val="-2"/>
                <w:sz w:val="25"/>
              </w:rPr>
              <w:t>(March)</w:t>
            </w:r>
          </w:p>
        </w:tc>
      </w:tr>
      <w:tr>
        <w:trPr>
          <w:trHeight w:val="288" w:hRule="atLeast"/>
        </w:trPr>
        <w:tc>
          <w:tcPr>
            <w:tcW w:w="1000" w:type="dxa"/>
          </w:tcPr>
          <w:p>
            <w:pPr>
              <w:pStyle w:val="TableParagraph"/>
              <w:rPr>
                <w:sz w:val="25"/>
              </w:rPr>
            </w:pPr>
            <w:r>
              <w:rPr>
                <w:spacing w:val="-4"/>
                <w:sz w:val="25"/>
              </w:rPr>
              <w:t>2013</w:t>
            </w:r>
          </w:p>
        </w:tc>
        <w:tc>
          <w:tcPr>
            <w:tcW w:w="8853" w:type="dxa"/>
          </w:tcPr>
          <w:p>
            <w:pPr>
              <w:pStyle w:val="TableParagraph"/>
              <w:ind w:left="105"/>
              <w:rPr>
                <w:sz w:val="25"/>
              </w:rPr>
            </w:pPr>
            <w:r>
              <w:rPr>
                <w:i/>
                <w:sz w:val="25"/>
              </w:rPr>
              <w:t>Visiting</w:t>
            </w:r>
            <w:r>
              <w:rPr>
                <w:i/>
                <w:spacing w:val="4"/>
                <w:sz w:val="25"/>
              </w:rPr>
              <w:t> </w:t>
            </w:r>
            <w:r>
              <w:rPr>
                <w:i/>
                <w:sz w:val="25"/>
              </w:rPr>
              <w:t>Scholar</w:t>
            </w:r>
            <w:r>
              <w:rPr>
                <w:sz w:val="25"/>
              </w:rPr>
              <w:t>,</w:t>
            </w:r>
            <w:r>
              <w:rPr>
                <w:spacing w:val="5"/>
                <w:sz w:val="25"/>
              </w:rPr>
              <w:t> </w:t>
            </w:r>
            <w:r>
              <w:rPr>
                <w:sz w:val="25"/>
              </w:rPr>
              <w:t>IMF,</w:t>
            </w:r>
            <w:r>
              <w:rPr>
                <w:spacing w:val="5"/>
                <w:sz w:val="25"/>
              </w:rPr>
              <w:t> </w:t>
            </w:r>
            <w:r>
              <w:rPr>
                <w:sz w:val="25"/>
              </w:rPr>
              <w:t>(August-</w:t>
            </w:r>
            <w:r>
              <w:rPr>
                <w:spacing w:val="-2"/>
                <w:sz w:val="25"/>
              </w:rPr>
              <w:t>December)</w:t>
            </w:r>
          </w:p>
        </w:tc>
      </w:tr>
      <w:tr>
        <w:trPr>
          <w:trHeight w:val="288" w:hRule="atLeast"/>
        </w:trPr>
        <w:tc>
          <w:tcPr>
            <w:tcW w:w="1000" w:type="dxa"/>
          </w:tcPr>
          <w:p>
            <w:pPr>
              <w:pStyle w:val="TableParagraph"/>
              <w:rPr>
                <w:sz w:val="25"/>
              </w:rPr>
            </w:pPr>
            <w:r>
              <w:rPr>
                <w:spacing w:val="-4"/>
                <w:sz w:val="25"/>
              </w:rPr>
              <w:t>2012</w:t>
            </w:r>
          </w:p>
        </w:tc>
        <w:tc>
          <w:tcPr>
            <w:tcW w:w="8853" w:type="dxa"/>
          </w:tcPr>
          <w:p>
            <w:pPr>
              <w:pStyle w:val="TableParagraph"/>
              <w:ind w:left="105"/>
              <w:rPr>
                <w:sz w:val="25"/>
              </w:rPr>
            </w:pPr>
            <w:r>
              <w:rPr>
                <w:i/>
                <w:sz w:val="25"/>
              </w:rPr>
              <w:t>Visiting Scholar</w:t>
            </w:r>
            <w:r>
              <w:rPr>
                <w:sz w:val="25"/>
              </w:rPr>
              <w:t>,</w:t>
            </w:r>
            <w:r>
              <w:rPr>
                <w:spacing w:val="1"/>
                <w:sz w:val="25"/>
              </w:rPr>
              <w:t> </w:t>
            </w:r>
            <w:r>
              <w:rPr>
                <w:sz w:val="25"/>
              </w:rPr>
              <w:t>IMF, </w:t>
            </w:r>
            <w:r>
              <w:rPr>
                <w:spacing w:val="-2"/>
                <w:sz w:val="25"/>
              </w:rPr>
              <w:t>(November)</w:t>
            </w:r>
          </w:p>
        </w:tc>
      </w:tr>
      <w:tr>
        <w:trPr>
          <w:trHeight w:val="287" w:hRule="atLeast"/>
        </w:trPr>
        <w:tc>
          <w:tcPr>
            <w:tcW w:w="1000" w:type="dxa"/>
          </w:tcPr>
          <w:p>
            <w:pPr>
              <w:pStyle w:val="TableParagraph"/>
              <w:rPr>
                <w:sz w:val="25"/>
              </w:rPr>
            </w:pPr>
            <w:r>
              <w:rPr>
                <w:sz w:val="25"/>
              </w:rPr>
              <w:t>2011-</w:t>
            </w:r>
            <w:r>
              <w:rPr>
                <w:spacing w:val="-5"/>
                <w:sz w:val="25"/>
              </w:rPr>
              <w:t>12</w:t>
            </w:r>
          </w:p>
        </w:tc>
        <w:tc>
          <w:tcPr>
            <w:tcW w:w="8853" w:type="dxa"/>
          </w:tcPr>
          <w:p>
            <w:pPr>
              <w:pStyle w:val="TableParagraph"/>
              <w:ind w:left="105"/>
              <w:rPr>
                <w:sz w:val="25"/>
              </w:rPr>
            </w:pPr>
            <w:r>
              <w:rPr>
                <w:i/>
                <w:sz w:val="25"/>
              </w:rPr>
              <w:t>Research</w:t>
            </w:r>
            <w:r>
              <w:rPr>
                <w:i/>
                <w:spacing w:val="11"/>
                <w:sz w:val="25"/>
              </w:rPr>
              <w:t> </w:t>
            </w:r>
            <w:r>
              <w:rPr>
                <w:i/>
                <w:sz w:val="25"/>
              </w:rPr>
              <w:t>Fellow</w:t>
            </w:r>
            <w:r>
              <w:rPr>
                <w:sz w:val="25"/>
              </w:rPr>
              <w:t>,</w:t>
            </w:r>
            <w:r>
              <w:rPr>
                <w:spacing w:val="11"/>
                <w:sz w:val="25"/>
              </w:rPr>
              <w:t> </w:t>
            </w:r>
            <w:r>
              <w:rPr>
                <w:sz w:val="25"/>
              </w:rPr>
              <w:t>IICE,</w:t>
            </w:r>
            <w:r>
              <w:rPr>
                <w:spacing w:val="12"/>
                <w:sz w:val="25"/>
              </w:rPr>
              <w:t> </w:t>
            </w:r>
            <w:r>
              <w:rPr>
                <w:sz w:val="25"/>
              </w:rPr>
              <w:t>Universidad</w:t>
            </w:r>
            <w:r>
              <w:rPr>
                <w:spacing w:val="11"/>
                <w:sz w:val="25"/>
              </w:rPr>
              <w:t> </w:t>
            </w:r>
            <w:r>
              <w:rPr>
                <w:sz w:val="25"/>
              </w:rPr>
              <w:t>de</w:t>
            </w:r>
            <w:r>
              <w:rPr>
                <w:spacing w:val="11"/>
                <w:sz w:val="25"/>
              </w:rPr>
              <w:t> </w:t>
            </w:r>
            <w:r>
              <w:rPr>
                <w:sz w:val="25"/>
              </w:rPr>
              <w:t>Costa</w:t>
            </w:r>
            <w:r>
              <w:rPr>
                <w:spacing w:val="12"/>
                <w:sz w:val="25"/>
              </w:rPr>
              <w:t> </w:t>
            </w:r>
            <w:r>
              <w:rPr>
                <w:spacing w:val="-4"/>
                <w:sz w:val="25"/>
              </w:rPr>
              <w:t>Rica</w:t>
            </w:r>
          </w:p>
        </w:tc>
      </w:tr>
      <w:tr>
        <w:trPr>
          <w:trHeight w:val="288" w:hRule="atLeast"/>
        </w:trPr>
        <w:tc>
          <w:tcPr>
            <w:tcW w:w="1000" w:type="dxa"/>
          </w:tcPr>
          <w:p>
            <w:pPr>
              <w:pStyle w:val="TableParagraph"/>
              <w:rPr>
                <w:sz w:val="25"/>
              </w:rPr>
            </w:pPr>
            <w:r>
              <w:rPr>
                <w:sz w:val="25"/>
              </w:rPr>
              <w:t>2008-</w:t>
            </w:r>
            <w:r>
              <w:rPr>
                <w:spacing w:val="-5"/>
                <w:sz w:val="25"/>
              </w:rPr>
              <w:t>11</w:t>
            </w:r>
          </w:p>
        </w:tc>
        <w:tc>
          <w:tcPr>
            <w:tcW w:w="8853" w:type="dxa"/>
          </w:tcPr>
          <w:p>
            <w:pPr>
              <w:pStyle w:val="TableParagraph"/>
              <w:ind w:left="105"/>
              <w:rPr>
                <w:sz w:val="25"/>
              </w:rPr>
            </w:pPr>
            <w:r>
              <w:rPr>
                <w:i/>
                <w:sz w:val="25"/>
              </w:rPr>
              <w:t>Affiliate</w:t>
            </w:r>
            <w:r>
              <w:rPr>
                <w:i/>
                <w:spacing w:val="8"/>
                <w:sz w:val="25"/>
              </w:rPr>
              <w:t> </w:t>
            </w:r>
            <w:r>
              <w:rPr>
                <w:i/>
                <w:sz w:val="25"/>
              </w:rPr>
              <w:t>Professor</w:t>
            </w:r>
            <w:r>
              <w:rPr>
                <w:sz w:val="25"/>
              </w:rPr>
              <w:t>,</w:t>
            </w:r>
            <w:r>
              <w:rPr>
                <w:spacing w:val="9"/>
                <w:sz w:val="25"/>
              </w:rPr>
              <w:t> </w:t>
            </w:r>
            <w:r>
              <w:rPr>
                <w:sz w:val="25"/>
              </w:rPr>
              <w:t>University</w:t>
            </w:r>
            <w:r>
              <w:rPr>
                <w:spacing w:val="8"/>
                <w:sz w:val="25"/>
              </w:rPr>
              <w:t> </w:t>
            </w:r>
            <w:r>
              <w:rPr>
                <w:sz w:val="25"/>
              </w:rPr>
              <w:t>of</w:t>
            </w:r>
            <w:r>
              <w:rPr>
                <w:spacing w:val="9"/>
                <w:sz w:val="25"/>
              </w:rPr>
              <w:t> </w:t>
            </w:r>
            <w:r>
              <w:rPr>
                <w:spacing w:val="-2"/>
                <w:sz w:val="25"/>
              </w:rPr>
              <w:t>Munich</w:t>
            </w:r>
          </w:p>
        </w:tc>
      </w:tr>
      <w:tr>
        <w:trPr>
          <w:trHeight w:val="272" w:hRule="atLeast"/>
        </w:trPr>
        <w:tc>
          <w:tcPr>
            <w:tcW w:w="1000" w:type="dxa"/>
          </w:tcPr>
          <w:p>
            <w:pPr>
              <w:pStyle w:val="TableParagraph"/>
              <w:spacing w:line="252" w:lineRule="exact"/>
              <w:rPr>
                <w:sz w:val="25"/>
              </w:rPr>
            </w:pPr>
            <w:r>
              <w:rPr>
                <w:sz w:val="25"/>
              </w:rPr>
              <w:t>2003-</w:t>
            </w:r>
            <w:r>
              <w:rPr>
                <w:spacing w:val="-5"/>
                <w:sz w:val="25"/>
              </w:rPr>
              <w:t>11</w:t>
            </w:r>
          </w:p>
        </w:tc>
        <w:tc>
          <w:tcPr>
            <w:tcW w:w="8853" w:type="dxa"/>
          </w:tcPr>
          <w:p>
            <w:pPr>
              <w:pStyle w:val="TableParagraph"/>
              <w:spacing w:line="252" w:lineRule="exact"/>
              <w:ind w:left="105"/>
              <w:rPr>
                <w:sz w:val="25"/>
              </w:rPr>
            </w:pPr>
            <w:r>
              <w:rPr>
                <w:i/>
                <w:sz w:val="25"/>
              </w:rPr>
              <w:t>Research</w:t>
            </w:r>
            <w:r>
              <w:rPr>
                <w:i/>
                <w:spacing w:val="10"/>
                <w:sz w:val="25"/>
              </w:rPr>
              <w:t> </w:t>
            </w:r>
            <w:r>
              <w:rPr>
                <w:i/>
                <w:sz w:val="25"/>
              </w:rPr>
              <w:t>Professor</w:t>
            </w:r>
            <w:r>
              <w:rPr>
                <w:sz w:val="25"/>
              </w:rPr>
              <w:t>,</w:t>
            </w:r>
            <w:r>
              <w:rPr>
                <w:spacing w:val="10"/>
                <w:sz w:val="25"/>
              </w:rPr>
              <w:t> </w:t>
            </w:r>
            <w:r>
              <w:rPr>
                <w:sz w:val="25"/>
              </w:rPr>
              <w:t>Ifo</w:t>
            </w:r>
            <w:r>
              <w:rPr>
                <w:spacing w:val="11"/>
                <w:sz w:val="25"/>
              </w:rPr>
              <w:t> </w:t>
            </w:r>
            <w:r>
              <w:rPr>
                <w:sz w:val="25"/>
              </w:rPr>
              <w:t>Institute</w:t>
            </w:r>
            <w:r>
              <w:rPr>
                <w:spacing w:val="10"/>
                <w:sz w:val="25"/>
              </w:rPr>
              <w:t> </w:t>
            </w:r>
            <w:r>
              <w:rPr>
                <w:sz w:val="25"/>
              </w:rPr>
              <w:t>for</w:t>
            </w:r>
            <w:r>
              <w:rPr>
                <w:spacing w:val="10"/>
                <w:sz w:val="25"/>
              </w:rPr>
              <w:t> </w:t>
            </w:r>
            <w:r>
              <w:rPr>
                <w:sz w:val="25"/>
              </w:rPr>
              <w:t>Economic</w:t>
            </w:r>
            <w:r>
              <w:rPr>
                <w:spacing w:val="11"/>
                <w:sz w:val="25"/>
              </w:rPr>
              <w:t> </w:t>
            </w:r>
            <w:r>
              <w:rPr>
                <w:sz w:val="25"/>
              </w:rPr>
              <w:t>Research</w:t>
            </w:r>
            <w:r>
              <w:rPr>
                <w:spacing w:val="10"/>
                <w:sz w:val="25"/>
              </w:rPr>
              <w:t> </w:t>
            </w:r>
            <w:r>
              <w:rPr>
                <w:sz w:val="25"/>
              </w:rPr>
              <w:t>at</w:t>
            </w:r>
            <w:r>
              <w:rPr>
                <w:spacing w:val="10"/>
                <w:sz w:val="25"/>
              </w:rPr>
              <w:t> </w:t>
            </w:r>
            <w:r>
              <w:rPr>
                <w:sz w:val="25"/>
              </w:rPr>
              <w:t>the</w:t>
            </w:r>
            <w:r>
              <w:rPr>
                <w:spacing w:val="11"/>
                <w:sz w:val="25"/>
              </w:rPr>
              <w:t> </w:t>
            </w:r>
            <w:r>
              <w:rPr>
                <w:sz w:val="25"/>
              </w:rPr>
              <w:t>University</w:t>
            </w:r>
            <w:r>
              <w:rPr>
                <w:spacing w:val="10"/>
                <w:sz w:val="25"/>
              </w:rPr>
              <w:t> </w:t>
            </w:r>
            <w:r>
              <w:rPr>
                <w:sz w:val="25"/>
              </w:rPr>
              <w:t>of</w:t>
            </w:r>
            <w:r>
              <w:rPr>
                <w:spacing w:val="10"/>
                <w:sz w:val="25"/>
              </w:rPr>
              <w:t> </w:t>
            </w:r>
            <w:r>
              <w:rPr>
                <w:spacing w:val="-2"/>
                <w:sz w:val="25"/>
              </w:rPr>
              <w:t>Munich</w:t>
            </w:r>
          </w:p>
        </w:tc>
      </w:tr>
    </w:tbl>
    <w:p>
      <w:pPr>
        <w:pStyle w:val="TableParagraph"/>
        <w:spacing w:after="0" w:line="252" w:lineRule="exact"/>
        <w:rPr>
          <w:sz w:val="25"/>
        </w:rPr>
        <w:sectPr>
          <w:type w:val="continuous"/>
          <w:pgSz w:w="12240" w:h="15840"/>
          <w:pgMar w:top="500" w:bottom="813" w:left="360" w:right="1440"/>
        </w:sectPr>
      </w:pP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
        <w:gridCol w:w="8584"/>
      </w:tblGrid>
      <w:tr>
        <w:trPr>
          <w:trHeight w:val="272" w:hRule="atLeast"/>
        </w:trPr>
        <w:tc>
          <w:tcPr>
            <w:tcW w:w="1005" w:type="dxa"/>
          </w:tcPr>
          <w:p>
            <w:pPr>
              <w:pStyle w:val="TableParagraph"/>
              <w:spacing w:line="246" w:lineRule="exact"/>
              <w:rPr>
                <w:sz w:val="25"/>
              </w:rPr>
            </w:pPr>
            <w:r>
              <w:rPr>
                <w:spacing w:val="-4"/>
                <w:sz w:val="25"/>
              </w:rPr>
              <w:t>2008</w:t>
            </w:r>
          </w:p>
        </w:tc>
        <w:tc>
          <w:tcPr>
            <w:tcW w:w="8584" w:type="dxa"/>
          </w:tcPr>
          <w:p>
            <w:pPr>
              <w:pStyle w:val="TableParagraph"/>
              <w:spacing w:line="246" w:lineRule="exact"/>
              <w:ind w:left="100"/>
              <w:rPr>
                <w:sz w:val="25"/>
              </w:rPr>
            </w:pPr>
            <w:r>
              <w:rPr>
                <w:i/>
                <w:sz w:val="25"/>
              </w:rPr>
              <w:t>Visiting</w:t>
            </w:r>
            <w:r>
              <w:rPr>
                <w:i/>
                <w:spacing w:val="9"/>
                <w:sz w:val="25"/>
              </w:rPr>
              <w:t> </w:t>
            </w:r>
            <w:r>
              <w:rPr>
                <w:i/>
                <w:sz w:val="25"/>
              </w:rPr>
              <w:t>Professor</w:t>
            </w:r>
            <w:r>
              <w:rPr>
                <w:sz w:val="25"/>
              </w:rPr>
              <w:t>,</w:t>
            </w:r>
            <w:r>
              <w:rPr>
                <w:spacing w:val="9"/>
                <w:sz w:val="25"/>
              </w:rPr>
              <w:t> </w:t>
            </w:r>
            <w:r>
              <w:rPr>
                <w:sz w:val="25"/>
              </w:rPr>
              <w:t>University</w:t>
            </w:r>
            <w:r>
              <w:rPr>
                <w:spacing w:val="9"/>
                <w:sz w:val="25"/>
              </w:rPr>
              <w:t> </w:t>
            </w:r>
            <w:r>
              <w:rPr>
                <w:sz w:val="25"/>
              </w:rPr>
              <w:t>of</w:t>
            </w:r>
            <w:r>
              <w:rPr>
                <w:spacing w:val="9"/>
                <w:sz w:val="25"/>
              </w:rPr>
              <w:t> </w:t>
            </w:r>
            <w:r>
              <w:rPr>
                <w:sz w:val="25"/>
              </w:rPr>
              <w:t>Leipzig,</w:t>
            </w:r>
            <w:r>
              <w:rPr>
                <w:spacing w:val="10"/>
                <w:sz w:val="25"/>
              </w:rPr>
              <w:t> </w:t>
            </w:r>
            <w:r>
              <w:rPr>
                <w:spacing w:val="-2"/>
                <w:sz w:val="25"/>
              </w:rPr>
              <w:t>(April)</w:t>
            </w:r>
          </w:p>
        </w:tc>
      </w:tr>
      <w:tr>
        <w:trPr>
          <w:trHeight w:val="287" w:hRule="atLeast"/>
        </w:trPr>
        <w:tc>
          <w:tcPr>
            <w:tcW w:w="1005" w:type="dxa"/>
          </w:tcPr>
          <w:p>
            <w:pPr>
              <w:pStyle w:val="TableParagraph"/>
              <w:rPr>
                <w:sz w:val="25"/>
              </w:rPr>
            </w:pPr>
            <w:r>
              <w:rPr>
                <w:spacing w:val="-4"/>
                <w:sz w:val="25"/>
              </w:rPr>
              <w:t>2007</w:t>
            </w:r>
          </w:p>
        </w:tc>
        <w:tc>
          <w:tcPr>
            <w:tcW w:w="8584" w:type="dxa"/>
          </w:tcPr>
          <w:p>
            <w:pPr>
              <w:pStyle w:val="TableParagraph"/>
              <w:ind w:left="100"/>
              <w:rPr>
                <w:sz w:val="25"/>
              </w:rPr>
            </w:pPr>
            <w:r>
              <w:rPr>
                <w:i/>
                <w:sz w:val="25"/>
              </w:rPr>
              <w:t>Visiting Scholar</w:t>
            </w:r>
            <w:r>
              <w:rPr>
                <w:sz w:val="25"/>
              </w:rPr>
              <w:t>,</w:t>
            </w:r>
            <w:r>
              <w:rPr>
                <w:spacing w:val="1"/>
                <w:sz w:val="25"/>
              </w:rPr>
              <w:t> </w:t>
            </w:r>
            <w:r>
              <w:rPr>
                <w:sz w:val="25"/>
              </w:rPr>
              <w:t>IMF, </w:t>
            </w:r>
            <w:r>
              <w:rPr>
                <w:spacing w:val="-2"/>
                <w:sz w:val="25"/>
              </w:rPr>
              <w:t>(April)</w:t>
            </w:r>
          </w:p>
        </w:tc>
      </w:tr>
      <w:tr>
        <w:trPr>
          <w:trHeight w:val="288" w:hRule="atLeast"/>
        </w:trPr>
        <w:tc>
          <w:tcPr>
            <w:tcW w:w="1005" w:type="dxa"/>
          </w:tcPr>
          <w:p>
            <w:pPr>
              <w:pStyle w:val="TableParagraph"/>
              <w:rPr>
                <w:sz w:val="25"/>
              </w:rPr>
            </w:pPr>
            <w:r>
              <w:rPr>
                <w:spacing w:val="-4"/>
                <w:sz w:val="25"/>
              </w:rPr>
              <w:t>2006</w:t>
            </w:r>
          </w:p>
        </w:tc>
        <w:tc>
          <w:tcPr>
            <w:tcW w:w="8584" w:type="dxa"/>
          </w:tcPr>
          <w:p>
            <w:pPr>
              <w:pStyle w:val="TableParagraph"/>
              <w:ind w:left="100"/>
              <w:rPr>
                <w:sz w:val="25"/>
              </w:rPr>
            </w:pPr>
            <w:r>
              <w:rPr>
                <w:i/>
                <w:sz w:val="25"/>
              </w:rPr>
              <w:t>Visiting</w:t>
            </w:r>
            <w:r>
              <w:rPr>
                <w:i/>
                <w:spacing w:val="8"/>
                <w:sz w:val="25"/>
              </w:rPr>
              <w:t> </w:t>
            </w:r>
            <w:r>
              <w:rPr>
                <w:i/>
                <w:sz w:val="25"/>
              </w:rPr>
              <w:t>Professor</w:t>
            </w:r>
            <w:r>
              <w:rPr>
                <w:sz w:val="25"/>
              </w:rPr>
              <w:t>,</w:t>
            </w:r>
            <w:r>
              <w:rPr>
                <w:spacing w:val="9"/>
                <w:sz w:val="25"/>
              </w:rPr>
              <w:t> </w:t>
            </w:r>
            <w:r>
              <w:rPr>
                <w:sz w:val="25"/>
              </w:rPr>
              <w:t>Institute</w:t>
            </w:r>
            <w:r>
              <w:rPr>
                <w:spacing w:val="8"/>
                <w:sz w:val="25"/>
              </w:rPr>
              <w:t> </w:t>
            </w:r>
            <w:r>
              <w:rPr>
                <w:sz w:val="25"/>
              </w:rPr>
              <w:t>of</w:t>
            </w:r>
            <w:r>
              <w:rPr>
                <w:spacing w:val="9"/>
                <w:sz w:val="25"/>
              </w:rPr>
              <w:t> </w:t>
            </w:r>
            <w:r>
              <w:rPr>
                <w:sz w:val="25"/>
              </w:rPr>
              <w:t>Advanced</w:t>
            </w:r>
            <w:r>
              <w:rPr>
                <w:spacing w:val="8"/>
                <w:sz w:val="25"/>
              </w:rPr>
              <w:t> </w:t>
            </w:r>
            <w:r>
              <w:rPr>
                <w:sz w:val="25"/>
              </w:rPr>
              <w:t>Studies,</w:t>
            </w:r>
            <w:r>
              <w:rPr>
                <w:spacing w:val="9"/>
                <w:sz w:val="25"/>
              </w:rPr>
              <w:t> </w:t>
            </w:r>
            <w:r>
              <w:rPr>
                <w:sz w:val="25"/>
              </w:rPr>
              <w:t>Vienna,</w:t>
            </w:r>
            <w:r>
              <w:rPr>
                <w:spacing w:val="8"/>
                <w:sz w:val="25"/>
              </w:rPr>
              <w:t> </w:t>
            </w:r>
            <w:r>
              <w:rPr>
                <w:spacing w:val="-2"/>
                <w:sz w:val="25"/>
              </w:rPr>
              <w:t>(September)</w:t>
            </w:r>
          </w:p>
        </w:tc>
      </w:tr>
      <w:tr>
        <w:trPr>
          <w:trHeight w:val="287" w:hRule="atLeast"/>
        </w:trPr>
        <w:tc>
          <w:tcPr>
            <w:tcW w:w="1005" w:type="dxa"/>
          </w:tcPr>
          <w:p>
            <w:pPr>
              <w:pStyle w:val="TableParagraph"/>
              <w:rPr>
                <w:sz w:val="25"/>
              </w:rPr>
            </w:pPr>
            <w:r>
              <w:rPr>
                <w:spacing w:val="-4"/>
                <w:sz w:val="25"/>
              </w:rPr>
              <w:t>2004</w:t>
            </w:r>
          </w:p>
        </w:tc>
        <w:tc>
          <w:tcPr>
            <w:tcW w:w="8584" w:type="dxa"/>
          </w:tcPr>
          <w:p>
            <w:pPr>
              <w:pStyle w:val="TableParagraph"/>
              <w:ind w:left="100"/>
              <w:rPr>
                <w:sz w:val="25"/>
              </w:rPr>
            </w:pPr>
            <w:r>
              <w:rPr>
                <w:i/>
                <w:sz w:val="25"/>
              </w:rPr>
              <w:t>Visiting</w:t>
            </w:r>
            <w:r>
              <w:rPr>
                <w:i/>
                <w:spacing w:val="8"/>
                <w:sz w:val="25"/>
              </w:rPr>
              <w:t> </w:t>
            </w:r>
            <w:r>
              <w:rPr>
                <w:i/>
                <w:sz w:val="25"/>
              </w:rPr>
              <w:t>Professor</w:t>
            </w:r>
            <w:r>
              <w:rPr>
                <w:sz w:val="25"/>
              </w:rPr>
              <w:t>,</w:t>
            </w:r>
            <w:r>
              <w:rPr>
                <w:spacing w:val="7"/>
                <w:sz w:val="25"/>
              </w:rPr>
              <w:t> </w:t>
            </w:r>
            <w:r>
              <w:rPr>
                <w:sz w:val="25"/>
              </w:rPr>
              <w:t>IZA</w:t>
            </w:r>
            <w:r>
              <w:rPr>
                <w:spacing w:val="-7"/>
                <w:sz w:val="25"/>
              </w:rPr>
              <w:t> </w:t>
            </w:r>
            <w:r>
              <w:rPr>
                <w:sz w:val="25"/>
              </w:rPr>
              <w:t>Institute,</w:t>
            </w:r>
            <w:r>
              <w:rPr>
                <w:spacing w:val="8"/>
                <w:sz w:val="25"/>
              </w:rPr>
              <w:t> </w:t>
            </w:r>
            <w:r>
              <w:rPr>
                <w:sz w:val="25"/>
              </w:rPr>
              <w:t>Bonn</w:t>
            </w:r>
            <w:r>
              <w:rPr>
                <w:spacing w:val="8"/>
                <w:sz w:val="25"/>
              </w:rPr>
              <w:t> </w:t>
            </w:r>
            <w:r>
              <w:rPr>
                <w:sz w:val="25"/>
              </w:rPr>
              <w:t>University,</w:t>
            </w:r>
            <w:r>
              <w:rPr>
                <w:spacing w:val="8"/>
                <w:sz w:val="25"/>
              </w:rPr>
              <w:t> </w:t>
            </w:r>
            <w:r>
              <w:rPr>
                <w:spacing w:val="-2"/>
                <w:sz w:val="25"/>
              </w:rPr>
              <w:t>(September)</w:t>
            </w:r>
          </w:p>
        </w:tc>
      </w:tr>
      <w:tr>
        <w:trPr>
          <w:trHeight w:val="288" w:hRule="atLeast"/>
        </w:trPr>
        <w:tc>
          <w:tcPr>
            <w:tcW w:w="1005" w:type="dxa"/>
          </w:tcPr>
          <w:p>
            <w:pPr>
              <w:pStyle w:val="TableParagraph"/>
              <w:rPr>
                <w:sz w:val="25"/>
              </w:rPr>
            </w:pPr>
            <w:r>
              <w:rPr>
                <w:spacing w:val="-4"/>
                <w:sz w:val="25"/>
              </w:rPr>
              <w:t>2004</w:t>
            </w:r>
          </w:p>
        </w:tc>
        <w:tc>
          <w:tcPr>
            <w:tcW w:w="8584" w:type="dxa"/>
          </w:tcPr>
          <w:p>
            <w:pPr>
              <w:pStyle w:val="TableParagraph"/>
              <w:ind w:left="100"/>
              <w:rPr>
                <w:sz w:val="25"/>
              </w:rPr>
            </w:pPr>
            <w:r>
              <w:rPr>
                <w:i/>
                <w:sz w:val="25"/>
              </w:rPr>
              <w:t>Visiting</w:t>
            </w:r>
            <w:r>
              <w:rPr>
                <w:i/>
                <w:spacing w:val="7"/>
                <w:sz w:val="25"/>
              </w:rPr>
              <w:t> </w:t>
            </w:r>
            <w:r>
              <w:rPr>
                <w:i/>
                <w:sz w:val="25"/>
              </w:rPr>
              <w:t>Professor</w:t>
            </w:r>
            <w:r>
              <w:rPr>
                <w:sz w:val="25"/>
              </w:rPr>
              <w:t>,</w:t>
            </w:r>
            <w:r>
              <w:rPr>
                <w:spacing w:val="7"/>
                <w:sz w:val="25"/>
              </w:rPr>
              <w:t> </w:t>
            </w:r>
            <w:r>
              <w:rPr>
                <w:sz w:val="25"/>
              </w:rPr>
              <w:t>Barcelona</w:t>
            </w:r>
            <w:r>
              <w:rPr>
                <w:spacing w:val="7"/>
                <w:sz w:val="25"/>
              </w:rPr>
              <w:t> </w:t>
            </w:r>
            <w:r>
              <w:rPr>
                <w:sz w:val="25"/>
              </w:rPr>
              <w:t>University,</w:t>
            </w:r>
            <w:r>
              <w:rPr>
                <w:spacing w:val="7"/>
                <w:sz w:val="25"/>
              </w:rPr>
              <w:t> </w:t>
            </w:r>
            <w:r>
              <w:rPr>
                <w:spacing w:val="-2"/>
                <w:sz w:val="25"/>
              </w:rPr>
              <w:t>(April)</w:t>
            </w:r>
          </w:p>
        </w:tc>
      </w:tr>
      <w:tr>
        <w:trPr>
          <w:trHeight w:val="288" w:hRule="atLeast"/>
        </w:trPr>
        <w:tc>
          <w:tcPr>
            <w:tcW w:w="1005" w:type="dxa"/>
          </w:tcPr>
          <w:p>
            <w:pPr>
              <w:pStyle w:val="TableParagraph"/>
              <w:rPr>
                <w:sz w:val="25"/>
              </w:rPr>
            </w:pPr>
            <w:r>
              <w:rPr>
                <w:spacing w:val="-4"/>
                <w:sz w:val="25"/>
              </w:rPr>
              <w:t>2004</w:t>
            </w:r>
          </w:p>
        </w:tc>
        <w:tc>
          <w:tcPr>
            <w:tcW w:w="8584" w:type="dxa"/>
          </w:tcPr>
          <w:p>
            <w:pPr>
              <w:pStyle w:val="TableParagraph"/>
              <w:ind w:left="100"/>
              <w:rPr>
                <w:sz w:val="25"/>
              </w:rPr>
            </w:pPr>
            <w:r>
              <w:rPr>
                <w:i/>
                <w:sz w:val="25"/>
              </w:rPr>
              <w:t>Visiting</w:t>
            </w:r>
            <w:r>
              <w:rPr>
                <w:i/>
                <w:spacing w:val="5"/>
                <w:sz w:val="25"/>
              </w:rPr>
              <w:t> </w:t>
            </w:r>
            <w:r>
              <w:rPr>
                <w:i/>
                <w:sz w:val="25"/>
              </w:rPr>
              <w:t>Professor</w:t>
            </w:r>
            <w:r>
              <w:rPr>
                <w:sz w:val="25"/>
              </w:rPr>
              <w:t>,</w:t>
            </w:r>
            <w:r>
              <w:rPr>
                <w:spacing w:val="6"/>
                <w:sz w:val="25"/>
              </w:rPr>
              <w:t> </w:t>
            </w:r>
            <w:r>
              <w:rPr>
                <w:sz w:val="25"/>
              </w:rPr>
              <w:t>Technical</w:t>
            </w:r>
            <w:r>
              <w:rPr>
                <w:spacing w:val="6"/>
                <w:sz w:val="25"/>
              </w:rPr>
              <w:t> </w:t>
            </w:r>
            <w:r>
              <w:rPr>
                <w:sz w:val="25"/>
              </w:rPr>
              <w:t>University,</w:t>
            </w:r>
            <w:r>
              <w:rPr>
                <w:spacing w:val="6"/>
                <w:sz w:val="25"/>
              </w:rPr>
              <w:t> </w:t>
            </w:r>
            <w:r>
              <w:rPr>
                <w:sz w:val="25"/>
              </w:rPr>
              <w:t>Zurich</w:t>
            </w:r>
            <w:r>
              <w:rPr>
                <w:spacing w:val="6"/>
                <w:sz w:val="25"/>
              </w:rPr>
              <w:t> </w:t>
            </w:r>
            <w:r>
              <w:rPr>
                <w:sz w:val="25"/>
              </w:rPr>
              <w:t>(ETH),</w:t>
            </w:r>
            <w:r>
              <w:rPr>
                <w:spacing w:val="5"/>
                <w:sz w:val="25"/>
              </w:rPr>
              <w:t> </w:t>
            </w:r>
            <w:r>
              <w:rPr>
                <w:spacing w:val="-2"/>
                <w:sz w:val="25"/>
              </w:rPr>
              <w:t>(January)</w:t>
            </w:r>
          </w:p>
        </w:tc>
      </w:tr>
      <w:tr>
        <w:trPr>
          <w:trHeight w:val="287" w:hRule="atLeast"/>
        </w:trPr>
        <w:tc>
          <w:tcPr>
            <w:tcW w:w="1005" w:type="dxa"/>
          </w:tcPr>
          <w:p>
            <w:pPr>
              <w:pStyle w:val="TableParagraph"/>
              <w:rPr>
                <w:sz w:val="25"/>
              </w:rPr>
            </w:pPr>
            <w:r>
              <w:rPr>
                <w:sz w:val="25"/>
              </w:rPr>
              <w:t>2003-</w:t>
            </w:r>
            <w:r>
              <w:rPr>
                <w:spacing w:val="-10"/>
                <w:sz w:val="25"/>
              </w:rPr>
              <w:t>4</w:t>
            </w:r>
          </w:p>
        </w:tc>
        <w:tc>
          <w:tcPr>
            <w:tcW w:w="8584" w:type="dxa"/>
          </w:tcPr>
          <w:p>
            <w:pPr>
              <w:pStyle w:val="TableParagraph"/>
              <w:ind w:left="100"/>
              <w:rPr>
                <w:sz w:val="25"/>
              </w:rPr>
            </w:pPr>
            <w:r>
              <w:rPr>
                <w:i/>
                <w:sz w:val="25"/>
              </w:rPr>
              <w:t>Mercator</w:t>
            </w:r>
            <w:r>
              <w:rPr>
                <w:i/>
                <w:spacing w:val="13"/>
                <w:sz w:val="25"/>
              </w:rPr>
              <w:t> </w:t>
            </w:r>
            <w:r>
              <w:rPr>
                <w:i/>
                <w:sz w:val="25"/>
              </w:rPr>
              <w:t>Research</w:t>
            </w:r>
            <w:r>
              <w:rPr>
                <w:i/>
                <w:spacing w:val="14"/>
                <w:sz w:val="25"/>
              </w:rPr>
              <w:t> </w:t>
            </w:r>
            <w:r>
              <w:rPr>
                <w:i/>
                <w:sz w:val="25"/>
              </w:rPr>
              <w:t>Professor</w:t>
            </w:r>
            <w:r>
              <w:rPr>
                <w:sz w:val="25"/>
              </w:rPr>
              <w:t>,</w:t>
            </w:r>
            <w:r>
              <w:rPr>
                <w:spacing w:val="13"/>
                <w:sz w:val="25"/>
              </w:rPr>
              <w:t> </w:t>
            </w:r>
            <w:r>
              <w:rPr>
                <w:sz w:val="25"/>
              </w:rPr>
              <w:t>German</w:t>
            </w:r>
            <w:r>
              <w:rPr>
                <w:spacing w:val="14"/>
                <w:sz w:val="25"/>
              </w:rPr>
              <w:t> </w:t>
            </w:r>
            <w:r>
              <w:rPr>
                <w:sz w:val="25"/>
              </w:rPr>
              <w:t>Research</w:t>
            </w:r>
            <w:r>
              <w:rPr>
                <w:spacing w:val="13"/>
                <w:sz w:val="25"/>
              </w:rPr>
              <w:t> </w:t>
            </w:r>
            <w:r>
              <w:rPr>
                <w:sz w:val="25"/>
              </w:rPr>
              <w:t>Foundation</w:t>
            </w:r>
            <w:r>
              <w:rPr>
                <w:spacing w:val="14"/>
                <w:sz w:val="25"/>
              </w:rPr>
              <w:t> </w:t>
            </w:r>
            <w:r>
              <w:rPr>
                <w:sz w:val="25"/>
              </w:rPr>
              <w:t>(DFG),</w:t>
            </w:r>
            <w:r>
              <w:rPr>
                <w:spacing w:val="13"/>
                <w:sz w:val="25"/>
              </w:rPr>
              <w:t> </w:t>
            </w:r>
            <w:r>
              <w:rPr>
                <w:sz w:val="25"/>
              </w:rPr>
              <w:t>University</w:t>
            </w:r>
            <w:r>
              <w:rPr>
                <w:spacing w:val="14"/>
                <w:sz w:val="25"/>
              </w:rPr>
              <w:t> </w:t>
            </w:r>
            <w:r>
              <w:rPr>
                <w:spacing w:val="-5"/>
                <w:sz w:val="25"/>
              </w:rPr>
              <w:t>of</w:t>
            </w:r>
          </w:p>
        </w:tc>
      </w:tr>
      <w:tr>
        <w:trPr>
          <w:trHeight w:val="288" w:hRule="atLeast"/>
        </w:trPr>
        <w:tc>
          <w:tcPr>
            <w:tcW w:w="1005" w:type="dxa"/>
          </w:tcPr>
          <w:p>
            <w:pPr>
              <w:pStyle w:val="TableParagraph"/>
              <w:spacing w:line="240" w:lineRule="auto"/>
              <w:ind w:left="0"/>
              <w:rPr>
                <w:sz w:val="20"/>
              </w:rPr>
            </w:pPr>
          </w:p>
        </w:tc>
        <w:tc>
          <w:tcPr>
            <w:tcW w:w="8584" w:type="dxa"/>
          </w:tcPr>
          <w:p>
            <w:pPr>
              <w:pStyle w:val="TableParagraph"/>
              <w:ind w:left="100"/>
              <w:rPr>
                <w:sz w:val="25"/>
              </w:rPr>
            </w:pPr>
            <w:r>
              <w:rPr>
                <w:spacing w:val="-2"/>
                <w:sz w:val="25"/>
              </w:rPr>
              <w:t>Munich</w:t>
            </w:r>
          </w:p>
        </w:tc>
      </w:tr>
      <w:tr>
        <w:trPr>
          <w:trHeight w:val="287" w:hRule="atLeast"/>
        </w:trPr>
        <w:tc>
          <w:tcPr>
            <w:tcW w:w="1005" w:type="dxa"/>
          </w:tcPr>
          <w:p>
            <w:pPr>
              <w:pStyle w:val="TableParagraph"/>
              <w:rPr>
                <w:sz w:val="25"/>
              </w:rPr>
            </w:pPr>
            <w:r>
              <w:rPr>
                <w:spacing w:val="-4"/>
                <w:sz w:val="25"/>
              </w:rPr>
              <w:t>2002</w:t>
            </w:r>
          </w:p>
        </w:tc>
        <w:tc>
          <w:tcPr>
            <w:tcW w:w="8584" w:type="dxa"/>
          </w:tcPr>
          <w:p>
            <w:pPr>
              <w:pStyle w:val="TableParagraph"/>
              <w:ind w:left="100"/>
              <w:rPr>
                <w:sz w:val="25"/>
              </w:rPr>
            </w:pPr>
            <w:r>
              <w:rPr>
                <w:i/>
                <w:sz w:val="25"/>
              </w:rPr>
              <w:t>Visiting</w:t>
            </w:r>
            <w:r>
              <w:rPr>
                <w:i/>
                <w:spacing w:val="13"/>
                <w:sz w:val="25"/>
              </w:rPr>
              <w:t> </w:t>
            </w:r>
            <w:r>
              <w:rPr>
                <w:i/>
                <w:sz w:val="25"/>
              </w:rPr>
              <w:t>Professor</w:t>
            </w:r>
            <w:r>
              <w:rPr>
                <w:sz w:val="25"/>
              </w:rPr>
              <w:t>,</w:t>
            </w:r>
            <w:r>
              <w:rPr>
                <w:spacing w:val="13"/>
                <w:sz w:val="25"/>
              </w:rPr>
              <w:t> </w:t>
            </w:r>
            <w:r>
              <w:rPr>
                <w:sz w:val="25"/>
              </w:rPr>
              <w:t>GREQAM,</w:t>
            </w:r>
            <w:r>
              <w:rPr>
                <w:spacing w:val="13"/>
                <w:sz w:val="25"/>
              </w:rPr>
              <w:t> </w:t>
            </w:r>
            <w:r>
              <w:rPr>
                <w:sz w:val="25"/>
              </w:rPr>
              <w:t>University</w:t>
            </w:r>
            <w:r>
              <w:rPr>
                <w:spacing w:val="13"/>
                <w:sz w:val="25"/>
              </w:rPr>
              <w:t> </w:t>
            </w:r>
            <w:r>
              <w:rPr>
                <w:sz w:val="25"/>
              </w:rPr>
              <w:t>of</w:t>
            </w:r>
            <w:r>
              <w:rPr>
                <w:spacing w:val="13"/>
                <w:sz w:val="25"/>
              </w:rPr>
              <w:t> </w:t>
            </w:r>
            <w:r>
              <w:rPr>
                <w:sz w:val="25"/>
              </w:rPr>
              <w:t>Aix-Marseille</w:t>
            </w:r>
            <w:r>
              <w:rPr>
                <w:spacing w:val="13"/>
                <w:sz w:val="25"/>
              </w:rPr>
              <w:t> </w:t>
            </w:r>
            <w:r>
              <w:rPr>
                <w:spacing w:val="-2"/>
                <w:sz w:val="25"/>
              </w:rPr>
              <w:t>(June)</w:t>
            </w:r>
          </w:p>
        </w:tc>
      </w:tr>
      <w:tr>
        <w:trPr>
          <w:trHeight w:val="288" w:hRule="atLeast"/>
        </w:trPr>
        <w:tc>
          <w:tcPr>
            <w:tcW w:w="1005" w:type="dxa"/>
          </w:tcPr>
          <w:p>
            <w:pPr>
              <w:pStyle w:val="TableParagraph"/>
              <w:rPr>
                <w:sz w:val="25"/>
              </w:rPr>
            </w:pPr>
            <w:r>
              <w:rPr>
                <w:sz w:val="25"/>
              </w:rPr>
              <w:t>2000,</w:t>
            </w:r>
            <w:r>
              <w:rPr>
                <w:spacing w:val="12"/>
                <w:sz w:val="25"/>
              </w:rPr>
              <w:t> </w:t>
            </w:r>
            <w:r>
              <w:rPr>
                <w:spacing w:val="-10"/>
                <w:sz w:val="25"/>
              </w:rPr>
              <w:t>1</w:t>
            </w:r>
          </w:p>
        </w:tc>
        <w:tc>
          <w:tcPr>
            <w:tcW w:w="8584" w:type="dxa"/>
          </w:tcPr>
          <w:p>
            <w:pPr>
              <w:pStyle w:val="TableParagraph"/>
              <w:ind w:left="100"/>
              <w:rPr>
                <w:sz w:val="25"/>
              </w:rPr>
            </w:pPr>
            <w:r>
              <w:rPr>
                <w:i/>
                <w:sz w:val="25"/>
              </w:rPr>
              <w:t>Visiting</w:t>
            </w:r>
            <w:r>
              <w:rPr>
                <w:i/>
                <w:spacing w:val="17"/>
                <w:sz w:val="25"/>
              </w:rPr>
              <w:t> </w:t>
            </w:r>
            <w:r>
              <w:rPr>
                <w:i/>
                <w:sz w:val="25"/>
              </w:rPr>
              <w:t>Professor</w:t>
            </w:r>
            <w:r>
              <w:rPr>
                <w:sz w:val="25"/>
              </w:rPr>
              <w:t>,</w:t>
            </w:r>
            <w:r>
              <w:rPr>
                <w:spacing w:val="18"/>
                <w:sz w:val="25"/>
              </w:rPr>
              <w:t> </w:t>
            </w:r>
            <w:r>
              <w:rPr>
                <w:sz w:val="25"/>
              </w:rPr>
              <w:t>Eberhard-Karls-Universität,</w:t>
            </w:r>
            <w:r>
              <w:rPr>
                <w:spacing w:val="17"/>
                <w:sz w:val="25"/>
              </w:rPr>
              <w:t> </w:t>
            </w:r>
            <w:r>
              <w:rPr>
                <w:sz w:val="25"/>
              </w:rPr>
              <w:t>Tübingen</w:t>
            </w:r>
            <w:r>
              <w:rPr>
                <w:spacing w:val="18"/>
                <w:sz w:val="25"/>
              </w:rPr>
              <w:t> </w:t>
            </w:r>
            <w:r>
              <w:rPr>
                <w:spacing w:val="-2"/>
                <w:sz w:val="25"/>
              </w:rPr>
              <w:t>(February)</w:t>
            </w:r>
          </w:p>
        </w:tc>
      </w:tr>
      <w:tr>
        <w:trPr>
          <w:trHeight w:val="288" w:hRule="atLeast"/>
        </w:trPr>
        <w:tc>
          <w:tcPr>
            <w:tcW w:w="1005" w:type="dxa"/>
          </w:tcPr>
          <w:p>
            <w:pPr>
              <w:pStyle w:val="TableParagraph"/>
              <w:rPr>
                <w:sz w:val="25"/>
              </w:rPr>
            </w:pPr>
            <w:r>
              <w:rPr>
                <w:sz w:val="25"/>
              </w:rPr>
              <w:t>2000-</w:t>
            </w:r>
            <w:r>
              <w:rPr>
                <w:spacing w:val="-5"/>
                <w:sz w:val="25"/>
              </w:rPr>
              <w:t>07</w:t>
            </w:r>
          </w:p>
        </w:tc>
        <w:tc>
          <w:tcPr>
            <w:tcW w:w="8584" w:type="dxa"/>
          </w:tcPr>
          <w:p>
            <w:pPr>
              <w:pStyle w:val="TableParagraph"/>
              <w:ind w:left="100"/>
              <w:rPr>
                <w:sz w:val="25"/>
              </w:rPr>
            </w:pPr>
            <w:r>
              <w:rPr>
                <w:i/>
                <w:sz w:val="25"/>
              </w:rPr>
              <w:t>Visiting</w:t>
            </w:r>
            <w:r>
              <w:rPr>
                <w:i/>
                <w:spacing w:val="10"/>
                <w:sz w:val="25"/>
              </w:rPr>
              <w:t> </w:t>
            </w:r>
            <w:r>
              <w:rPr>
                <w:i/>
                <w:sz w:val="25"/>
              </w:rPr>
              <w:t>Professor</w:t>
            </w:r>
            <w:r>
              <w:rPr>
                <w:sz w:val="25"/>
              </w:rPr>
              <w:t>,</w:t>
            </w:r>
            <w:r>
              <w:rPr>
                <w:spacing w:val="11"/>
                <w:sz w:val="25"/>
              </w:rPr>
              <w:t> </w:t>
            </w:r>
            <w:r>
              <w:rPr>
                <w:sz w:val="25"/>
              </w:rPr>
              <w:t>Center</w:t>
            </w:r>
            <w:r>
              <w:rPr>
                <w:spacing w:val="11"/>
                <w:sz w:val="25"/>
              </w:rPr>
              <w:t> </w:t>
            </w:r>
            <w:r>
              <w:rPr>
                <w:sz w:val="25"/>
              </w:rPr>
              <w:t>for</w:t>
            </w:r>
            <w:r>
              <w:rPr>
                <w:spacing w:val="11"/>
                <w:sz w:val="25"/>
              </w:rPr>
              <w:t> </w:t>
            </w:r>
            <w:r>
              <w:rPr>
                <w:sz w:val="25"/>
              </w:rPr>
              <w:t>Economic</w:t>
            </w:r>
            <w:r>
              <w:rPr>
                <w:spacing w:val="11"/>
                <w:sz w:val="25"/>
              </w:rPr>
              <w:t> </w:t>
            </w:r>
            <w:r>
              <w:rPr>
                <w:sz w:val="25"/>
              </w:rPr>
              <w:t>Studies</w:t>
            </w:r>
            <w:r>
              <w:rPr>
                <w:spacing w:val="11"/>
                <w:sz w:val="25"/>
              </w:rPr>
              <w:t> </w:t>
            </w:r>
            <w:r>
              <w:rPr>
                <w:sz w:val="25"/>
              </w:rPr>
              <w:t>(CES),</w:t>
            </w:r>
            <w:r>
              <w:rPr>
                <w:spacing w:val="11"/>
                <w:sz w:val="25"/>
              </w:rPr>
              <w:t> </w:t>
            </w:r>
            <w:r>
              <w:rPr>
                <w:sz w:val="25"/>
              </w:rPr>
              <w:t>University</w:t>
            </w:r>
            <w:r>
              <w:rPr>
                <w:spacing w:val="11"/>
                <w:sz w:val="25"/>
              </w:rPr>
              <w:t> </w:t>
            </w:r>
            <w:r>
              <w:rPr>
                <w:sz w:val="25"/>
              </w:rPr>
              <w:t>of</w:t>
            </w:r>
            <w:r>
              <w:rPr>
                <w:spacing w:val="11"/>
                <w:sz w:val="25"/>
              </w:rPr>
              <w:t> </w:t>
            </w:r>
            <w:r>
              <w:rPr>
                <w:spacing w:val="-2"/>
                <w:sz w:val="25"/>
              </w:rPr>
              <w:t>Munich</w:t>
            </w:r>
          </w:p>
        </w:tc>
      </w:tr>
      <w:tr>
        <w:trPr>
          <w:trHeight w:val="287" w:hRule="atLeast"/>
        </w:trPr>
        <w:tc>
          <w:tcPr>
            <w:tcW w:w="1005" w:type="dxa"/>
          </w:tcPr>
          <w:p>
            <w:pPr>
              <w:pStyle w:val="TableParagraph"/>
              <w:spacing w:line="240" w:lineRule="auto"/>
              <w:ind w:left="0"/>
              <w:rPr>
                <w:sz w:val="20"/>
              </w:rPr>
            </w:pPr>
          </w:p>
        </w:tc>
        <w:tc>
          <w:tcPr>
            <w:tcW w:w="8584" w:type="dxa"/>
          </w:tcPr>
          <w:p>
            <w:pPr>
              <w:pStyle w:val="TableParagraph"/>
              <w:ind w:left="100"/>
              <w:rPr>
                <w:sz w:val="25"/>
              </w:rPr>
            </w:pPr>
            <w:r>
              <w:rPr>
                <w:spacing w:val="-2"/>
                <w:sz w:val="25"/>
              </w:rPr>
              <w:t>(June/July)</w:t>
            </w:r>
          </w:p>
        </w:tc>
      </w:tr>
      <w:tr>
        <w:trPr>
          <w:trHeight w:val="272" w:hRule="atLeast"/>
        </w:trPr>
        <w:tc>
          <w:tcPr>
            <w:tcW w:w="1005" w:type="dxa"/>
          </w:tcPr>
          <w:p>
            <w:pPr>
              <w:pStyle w:val="TableParagraph"/>
              <w:spacing w:line="252" w:lineRule="exact"/>
              <w:rPr>
                <w:sz w:val="25"/>
              </w:rPr>
            </w:pPr>
            <w:r>
              <w:rPr>
                <w:spacing w:val="-4"/>
                <w:sz w:val="25"/>
              </w:rPr>
              <w:t>1999</w:t>
            </w:r>
          </w:p>
        </w:tc>
        <w:tc>
          <w:tcPr>
            <w:tcW w:w="8584" w:type="dxa"/>
          </w:tcPr>
          <w:p>
            <w:pPr>
              <w:pStyle w:val="TableParagraph"/>
              <w:spacing w:line="252" w:lineRule="exact"/>
              <w:ind w:left="100"/>
              <w:rPr>
                <w:sz w:val="25"/>
              </w:rPr>
            </w:pPr>
            <w:r>
              <w:rPr>
                <w:i/>
                <w:sz w:val="25"/>
              </w:rPr>
              <w:t>Visiting</w:t>
            </w:r>
            <w:r>
              <w:rPr>
                <w:i/>
                <w:spacing w:val="10"/>
                <w:sz w:val="25"/>
              </w:rPr>
              <w:t> </w:t>
            </w:r>
            <w:r>
              <w:rPr>
                <w:i/>
                <w:sz w:val="25"/>
              </w:rPr>
              <w:t>Scholar</w:t>
            </w:r>
            <w:r>
              <w:rPr>
                <w:sz w:val="25"/>
              </w:rPr>
              <w:t>,</w:t>
            </w:r>
            <w:r>
              <w:rPr>
                <w:spacing w:val="11"/>
                <w:sz w:val="25"/>
              </w:rPr>
              <w:t> </w:t>
            </w:r>
            <w:r>
              <w:rPr>
                <w:sz w:val="25"/>
              </w:rPr>
              <w:t>Nuffield</w:t>
            </w:r>
            <w:r>
              <w:rPr>
                <w:spacing w:val="10"/>
                <w:sz w:val="25"/>
              </w:rPr>
              <w:t> </w:t>
            </w:r>
            <w:r>
              <w:rPr>
                <w:sz w:val="25"/>
              </w:rPr>
              <w:t>College,</w:t>
            </w:r>
            <w:r>
              <w:rPr>
                <w:spacing w:val="11"/>
                <w:sz w:val="25"/>
              </w:rPr>
              <w:t> </w:t>
            </w:r>
            <w:r>
              <w:rPr>
                <w:sz w:val="25"/>
              </w:rPr>
              <w:t>Oxford</w:t>
            </w:r>
            <w:r>
              <w:rPr>
                <w:spacing w:val="10"/>
                <w:sz w:val="25"/>
              </w:rPr>
              <w:t> </w:t>
            </w:r>
            <w:r>
              <w:rPr>
                <w:sz w:val="25"/>
              </w:rPr>
              <w:t>University</w:t>
            </w:r>
            <w:r>
              <w:rPr>
                <w:spacing w:val="11"/>
                <w:sz w:val="25"/>
              </w:rPr>
              <w:t> </w:t>
            </w:r>
            <w:r>
              <w:rPr>
                <w:spacing w:val="-2"/>
                <w:sz w:val="25"/>
              </w:rPr>
              <w:t>(Winter)</w:t>
            </w:r>
          </w:p>
        </w:tc>
      </w:tr>
    </w:tbl>
    <w:p>
      <w:pPr>
        <w:spacing w:before="302" w:after="46"/>
        <w:ind w:left="127" w:right="0" w:firstLine="0"/>
        <w:jc w:val="left"/>
        <w:rPr>
          <w:b/>
          <w:sz w:val="38"/>
        </w:rPr>
      </w:pPr>
      <w:r>
        <w:rPr>
          <w:b/>
          <w:spacing w:val="-2"/>
          <w:sz w:val="38"/>
        </w:rPr>
        <w:t>Education</w:t>
      </w: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4"/>
        <w:gridCol w:w="8461"/>
      </w:tblGrid>
      <w:tr>
        <w:trPr>
          <w:trHeight w:val="272" w:hRule="atLeast"/>
        </w:trPr>
        <w:tc>
          <w:tcPr>
            <w:tcW w:w="834" w:type="dxa"/>
          </w:tcPr>
          <w:p>
            <w:pPr>
              <w:pStyle w:val="TableParagraph"/>
              <w:spacing w:line="246" w:lineRule="exact"/>
              <w:rPr>
                <w:sz w:val="25"/>
              </w:rPr>
            </w:pPr>
            <w:r>
              <w:rPr>
                <w:spacing w:val="-4"/>
                <w:sz w:val="25"/>
              </w:rPr>
              <w:t>1994</w:t>
            </w:r>
          </w:p>
        </w:tc>
        <w:tc>
          <w:tcPr>
            <w:tcW w:w="8461" w:type="dxa"/>
          </w:tcPr>
          <w:p>
            <w:pPr>
              <w:pStyle w:val="TableParagraph"/>
              <w:spacing w:line="246" w:lineRule="exact"/>
              <w:ind w:left="272"/>
              <w:rPr>
                <w:sz w:val="25"/>
              </w:rPr>
            </w:pPr>
            <w:r>
              <w:rPr>
                <w:i/>
                <w:sz w:val="25"/>
              </w:rPr>
              <w:t>Ph.D.</w:t>
            </w:r>
            <w:r>
              <w:rPr>
                <w:sz w:val="25"/>
              </w:rPr>
              <w:t>,</w:t>
            </w:r>
            <w:r>
              <w:rPr>
                <w:spacing w:val="8"/>
                <w:sz w:val="25"/>
              </w:rPr>
              <w:t> </w:t>
            </w:r>
            <w:r>
              <w:rPr>
                <w:sz w:val="25"/>
              </w:rPr>
              <w:t>Economics,</w:t>
            </w:r>
            <w:r>
              <w:rPr>
                <w:spacing w:val="9"/>
                <w:sz w:val="25"/>
              </w:rPr>
              <w:t> </w:t>
            </w:r>
            <w:r>
              <w:rPr>
                <w:sz w:val="25"/>
              </w:rPr>
              <w:t>Columbia</w:t>
            </w:r>
            <w:r>
              <w:rPr>
                <w:spacing w:val="9"/>
                <w:sz w:val="25"/>
              </w:rPr>
              <w:t> </w:t>
            </w:r>
            <w:r>
              <w:rPr>
                <w:sz w:val="25"/>
              </w:rPr>
              <w:t>University,</w:t>
            </w:r>
            <w:r>
              <w:rPr>
                <w:spacing w:val="9"/>
                <w:sz w:val="25"/>
              </w:rPr>
              <w:t> </w:t>
            </w:r>
            <w:r>
              <w:rPr>
                <w:sz w:val="25"/>
              </w:rPr>
              <w:t>New</w:t>
            </w:r>
            <w:r>
              <w:rPr>
                <w:spacing w:val="9"/>
                <w:sz w:val="25"/>
              </w:rPr>
              <w:t> </w:t>
            </w:r>
            <w:r>
              <w:rPr>
                <w:sz w:val="25"/>
              </w:rPr>
              <w:t>York,</w:t>
            </w:r>
            <w:r>
              <w:rPr>
                <w:spacing w:val="9"/>
                <w:sz w:val="25"/>
              </w:rPr>
              <w:t> </w:t>
            </w:r>
            <w:r>
              <w:rPr>
                <w:spacing w:val="-5"/>
                <w:sz w:val="25"/>
              </w:rPr>
              <w:t>NY</w:t>
            </w:r>
          </w:p>
        </w:tc>
      </w:tr>
      <w:tr>
        <w:trPr>
          <w:trHeight w:val="287" w:hRule="atLeast"/>
        </w:trPr>
        <w:tc>
          <w:tcPr>
            <w:tcW w:w="834" w:type="dxa"/>
          </w:tcPr>
          <w:p>
            <w:pPr>
              <w:pStyle w:val="TableParagraph"/>
              <w:rPr>
                <w:sz w:val="25"/>
              </w:rPr>
            </w:pPr>
            <w:r>
              <w:rPr>
                <w:spacing w:val="-4"/>
                <w:sz w:val="25"/>
              </w:rPr>
              <w:t>1993</w:t>
            </w:r>
          </w:p>
        </w:tc>
        <w:tc>
          <w:tcPr>
            <w:tcW w:w="8461" w:type="dxa"/>
          </w:tcPr>
          <w:p>
            <w:pPr>
              <w:pStyle w:val="TableParagraph"/>
              <w:ind w:left="272"/>
              <w:rPr>
                <w:sz w:val="25"/>
              </w:rPr>
            </w:pPr>
            <w:r>
              <w:rPr>
                <w:i/>
                <w:sz w:val="25"/>
              </w:rPr>
              <w:t>M.Phil.</w:t>
            </w:r>
            <w:r>
              <w:rPr>
                <w:sz w:val="25"/>
              </w:rPr>
              <w:t>,</w:t>
            </w:r>
            <w:r>
              <w:rPr>
                <w:spacing w:val="9"/>
                <w:sz w:val="25"/>
              </w:rPr>
              <w:t> </w:t>
            </w:r>
            <w:r>
              <w:rPr>
                <w:sz w:val="25"/>
              </w:rPr>
              <w:t>Economics,</w:t>
            </w:r>
            <w:r>
              <w:rPr>
                <w:spacing w:val="10"/>
                <w:sz w:val="25"/>
              </w:rPr>
              <w:t> </w:t>
            </w:r>
            <w:r>
              <w:rPr>
                <w:sz w:val="25"/>
              </w:rPr>
              <w:t>Columbia</w:t>
            </w:r>
            <w:r>
              <w:rPr>
                <w:spacing w:val="9"/>
                <w:sz w:val="25"/>
              </w:rPr>
              <w:t> </w:t>
            </w:r>
            <w:r>
              <w:rPr>
                <w:sz w:val="25"/>
              </w:rPr>
              <w:t>University,</w:t>
            </w:r>
            <w:r>
              <w:rPr>
                <w:spacing w:val="10"/>
                <w:sz w:val="25"/>
              </w:rPr>
              <w:t> </w:t>
            </w:r>
            <w:r>
              <w:rPr>
                <w:sz w:val="25"/>
              </w:rPr>
              <w:t>New</w:t>
            </w:r>
            <w:r>
              <w:rPr>
                <w:spacing w:val="10"/>
                <w:sz w:val="25"/>
              </w:rPr>
              <w:t> </w:t>
            </w:r>
            <w:r>
              <w:rPr>
                <w:sz w:val="25"/>
              </w:rPr>
              <w:t>York,</w:t>
            </w:r>
            <w:r>
              <w:rPr>
                <w:spacing w:val="9"/>
                <w:sz w:val="25"/>
              </w:rPr>
              <w:t> </w:t>
            </w:r>
            <w:r>
              <w:rPr>
                <w:spacing w:val="-5"/>
                <w:sz w:val="25"/>
              </w:rPr>
              <w:t>NY</w:t>
            </w:r>
          </w:p>
        </w:tc>
      </w:tr>
      <w:tr>
        <w:trPr>
          <w:trHeight w:val="288" w:hRule="atLeast"/>
        </w:trPr>
        <w:tc>
          <w:tcPr>
            <w:tcW w:w="834" w:type="dxa"/>
          </w:tcPr>
          <w:p>
            <w:pPr>
              <w:pStyle w:val="TableParagraph"/>
              <w:rPr>
                <w:sz w:val="25"/>
              </w:rPr>
            </w:pPr>
            <w:r>
              <w:rPr>
                <w:spacing w:val="-4"/>
                <w:sz w:val="25"/>
              </w:rPr>
              <w:t>1991</w:t>
            </w:r>
          </w:p>
        </w:tc>
        <w:tc>
          <w:tcPr>
            <w:tcW w:w="8461" w:type="dxa"/>
          </w:tcPr>
          <w:p>
            <w:pPr>
              <w:pStyle w:val="TableParagraph"/>
              <w:ind w:left="272"/>
              <w:rPr>
                <w:sz w:val="25"/>
              </w:rPr>
            </w:pPr>
            <w:r>
              <w:rPr>
                <w:i/>
                <w:sz w:val="25"/>
              </w:rPr>
              <w:t>M.A.</w:t>
            </w:r>
            <w:r>
              <w:rPr>
                <w:sz w:val="25"/>
              </w:rPr>
              <w:t>,</w:t>
            </w:r>
            <w:r>
              <w:rPr>
                <w:spacing w:val="8"/>
                <w:sz w:val="25"/>
              </w:rPr>
              <w:t> </w:t>
            </w:r>
            <w:r>
              <w:rPr>
                <w:sz w:val="25"/>
              </w:rPr>
              <w:t>Economics,</w:t>
            </w:r>
            <w:r>
              <w:rPr>
                <w:spacing w:val="9"/>
                <w:sz w:val="25"/>
              </w:rPr>
              <w:t> </w:t>
            </w:r>
            <w:r>
              <w:rPr>
                <w:sz w:val="25"/>
              </w:rPr>
              <w:t>Columbia</w:t>
            </w:r>
            <w:r>
              <w:rPr>
                <w:spacing w:val="9"/>
                <w:sz w:val="25"/>
              </w:rPr>
              <w:t> </w:t>
            </w:r>
            <w:r>
              <w:rPr>
                <w:sz w:val="25"/>
              </w:rPr>
              <w:t>University,</w:t>
            </w:r>
            <w:r>
              <w:rPr>
                <w:spacing w:val="8"/>
                <w:sz w:val="25"/>
              </w:rPr>
              <w:t> </w:t>
            </w:r>
            <w:r>
              <w:rPr>
                <w:sz w:val="25"/>
              </w:rPr>
              <w:t>New</w:t>
            </w:r>
            <w:r>
              <w:rPr>
                <w:spacing w:val="9"/>
                <w:sz w:val="25"/>
              </w:rPr>
              <w:t> </w:t>
            </w:r>
            <w:r>
              <w:rPr>
                <w:sz w:val="25"/>
              </w:rPr>
              <w:t>York,</w:t>
            </w:r>
            <w:r>
              <w:rPr>
                <w:spacing w:val="9"/>
                <w:sz w:val="25"/>
              </w:rPr>
              <w:t> </w:t>
            </w:r>
            <w:r>
              <w:rPr>
                <w:spacing w:val="-5"/>
                <w:sz w:val="25"/>
              </w:rPr>
              <w:t>NY</w:t>
            </w:r>
          </w:p>
        </w:tc>
      </w:tr>
      <w:tr>
        <w:trPr>
          <w:trHeight w:val="288" w:hRule="atLeast"/>
        </w:trPr>
        <w:tc>
          <w:tcPr>
            <w:tcW w:w="834" w:type="dxa"/>
          </w:tcPr>
          <w:p>
            <w:pPr>
              <w:pStyle w:val="TableParagraph"/>
              <w:rPr>
                <w:sz w:val="25"/>
              </w:rPr>
            </w:pPr>
            <w:r>
              <w:rPr>
                <w:spacing w:val="-4"/>
                <w:sz w:val="25"/>
              </w:rPr>
              <w:t>1989</w:t>
            </w:r>
          </w:p>
        </w:tc>
        <w:tc>
          <w:tcPr>
            <w:tcW w:w="8461" w:type="dxa"/>
          </w:tcPr>
          <w:p>
            <w:pPr>
              <w:pStyle w:val="TableParagraph"/>
              <w:ind w:left="272"/>
              <w:rPr>
                <w:sz w:val="25"/>
              </w:rPr>
            </w:pPr>
            <w:r>
              <w:rPr>
                <w:sz w:val="25"/>
              </w:rPr>
              <w:t>Diplom-Studiengang,</w:t>
            </w:r>
            <w:r>
              <w:rPr>
                <w:spacing w:val="15"/>
                <w:sz w:val="25"/>
              </w:rPr>
              <w:t> </w:t>
            </w:r>
            <w:r>
              <w:rPr>
                <w:sz w:val="25"/>
              </w:rPr>
              <w:t>Economics</w:t>
            </w:r>
            <w:r>
              <w:rPr>
                <w:spacing w:val="16"/>
                <w:sz w:val="25"/>
              </w:rPr>
              <w:t> </w:t>
            </w:r>
            <w:r>
              <w:rPr>
                <w:sz w:val="25"/>
              </w:rPr>
              <w:t>(VWL),</w:t>
            </w:r>
            <w:r>
              <w:rPr>
                <w:spacing w:val="16"/>
                <w:sz w:val="25"/>
              </w:rPr>
              <w:t> </w:t>
            </w:r>
            <w:r>
              <w:rPr>
                <w:sz w:val="25"/>
              </w:rPr>
              <w:t>Freie</w:t>
            </w:r>
            <w:r>
              <w:rPr>
                <w:spacing w:val="16"/>
                <w:sz w:val="25"/>
              </w:rPr>
              <w:t> </w:t>
            </w:r>
            <w:r>
              <w:rPr>
                <w:sz w:val="25"/>
              </w:rPr>
              <w:t>Univ.</w:t>
            </w:r>
            <w:r>
              <w:rPr>
                <w:spacing w:val="15"/>
                <w:sz w:val="25"/>
              </w:rPr>
              <w:t> </w:t>
            </w:r>
            <w:r>
              <w:rPr>
                <w:sz w:val="25"/>
              </w:rPr>
              <w:t>Berlin,</w:t>
            </w:r>
            <w:r>
              <w:rPr>
                <w:spacing w:val="16"/>
                <w:sz w:val="25"/>
              </w:rPr>
              <w:t> </w:t>
            </w:r>
            <w:r>
              <w:rPr>
                <w:spacing w:val="-2"/>
                <w:sz w:val="25"/>
              </w:rPr>
              <w:t>Germany</w:t>
            </w:r>
          </w:p>
        </w:tc>
      </w:tr>
      <w:tr>
        <w:trPr>
          <w:trHeight w:val="287" w:hRule="atLeast"/>
        </w:trPr>
        <w:tc>
          <w:tcPr>
            <w:tcW w:w="834" w:type="dxa"/>
          </w:tcPr>
          <w:p>
            <w:pPr>
              <w:pStyle w:val="TableParagraph"/>
              <w:rPr>
                <w:sz w:val="25"/>
              </w:rPr>
            </w:pPr>
            <w:r>
              <w:rPr>
                <w:spacing w:val="-4"/>
                <w:sz w:val="25"/>
              </w:rPr>
              <w:t>1988</w:t>
            </w:r>
          </w:p>
        </w:tc>
        <w:tc>
          <w:tcPr>
            <w:tcW w:w="8461" w:type="dxa"/>
          </w:tcPr>
          <w:p>
            <w:pPr>
              <w:pStyle w:val="TableParagraph"/>
              <w:ind w:left="272"/>
              <w:rPr>
                <w:sz w:val="25"/>
              </w:rPr>
            </w:pPr>
            <w:r>
              <w:rPr>
                <w:i/>
                <w:sz w:val="25"/>
              </w:rPr>
              <w:t>B.A.</w:t>
            </w:r>
            <w:r>
              <w:rPr>
                <w:sz w:val="25"/>
              </w:rPr>
              <w:t>,</w:t>
            </w:r>
            <w:r>
              <w:rPr>
                <w:spacing w:val="15"/>
                <w:sz w:val="25"/>
              </w:rPr>
              <w:t> </w:t>
            </w:r>
            <w:r>
              <w:rPr>
                <w:sz w:val="25"/>
              </w:rPr>
              <w:t>Chinese</w:t>
            </w:r>
            <w:r>
              <w:rPr>
                <w:spacing w:val="16"/>
                <w:sz w:val="25"/>
              </w:rPr>
              <w:t> </w:t>
            </w:r>
            <w:r>
              <w:rPr>
                <w:sz w:val="25"/>
              </w:rPr>
              <w:t>Studies,</w:t>
            </w:r>
            <w:r>
              <w:rPr>
                <w:spacing w:val="16"/>
                <w:sz w:val="25"/>
              </w:rPr>
              <w:t> </w:t>
            </w:r>
            <w:r>
              <w:rPr>
                <w:sz w:val="25"/>
              </w:rPr>
              <w:t>Economics,</w:t>
            </w:r>
            <w:r>
              <w:rPr>
                <w:spacing w:val="16"/>
                <w:sz w:val="25"/>
              </w:rPr>
              <w:t> </w:t>
            </w:r>
            <w:r>
              <w:rPr>
                <w:sz w:val="25"/>
              </w:rPr>
              <w:t>Grinnell</w:t>
            </w:r>
            <w:r>
              <w:rPr>
                <w:spacing w:val="16"/>
                <w:sz w:val="25"/>
              </w:rPr>
              <w:t> </w:t>
            </w:r>
            <w:r>
              <w:rPr>
                <w:sz w:val="25"/>
              </w:rPr>
              <w:t>College,</w:t>
            </w:r>
            <w:r>
              <w:rPr>
                <w:spacing w:val="16"/>
                <w:sz w:val="25"/>
              </w:rPr>
              <w:t> </w:t>
            </w:r>
            <w:r>
              <w:rPr>
                <w:sz w:val="25"/>
              </w:rPr>
              <w:t>Grinnell,</w:t>
            </w:r>
            <w:r>
              <w:rPr>
                <w:spacing w:val="16"/>
                <w:sz w:val="25"/>
              </w:rPr>
              <w:t> </w:t>
            </w:r>
            <w:r>
              <w:rPr>
                <w:spacing w:val="-5"/>
                <w:sz w:val="25"/>
              </w:rPr>
              <w:t>IA</w:t>
            </w:r>
          </w:p>
        </w:tc>
      </w:tr>
      <w:tr>
        <w:trPr>
          <w:trHeight w:val="287" w:hRule="atLeast"/>
        </w:trPr>
        <w:tc>
          <w:tcPr>
            <w:tcW w:w="834" w:type="dxa"/>
          </w:tcPr>
          <w:p>
            <w:pPr>
              <w:pStyle w:val="TableParagraph"/>
              <w:rPr>
                <w:sz w:val="25"/>
              </w:rPr>
            </w:pPr>
            <w:r>
              <w:rPr>
                <w:spacing w:val="-4"/>
                <w:sz w:val="25"/>
              </w:rPr>
              <w:t>1987</w:t>
            </w:r>
          </w:p>
        </w:tc>
        <w:tc>
          <w:tcPr>
            <w:tcW w:w="8461" w:type="dxa"/>
          </w:tcPr>
          <w:p>
            <w:pPr>
              <w:pStyle w:val="TableParagraph"/>
              <w:ind w:left="272"/>
              <w:rPr>
                <w:sz w:val="25"/>
              </w:rPr>
            </w:pPr>
            <w:r>
              <w:rPr>
                <w:i/>
                <w:sz w:val="25"/>
              </w:rPr>
              <w:t>Language</w:t>
            </w:r>
            <w:r>
              <w:rPr>
                <w:i/>
                <w:spacing w:val="11"/>
                <w:sz w:val="25"/>
              </w:rPr>
              <w:t> </w:t>
            </w:r>
            <w:r>
              <w:rPr>
                <w:i/>
                <w:sz w:val="25"/>
              </w:rPr>
              <w:t>Certificate</w:t>
            </w:r>
            <w:r>
              <w:rPr>
                <w:sz w:val="25"/>
              </w:rPr>
              <w:t>,</w:t>
            </w:r>
            <w:r>
              <w:rPr>
                <w:spacing w:val="11"/>
                <w:sz w:val="25"/>
              </w:rPr>
              <w:t> </w:t>
            </w:r>
            <w:r>
              <w:rPr>
                <w:sz w:val="25"/>
              </w:rPr>
              <w:t>Chinese,</w:t>
            </w:r>
            <w:r>
              <w:rPr>
                <w:spacing w:val="11"/>
                <w:sz w:val="25"/>
              </w:rPr>
              <w:t> </w:t>
            </w:r>
            <w:r>
              <w:rPr>
                <w:sz w:val="25"/>
              </w:rPr>
              <w:t>Nanjing</w:t>
            </w:r>
            <w:r>
              <w:rPr>
                <w:spacing w:val="11"/>
                <w:sz w:val="25"/>
              </w:rPr>
              <w:t> </w:t>
            </w:r>
            <w:r>
              <w:rPr>
                <w:sz w:val="25"/>
              </w:rPr>
              <w:t>University,</w:t>
            </w:r>
            <w:r>
              <w:rPr>
                <w:spacing w:val="11"/>
                <w:sz w:val="25"/>
              </w:rPr>
              <w:t> </w:t>
            </w:r>
            <w:r>
              <w:rPr>
                <w:sz w:val="25"/>
              </w:rPr>
              <w:t>People’s</w:t>
            </w:r>
            <w:r>
              <w:rPr>
                <w:spacing w:val="11"/>
                <w:sz w:val="25"/>
              </w:rPr>
              <w:t> </w:t>
            </w:r>
            <w:r>
              <w:rPr>
                <w:sz w:val="25"/>
              </w:rPr>
              <w:t>Republic</w:t>
            </w:r>
            <w:r>
              <w:rPr>
                <w:spacing w:val="11"/>
                <w:sz w:val="25"/>
              </w:rPr>
              <w:t> </w:t>
            </w:r>
            <w:r>
              <w:rPr>
                <w:sz w:val="25"/>
              </w:rPr>
              <w:t>of</w:t>
            </w:r>
            <w:r>
              <w:rPr>
                <w:spacing w:val="11"/>
                <w:sz w:val="25"/>
              </w:rPr>
              <w:t> </w:t>
            </w:r>
            <w:r>
              <w:rPr>
                <w:spacing w:val="-2"/>
                <w:sz w:val="25"/>
              </w:rPr>
              <w:t>China</w:t>
            </w:r>
          </w:p>
        </w:tc>
      </w:tr>
      <w:tr>
        <w:trPr>
          <w:trHeight w:val="288" w:hRule="atLeast"/>
        </w:trPr>
        <w:tc>
          <w:tcPr>
            <w:tcW w:w="834" w:type="dxa"/>
          </w:tcPr>
          <w:p>
            <w:pPr>
              <w:pStyle w:val="TableParagraph"/>
              <w:rPr>
                <w:sz w:val="25"/>
              </w:rPr>
            </w:pPr>
            <w:r>
              <w:rPr>
                <w:spacing w:val="-4"/>
                <w:sz w:val="25"/>
              </w:rPr>
              <w:t>1985</w:t>
            </w:r>
          </w:p>
        </w:tc>
        <w:tc>
          <w:tcPr>
            <w:tcW w:w="8461" w:type="dxa"/>
          </w:tcPr>
          <w:p>
            <w:pPr>
              <w:pStyle w:val="TableParagraph"/>
              <w:ind w:left="272"/>
              <w:rPr>
                <w:sz w:val="25"/>
              </w:rPr>
            </w:pPr>
            <w:r>
              <w:rPr>
                <w:i/>
                <w:sz w:val="25"/>
              </w:rPr>
              <w:t>Abitur</w:t>
            </w:r>
            <w:r>
              <w:rPr>
                <w:sz w:val="25"/>
              </w:rPr>
              <w:t>,</w:t>
            </w:r>
            <w:r>
              <w:rPr>
                <w:spacing w:val="19"/>
                <w:sz w:val="25"/>
              </w:rPr>
              <w:t> </w:t>
            </w:r>
            <w:r>
              <w:rPr>
                <w:sz w:val="25"/>
              </w:rPr>
              <w:t>Gymnasium</w:t>
            </w:r>
            <w:r>
              <w:rPr>
                <w:spacing w:val="20"/>
                <w:sz w:val="25"/>
              </w:rPr>
              <w:t> </w:t>
            </w:r>
            <w:r>
              <w:rPr>
                <w:sz w:val="25"/>
              </w:rPr>
              <w:t>Dormagen,</w:t>
            </w:r>
            <w:r>
              <w:rPr>
                <w:spacing w:val="19"/>
                <w:sz w:val="25"/>
              </w:rPr>
              <w:t> </w:t>
            </w:r>
            <w:r>
              <w:rPr>
                <w:spacing w:val="-2"/>
                <w:sz w:val="25"/>
              </w:rPr>
              <w:t>Germany</w:t>
            </w:r>
          </w:p>
        </w:tc>
      </w:tr>
      <w:tr>
        <w:trPr>
          <w:trHeight w:val="272" w:hRule="atLeast"/>
        </w:trPr>
        <w:tc>
          <w:tcPr>
            <w:tcW w:w="834" w:type="dxa"/>
          </w:tcPr>
          <w:p>
            <w:pPr>
              <w:pStyle w:val="TableParagraph"/>
              <w:spacing w:line="252" w:lineRule="exact"/>
              <w:rPr>
                <w:sz w:val="25"/>
              </w:rPr>
            </w:pPr>
            <w:r>
              <w:rPr>
                <w:spacing w:val="-4"/>
                <w:sz w:val="25"/>
              </w:rPr>
              <w:t>1983</w:t>
            </w:r>
          </w:p>
        </w:tc>
        <w:tc>
          <w:tcPr>
            <w:tcW w:w="8461" w:type="dxa"/>
          </w:tcPr>
          <w:p>
            <w:pPr>
              <w:pStyle w:val="TableParagraph"/>
              <w:spacing w:line="252" w:lineRule="exact"/>
              <w:ind w:left="272"/>
              <w:rPr>
                <w:sz w:val="25"/>
              </w:rPr>
            </w:pPr>
            <w:r>
              <w:rPr>
                <w:sz w:val="25"/>
              </w:rPr>
              <w:t>Phillips</w:t>
            </w:r>
            <w:r>
              <w:rPr>
                <w:spacing w:val="8"/>
                <w:sz w:val="25"/>
              </w:rPr>
              <w:t> </w:t>
            </w:r>
            <w:r>
              <w:rPr>
                <w:sz w:val="25"/>
              </w:rPr>
              <w:t>Academy,</w:t>
            </w:r>
            <w:r>
              <w:rPr>
                <w:spacing w:val="8"/>
                <w:sz w:val="25"/>
              </w:rPr>
              <w:t> </w:t>
            </w:r>
            <w:r>
              <w:rPr>
                <w:sz w:val="25"/>
              </w:rPr>
              <w:t>Andover,</w:t>
            </w:r>
            <w:r>
              <w:rPr>
                <w:spacing w:val="8"/>
                <w:sz w:val="25"/>
              </w:rPr>
              <w:t> </w:t>
            </w:r>
            <w:r>
              <w:rPr>
                <w:spacing w:val="-5"/>
                <w:sz w:val="25"/>
              </w:rPr>
              <w:t>MA</w:t>
            </w:r>
          </w:p>
        </w:tc>
      </w:tr>
    </w:tbl>
    <w:p>
      <w:pPr>
        <w:spacing w:before="288"/>
        <w:ind w:left="127" w:right="0" w:firstLine="0"/>
        <w:jc w:val="left"/>
        <w:rPr>
          <w:b/>
          <w:sz w:val="38"/>
        </w:rPr>
      </w:pPr>
      <w:r>
        <w:rPr>
          <w:b/>
          <w:spacing w:val="-2"/>
          <w:sz w:val="38"/>
        </w:rPr>
        <w:t>Dissertation</w:t>
      </w:r>
    </w:p>
    <w:p>
      <w:pPr>
        <w:tabs>
          <w:tab w:pos="1183" w:val="left" w:leader="none"/>
        </w:tabs>
        <w:spacing w:before="4"/>
        <w:ind w:left="127" w:right="0" w:firstLine="0"/>
        <w:jc w:val="left"/>
        <w:rPr>
          <w:i/>
          <w:sz w:val="25"/>
        </w:rPr>
      </w:pPr>
      <w:r>
        <w:rPr>
          <w:spacing w:val="-4"/>
          <w:sz w:val="25"/>
        </w:rPr>
        <w:t>1994</w:t>
      </w:r>
      <w:r>
        <w:rPr>
          <w:sz w:val="25"/>
        </w:rPr>
        <w:tab/>
      </w:r>
      <w:r>
        <w:rPr>
          <w:i/>
          <w:sz w:val="25"/>
        </w:rPr>
        <w:t>Endogenous</w:t>
      </w:r>
      <w:r>
        <w:rPr>
          <w:i/>
          <w:spacing w:val="11"/>
          <w:sz w:val="25"/>
        </w:rPr>
        <w:t> </w:t>
      </w:r>
      <w:r>
        <w:rPr>
          <w:i/>
          <w:sz w:val="25"/>
        </w:rPr>
        <w:t>Human</w:t>
      </w:r>
      <w:r>
        <w:rPr>
          <w:i/>
          <w:spacing w:val="12"/>
          <w:sz w:val="25"/>
        </w:rPr>
        <w:t> </w:t>
      </w:r>
      <w:r>
        <w:rPr>
          <w:i/>
          <w:sz w:val="25"/>
        </w:rPr>
        <w:t>Capital</w:t>
      </w:r>
      <w:r>
        <w:rPr>
          <w:i/>
          <w:spacing w:val="11"/>
          <w:sz w:val="25"/>
        </w:rPr>
        <w:t> </w:t>
      </w:r>
      <w:r>
        <w:rPr>
          <w:i/>
          <w:sz w:val="25"/>
        </w:rPr>
        <w:t>and</w:t>
      </w:r>
      <w:r>
        <w:rPr>
          <w:i/>
          <w:spacing w:val="12"/>
          <w:sz w:val="25"/>
        </w:rPr>
        <w:t> </w:t>
      </w:r>
      <w:r>
        <w:rPr>
          <w:i/>
          <w:sz w:val="25"/>
        </w:rPr>
        <w:t>Technological</w:t>
      </w:r>
      <w:r>
        <w:rPr>
          <w:i/>
          <w:spacing w:val="12"/>
          <w:sz w:val="25"/>
        </w:rPr>
        <w:t> </w:t>
      </w:r>
      <w:r>
        <w:rPr>
          <w:i/>
          <w:sz w:val="25"/>
        </w:rPr>
        <w:t>Change</w:t>
      </w:r>
      <w:r>
        <w:rPr>
          <w:i/>
          <w:spacing w:val="11"/>
          <w:sz w:val="25"/>
        </w:rPr>
        <w:t> </w:t>
      </w:r>
      <w:r>
        <w:rPr>
          <w:i/>
          <w:sz w:val="25"/>
        </w:rPr>
        <w:t>in</w:t>
      </w:r>
      <w:r>
        <w:rPr>
          <w:i/>
          <w:spacing w:val="12"/>
          <w:sz w:val="25"/>
        </w:rPr>
        <w:t> </w:t>
      </w:r>
      <w:r>
        <w:rPr>
          <w:i/>
          <w:sz w:val="25"/>
        </w:rPr>
        <w:t>Closed</w:t>
      </w:r>
      <w:r>
        <w:rPr>
          <w:i/>
          <w:spacing w:val="11"/>
          <w:sz w:val="25"/>
        </w:rPr>
        <w:t> </w:t>
      </w:r>
      <w:r>
        <w:rPr>
          <w:i/>
          <w:sz w:val="25"/>
        </w:rPr>
        <w:t>and</w:t>
      </w:r>
      <w:r>
        <w:rPr>
          <w:i/>
          <w:spacing w:val="12"/>
          <w:sz w:val="25"/>
        </w:rPr>
        <w:t> </w:t>
      </w:r>
      <w:r>
        <w:rPr>
          <w:i/>
          <w:sz w:val="25"/>
        </w:rPr>
        <w:t>Open</w:t>
      </w:r>
      <w:r>
        <w:rPr>
          <w:i/>
          <w:spacing w:val="12"/>
          <w:sz w:val="25"/>
        </w:rPr>
        <w:t> </w:t>
      </w:r>
      <w:r>
        <w:rPr>
          <w:i/>
          <w:spacing w:val="-2"/>
          <w:sz w:val="25"/>
        </w:rPr>
        <w:t>Economies.</w:t>
      </w:r>
    </w:p>
    <w:p>
      <w:pPr>
        <w:pStyle w:val="BodyText"/>
        <w:ind w:left="1184"/>
      </w:pPr>
      <w:r>
        <w:rPr/>
        <w:t>Committee:</w:t>
      </w:r>
      <w:r>
        <w:rPr>
          <w:spacing w:val="8"/>
        </w:rPr>
        <w:t> </w:t>
      </w:r>
      <w:r>
        <w:rPr/>
        <w:t>R.</w:t>
      </w:r>
      <w:r>
        <w:rPr>
          <w:spacing w:val="9"/>
        </w:rPr>
        <w:t> </w:t>
      </w:r>
      <w:r>
        <w:rPr/>
        <w:t>Mundell</w:t>
      </w:r>
      <w:r>
        <w:rPr>
          <w:spacing w:val="8"/>
        </w:rPr>
        <w:t> </w:t>
      </w:r>
      <w:r>
        <w:rPr/>
        <w:t>(Chair),</w:t>
      </w:r>
      <w:r>
        <w:rPr>
          <w:spacing w:val="9"/>
        </w:rPr>
        <w:t> </w:t>
      </w:r>
      <w:r>
        <w:rPr/>
        <w:t>R.</w:t>
      </w:r>
      <w:r>
        <w:rPr>
          <w:spacing w:val="8"/>
        </w:rPr>
        <w:t> </w:t>
      </w:r>
      <w:r>
        <w:rPr/>
        <w:t>Findlay,</w:t>
      </w:r>
      <w:r>
        <w:rPr>
          <w:spacing w:val="9"/>
        </w:rPr>
        <w:t> </w:t>
      </w:r>
      <w:r>
        <w:rPr/>
        <w:t>D.</w:t>
      </w:r>
      <w:r>
        <w:rPr>
          <w:spacing w:val="8"/>
        </w:rPr>
        <w:t> </w:t>
      </w:r>
      <w:r>
        <w:rPr/>
        <w:t>Foley,</w:t>
      </w:r>
      <w:r>
        <w:rPr>
          <w:spacing w:val="9"/>
        </w:rPr>
        <w:t> </w:t>
      </w:r>
      <w:r>
        <w:rPr/>
        <w:t>R.</w:t>
      </w:r>
      <w:r>
        <w:rPr>
          <w:spacing w:val="8"/>
        </w:rPr>
        <w:t> </w:t>
      </w:r>
      <w:r>
        <w:rPr/>
        <w:t>Clarida,</w:t>
      </w:r>
      <w:r>
        <w:rPr>
          <w:spacing w:val="9"/>
        </w:rPr>
        <w:t> </w:t>
      </w:r>
      <w:r>
        <w:rPr/>
        <w:t>A.</w:t>
      </w:r>
      <w:r>
        <w:rPr>
          <w:spacing w:val="8"/>
        </w:rPr>
        <w:t> </w:t>
      </w:r>
      <w:r>
        <w:rPr>
          <w:spacing w:val="-2"/>
        </w:rPr>
        <w:t>Burgstaller</w:t>
      </w:r>
    </w:p>
    <w:p>
      <w:pPr>
        <w:pStyle w:val="BodyText"/>
        <w:spacing w:before="7"/>
      </w:pPr>
    </w:p>
    <w:p>
      <w:pPr>
        <w:pStyle w:val="Heading1"/>
        <w:spacing w:before="1" w:after="46"/>
      </w:pPr>
      <w:r>
        <w:rPr/>
        <w:t>Honors/Awards</w:t>
      </w:r>
      <w:r>
        <w:rPr>
          <w:spacing w:val="-3"/>
        </w:rPr>
        <w:t> </w:t>
      </w:r>
      <w:r>
        <w:rPr/>
        <w:t>/</w:t>
      </w:r>
      <w:r>
        <w:rPr>
          <w:spacing w:val="-4"/>
        </w:rPr>
        <w:t> </w:t>
      </w:r>
      <w:r>
        <w:rPr>
          <w:spacing w:val="-2"/>
        </w:rPr>
        <w:t>Grants</w:t>
      </w:r>
    </w:p>
    <w:tbl>
      <w:tblPr>
        <w:tblW w:w="0" w:type="auto"/>
        <w:jc w:val="lef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
        <w:gridCol w:w="9202"/>
      </w:tblGrid>
      <w:tr>
        <w:trPr>
          <w:trHeight w:val="272" w:hRule="atLeast"/>
        </w:trPr>
        <w:tc>
          <w:tcPr>
            <w:tcW w:w="1005" w:type="dxa"/>
          </w:tcPr>
          <w:p>
            <w:pPr>
              <w:pStyle w:val="TableParagraph"/>
              <w:spacing w:line="246" w:lineRule="exact"/>
              <w:rPr>
                <w:sz w:val="25"/>
              </w:rPr>
            </w:pPr>
            <w:r>
              <w:rPr>
                <w:spacing w:val="-4"/>
                <w:sz w:val="25"/>
              </w:rPr>
              <w:t>2013</w:t>
            </w:r>
          </w:p>
        </w:tc>
        <w:tc>
          <w:tcPr>
            <w:tcW w:w="9202" w:type="dxa"/>
          </w:tcPr>
          <w:p>
            <w:pPr>
              <w:pStyle w:val="TableParagraph"/>
              <w:spacing w:line="246" w:lineRule="exact"/>
              <w:ind w:left="100"/>
              <w:rPr>
                <w:sz w:val="25"/>
              </w:rPr>
            </w:pPr>
            <w:r>
              <w:rPr>
                <w:sz w:val="25"/>
              </w:rPr>
              <w:t>Research</w:t>
            </w:r>
            <w:r>
              <w:rPr>
                <w:spacing w:val="10"/>
                <w:sz w:val="25"/>
              </w:rPr>
              <w:t> </w:t>
            </w:r>
            <w:r>
              <w:rPr>
                <w:sz w:val="25"/>
              </w:rPr>
              <w:t>Grant</w:t>
            </w:r>
            <w:r>
              <w:rPr>
                <w:spacing w:val="11"/>
                <w:sz w:val="25"/>
              </w:rPr>
              <w:t> </w:t>
            </w:r>
            <w:r>
              <w:rPr>
                <w:sz w:val="25"/>
              </w:rPr>
              <w:t>“</w:t>
            </w:r>
            <w:r>
              <w:rPr>
                <w:i/>
                <w:sz w:val="25"/>
              </w:rPr>
              <w:t>Trade</w:t>
            </w:r>
            <w:r>
              <w:rPr>
                <w:i/>
                <w:spacing w:val="11"/>
                <w:sz w:val="25"/>
              </w:rPr>
              <w:t> </w:t>
            </w:r>
            <w:r>
              <w:rPr>
                <w:i/>
                <w:sz w:val="25"/>
              </w:rPr>
              <w:t>Diversity</w:t>
            </w:r>
            <w:r>
              <w:rPr>
                <w:i/>
                <w:spacing w:val="11"/>
                <w:sz w:val="25"/>
              </w:rPr>
              <w:t> </w:t>
            </w:r>
            <w:r>
              <w:rPr>
                <w:i/>
                <w:sz w:val="25"/>
              </w:rPr>
              <w:t>and</w:t>
            </w:r>
            <w:r>
              <w:rPr>
                <w:i/>
                <w:spacing w:val="11"/>
                <w:sz w:val="25"/>
              </w:rPr>
              <w:t> </w:t>
            </w:r>
            <w:r>
              <w:rPr>
                <w:i/>
                <w:sz w:val="25"/>
              </w:rPr>
              <w:t>Growth</w:t>
            </w:r>
            <w:r>
              <w:rPr>
                <w:sz w:val="25"/>
              </w:rPr>
              <w:t>”</w:t>
            </w:r>
            <w:r>
              <w:rPr>
                <w:spacing w:val="11"/>
                <w:sz w:val="25"/>
              </w:rPr>
              <w:t> </w:t>
            </w:r>
            <w:r>
              <w:rPr>
                <w:sz w:val="25"/>
              </w:rPr>
              <w:t>U.K.</w:t>
            </w:r>
            <w:r>
              <w:rPr>
                <w:spacing w:val="11"/>
                <w:sz w:val="25"/>
              </w:rPr>
              <w:t> </w:t>
            </w:r>
            <w:r>
              <w:rPr>
                <w:sz w:val="25"/>
              </w:rPr>
              <w:t>Dep't</w:t>
            </w:r>
            <w:r>
              <w:rPr>
                <w:spacing w:val="11"/>
                <w:sz w:val="25"/>
              </w:rPr>
              <w:t> </w:t>
            </w:r>
            <w:r>
              <w:rPr>
                <w:sz w:val="25"/>
              </w:rPr>
              <w:t>for</w:t>
            </w:r>
            <w:r>
              <w:rPr>
                <w:spacing w:val="11"/>
                <w:sz w:val="25"/>
              </w:rPr>
              <w:t> </w:t>
            </w:r>
            <w:r>
              <w:rPr>
                <w:sz w:val="25"/>
              </w:rPr>
              <w:t>Int'l</w:t>
            </w:r>
            <w:r>
              <w:rPr>
                <w:spacing w:val="11"/>
                <w:sz w:val="25"/>
              </w:rPr>
              <w:t> </w:t>
            </w:r>
            <w:r>
              <w:rPr>
                <w:sz w:val="25"/>
              </w:rPr>
              <w:t>Development</w:t>
            </w:r>
            <w:r>
              <w:rPr>
                <w:spacing w:val="11"/>
                <w:sz w:val="25"/>
              </w:rPr>
              <w:t> </w:t>
            </w:r>
            <w:r>
              <w:rPr>
                <w:spacing w:val="-2"/>
                <w:sz w:val="25"/>
              </w:rPr>
              <w:t>(DFID)</w:t>
            </w:r>
          </w:p>
        </w:tc>
      </w:tr>
      <w:tr>
        <w:trPr>
          <w:trHeight w:val="287" w:hRule="atLeast"/>
        </w:trPr>
        <w:tc>
          <w:tcPr>
            <w:tcW w:w="1005" w:type="dxa"/>
          </w:tcPr>
          <w:p>
            <w:pPr>
              <w:pStyle w:val="TableParagraph"/>
              <w:rPr>
                <w:sz w:val="25"/>
              </w:rPr>
            </w:pPr>
            <w:r>
              <w:rPr>
                <w:spacing w:val="-4"/>
                <w:sz w:val="25"/>
              </w:rPr>
              <w:t>2009</w:t>
            </w:r>
          </w:p>
        </w:tc>
        <w:tc>
          <w:tcPr>
            <w:tcW w:w="9202" w:type="dxa"/>
          </w:tcPr>
          <w:p>
            <w:pPr>
              <w:pStyle w:val="TableParagraph"/>
              <w:ind w:left="100"/>
              <w:rPr>
                <w:i/>
                <w:sz w:val="25"/>
              </w:rPr>
            </w:pPr>
            <w:r>
              <w:rPr>
                <w:sz w:val="25"/>
              </w:rPr>
              <w:t>European-Union-Center</w:t>
            </w:r>
            <w:r>
              <w:rPr>
                <w:spacing w:val="13"/>
                <w:sz w:val="25"/>
              </w:rPr>
              <w:t> </w:t>
            </w:r>
            <w:r>
              <w:rPr>
                <w:sz w:val="25"/>
              </w:rPr>
              <w:t>of</w:t>
            </w:r>
            <w:r>
              <w:rPr>
                <w:spacing w:val="13"/>
                <w:sz w:val="25"/>
              </w:rPr>
              <w:t> </w:t>
            </w:r>
            <w:r>
              <w:rPr>
                <w:sz w:val="25"/>
              </w:rPr>
              <w:t>Excellence</w:t>
            </w:r>
            <w:r>
              <w:rPr>
                <w:spacing w:val="13"/>
                <w:sz w:val="25"/>
              </w:rPr>
              <w:t> </w:t>
            </w:r>
            <w:r>
              <w:rPr>
                <w:sz w:val="25"/>
              </w:rPr>
              <w:t>Research</w:t>
            </w:r>
            <w:r>
              <w:rPr>
                <w:spacing w:val="13"/>
                <w:sz w:val="25"/>
              </w:rPr>
              <w:t> </w:t>
            </w:r>
            <w:r>
              <w:rPr>
                <w:sz w:val="25"/>
              </w:rPr>
              <w:t>Award</w:t>
            </w:r>
            <w:r>
              <w:rPr>
                <w:spacing w:val="14"/>
                <w:sz w:val="25"/>
              </w:rPr>
              <w:t> </w:t>
            </w:r>
            <w:r>
              <w:rPr>
                <w:sz w:val="25"/>
              </w:rPr>
              <w:t>“</w:t>
            </w:r>
            <w:r>
              <w:rPr>
                <w:i/>
                <w:sz w:val="25"/>
              </w:rPr>
              <w:t>European</w:t>
            </w:r>
            <w:r>
              <w:rPr>
                <w:i/>
                <w:spacing w:val="13"/>
                <w:sz w:val="25"/>
              </w:rPr>
              <w:t> </w:t>
            </w:r>
            <w:r>
              <w:rPr>
                <w:i/>
                <w:spacing w:val="-2"/>
                <w:sz w:val="25"/>
              </w:rPr>
              <w:t>Productivity</w:t>
            </w:r>
          </w:p>
        </w:tc>
      </w:tr>
      <w:tr>
        <w:trPr>
          <w:trHeight w:val="288" w:hRule="atLeast"/>
        </w:trPr>
        <w:tc>
          <w:tcPr>
            <w:tcW w:w="1005" w:type="dxa"/>
          </w:tcPr>
          <w:p>
            <w:pPr>
              <w:pStyle w:val="TableParagraph"/>
              <w:spacing w:line="240" w:lineRule="auto"/>
              <w:ind w:left="0"/>
              <w:rPr>
                <w:sz w:val="20"/>
              </w:rPr>
            </w:pPr>
          </w:p>
        </w:tc>
        <w:tc>
          <w:tcPr>
            <w:tcW w:w="9202" w:type="dxa"/>
          </w:tcPr>
          <w:p>
            <w:pPr>
              <w:pStyle w:val="TableParagraph"/>
              <w:ind w:left="100"/>
              <w:rPr>
                <w:sz w:val="25"/>
              </w:rPr>
            </w:pPr>
            <w:r>
              <w:rPr>
                <w:i/>
                <w:spacing w:val="-2"/>
                <w:sz w:val="25"/>
              </w:rPr>
              <w:t>Determinants</w:t>
            </w:r>
            <w:r>
              <w:rPr>
                <w:spacing w:val="-2"/>
                <w:sz w:val="25"/>
              </w:rPr>
              <w:t>”</w:t>
            </w:r>
          </w:p>
        </w:tc>
      </w:tr>
      <w:tr>
        <w:trPr>
          <w:trHeight w:val="287" w:hRule="atLeast"/>
        </w:trPr>
        <w:tc>
          <w:tcPr>
            <w:tcW w:w="1005" w:type="dxa"/>
          </w:tcPr>
          <w:p>
            <w:pPr>
              <w:pStyle w:val="TableParagraph"/>
              <w:rPr>
                <w:sz w:val="25"/>
              </w:rPr>
            </w:pPr>
            <w:r>
              <w:rPr>
                <w:spacing w:val="-4"/>
                <w:sz w:val="25"/>
              </w:rPr>
              <w:t>2006</w:t>
            </w:r>
          </w:p>
        </w:tc>
        <w:tc>
          <w:tcPr>
            <w:tcW w:w="9202" w:type="dxa"/>
          </w:tcPr>
          <w:p>
            <w:pPr>
              <w:pStyle w:val="TableParagraph"/>
              <w:ind w:left="100"/>
              <w:rPr>
                <w:sz w:val="25"/>
              </w:rPr>
            </w:pPr>
            <w:r>
              <w:rPr>
                <w:sz w:val="25"/>
              </w:rPr>
              <w:t>German</w:t>
            </w:r>
            <w:r>
              <w:rPr>
                <w:spacing w:val="16"/>
                <w:sz w:val="25"/>
              </w:rPr>
              <w:t> </w:t>
            </w:r>
            <w:r>
              <w:rPr>
                <w:sz w:val="25"/>
              </w:rPr>
              <w:t>Research</w:t>
            </w:r>
            <w:r>
              <w:rPr>
                <w:spacing w:val="16"/>
                <w:sz w:val="25"/>
              </w:rPr>
              <w:t> </w:t>
            </w:r>
            <w:r>
              <w:rPr>
                <w:sz w:val="25"/>
              </w:rPr>
              <w:t>Foundation</w:t>
            </w:r>
            <w:r>
              <w:rPr>
                <w:spacing w:val="16"/>
                <w:sz w:val="25"/>
              </w:rPr>
              <w:t> </w:t>
            </w:r>
            <w:r>
              <w:rPr>
                <w:sz w:val="25"/>
              </w:rPr>
              <w:t>Research</w:t>
            </w:r>
            <w:r>
              <w:rPr>
                <w:spacing w:val="16"/>
                <w:sz w:val="25"/>
              </w:rPr>
              <w:t> </w:t>
            </w:r>
            <w:r>
              <w:rPr>
                <w:sz w:val="25"/>
              </w:rPr>
              <w:t>Grant</w:t>
            </w:r>
            <w:r>
              <w:rPr>
                <w:spacing w:val="16"/>
                <w:sz w:val="25"/>
              </w:rPr>
              <w:t> </w:t>
            </w:r>
            <w:r>
              <w:rPr>
                <w:sz w:val="25"/>
              </w:rPr>
              <w:t>“</w:t>
            </w:r>
            <w:r>
              <w:rPr>
                <w:i/>
                <w:sz w:val="25"/>
              </w:rPr>
              <w:t>Determinants</w:t>
            </w:r>
            <w:r>
              <w:rPr>
                <w:i/>
                <w:spacing w:val="16"/>
                <w:sz w:val="25"/>
              </w:rPr>
              <w:t> </w:t>
            </w:r>
            <w:r>
              <w:rPr>
                <w:i/>
                <w:sz w:val="25"/>
              </w:rPr>
              <w:t>of</w:t>
            </w:r>
            <w:r>
              <w:rPr>
                <w:i/>
                <w:spacing w:val="16"/>
                <w:sz w:val="25"/>
              </w:rPr>
              <w:t> </w:t>
            </w:r>
            <w:r>
              <w:rPr>
                <w:i/>
                <w:sz w:val="25"/>
              </w:rPr>
              <w:t>German</w:t>
            </w:r>
            <w:r>
              <w:rPr>
                <w:i/>
                <w:spacing w:val="16"/>
                <w:sz w:val="25"/>
              </w:rPr>
              <w:t> </w:t>
            </w:r>
            <w:r>
              <w:rPr>
                <w:i/>
                <w:spacing w:val="-2"/>
                <w:sz w:val="25"/>
              </w:rPr>
              <w:t>Productivity</w:t>
            </w:r>
            <w:r>
              <w:rPr>
                <w:spacing w:val="-2"/>
                <w:sz w:val="25"/>
              </w:rPr>
              <w:t>”</w:t>
            </w:r>
          </w:p>
        </w:tc>
      </w:tr>
      <w:tr>
        <w:trPr>
          <w:trHeight w:val="288" w:hRule="atLeast"/>
        </w:trPr>
        <w:tc>
          <w:tcPr>
            <w:tcW w:w="1005" w:type="dxa"/>
          </w:tcPr>
          <w:p>
            <w:pPr>
              <w:pStyle w:val="TableParagraph"/>
              <w:rPr>
                <w:sz w:val="25"/>
              </w:rPr>
            </w:pPr>
            <w:r>
              <w:rPr>
                <w:spacing w:val="-4"/>
                <w:sz w:val="25"/>
              </w:rPr>
              <w:t>2006</w:t>
            </w:r>
          </w:p>
        </w:tc>
        <w:tc>
          <w:tcPr>
            <w:tcW w:w="9202" w:type="dxa"/>
          </w:tcPr>
          <w:p>
            <w:pPr>
              <w:pStyle w:val="TableParagraph"/>
              <w:ind w:left="100"/>
              <w:rPr>
                <w:i/>
                <w:sz w:val="25"/>
              </w:rPr>
            </w:pPr>
            <w:r>
              <w:rPr>
                <w:sz w:val="25"/>
              </w:rPr>
              <w:t>Center</w:t>
            </w:r>
            <w:r>
              <w:rPr>
                <w:spacing w:val="11"/>
                <w:sz w:val="25"/>
              </w:rPr>
              <w:t> </w:t>
            </w:r>
            <w:r>
              <w:rPr>
                <w:sz w:val="25"/>
              </w:rPr>
              <w:t>for</w:t>
            </w:r>
            <w:r>
              <w:rPr>
                <w:spacing w:val="11"/>
                <w:sz w:val="25"/>
              </w:rPr>
              <w:t> </w:t>
            </w:r>
            <w:r>
              <w:rPr>
                <w:sz w:val="25"/>
              </w:rPr>
              <w:t>Statistics</w:t>
            </w:r>
            <w:r>
              <w:rPr>
                <w:spacing w:val="12"/>
                <w:sz w:val="25"/>
              </w:rPr>
              <w:t> </w:t>
            </w:r>
            <w:r>
              <w:rPr>
                <w:sz w:val="25"/>
              </w:rPr>
              <w:t>and</w:t>
            </w:r>
            <w:r>
              <w:rPr>
                <w:spacing w:val="11"/>
                <w:sz w:val="25"/>
              </w:rPr>
              <w:t> </w:t>
            </w:r>
            <w:r>
              <w:rPr>
                <w:sz w:val="25"/>
              </w:rPr>
              <w:t>the</w:t>
            </w:r>
            <w:r>
              <w:rPr>
                <w:spacing w:val="11"/>
                <w:sz w:val="25"/>
              </w:rPr>
              <w:t> </w:t>
            </w:r>
            <w:r>
              <w:rPr>
                <w:sz w:val="25"/>
              </w:rPr>
              <w:t>Social</w:t>
            </w:r>
            <w:r>
              <w:rPr>
                <w:spacing w:val="12"/>
                <w:sz w:val="25"/>
              </w:rPr>
              <w:t> </w:t>
            </w:r>
            <w:r>
              <w:rPr>
                <w:sz w:val="25"/>
              </w:rPr>
              <w:t>Science</w:t>
            </w:r>
            <w:r>
              <w:rPr>
                <w:spacing w:val="11"/>
                <w:sz w:val="25"/>
              </w:rPr>
              <w:t> </w:t>
            </w:r>
            <w:r>
              <w:rPr>
                <w:sz w:val="25"/>
              </w:rPr>
              <w:t>Grant</w:t>
            </w:r>
            <w:r>
              <w:rPr>
                <w:spacing w:val="11"/>
                <w:sz w:val="25"/>
              </w:rPr>
              <w:t> </w:t>
            </w:r>
            <w:r>
              <w:rPr>
                <w:sz w:val="25"/>
              </w:rPr>
              <w:t>“</w:t>
            </w:r>
            <w:r>
              <w:rPr>
                <w:i/>
                <w:sz w:val="25"/>
              </w:rPr>
              <w:t>Bayesian</w:t>
            </w:r>
            <w:r>
              <w:rPr>
                <w:i/>
                <w:spacing w:val="12"/>
                <w:sz w:val="25"/>
              </w:rPr>
              <w:t> </w:t>
            </w:r>
            <w:r>
              <w:rPr>
                <w:i/>
                <w:sz w:val="25"/>
              </w:rPr>
              <w:t>Model</w:t>
            </w:r>
            <w:r>
              <w:rPr>
                <w:i/>
                <w:spacing w:val="11"/>
                <w:sz w:val="25"/>
              </w:rPr>
              <w:t> </w:t>
            </w:r>
            <w:r>
              <w:rPr>
                <w:i/>
                <w:sz w:val="25"/>
              </w:rPr>
              <w:t>Averaging,</w:t>
            </w:r>
            <w:r>
              <w:rPr>
                <w:i/>
                <w:spacing w:val="11"/>
                <w:sz w:val="25"/>
              </w:rPr>
              <w:t> </w:t>
            </w:r>
            <w:r>
              <w:rPr>
                <w:i/>
                <w:sz w:val="25"/>
              </w:rPr>
              <w:t>Priors</w:t>
            </w:r>
            <w:r>
              <w:rPr>
                <w:i/>
                <w:spacing w:val="12"/>
                <w:sz w:val="25"/>
              </w:rPr>
              <w:t> </w:t>
            </w:r>
            <w:r>
              <w:rPr>
                <w:i/>
                <w:spacing w:val="-10"/>
                <w:sz w:val="25"/>
              </w:rPr>
              <w:t>&amp;</w:t>
            </w:r>
          </w:p>
        </w:tc>
      </w:tr>
      <w:tr>
        <w:trPr>
          <w:trHeight w:val="287" w:hRule="atLeast"/>
        </w:trPr>
        <w:tc>
          <w:tcPr>
            <w:tcW w:w="1005" w:type="dxa"/>
          </w:tcPr>
          <w:p>
            <w:pPr>
              <w:pStyle w:val="TableParagraph"/>
              <w:spacing w:line="240" w:lineRule="auto"/>
              <w:ind w:left="0"/>
              <w:rPr>
                <w:sz w:val="20"/>
              </w:rPr>
            </w:pPr>
          </w:p>
        </w:tc>
        <w:tc>
          <w:tcPr>
            <w:tcW w:w="9202" w:type="dxa"/>
          </w:tcPr>
          <w:p>
            <w:pPr>
              <w:pStyle w:val="TableParagraph"/>
              <w:ind w:left="100"/>
              <w:rPr>
                <w:sz w:val="25"/>
              </w:rPr>
            </w:pPr>
            <w:r>
              <w:rPr>
                <w:i/>
                <w:spacing w:val="-2"/>
                <w:sz w:val="25"/>
              </w:rPr>
              <w:t>Growth</w:t>
            </w:r>
            <w:r>
              <w:rPr>
                <w:spacing w:val="-2"/>
                <w:sz w:val="25"/>
              </w:rPr>
              <w:t>”</w:t>
            </w:r>
          </w:p>
        </w:tc>
      </w:tr>
      <w:tr>
        <w:trPr>
          <w:trHeight w:val="287" w:hRule="atLeast"/>
        </w:trPr>
        <w:tc>
          <w:tcPr>
            <w:tcW w:w="1005" w:type="dxa"/>
          </w:tcPr>
          <w:p>
            <w:pPr>
              <w:pStyle w:val="TableParagraph"/>
              <w:rPr>
                <w:sz w:val="25"/>
              </w:rPr>
            </w:pPr>
            <w:r>
              <w:rPr>
                <w:spacing w:val="-4"/>
                <w:sz w:val="25"/>
              </w:rPr>
              <w:t>2004</w:t>
            </w:r>
          </w:p>
        </w:tc>
        <w:tc>
          <w:tcPr>
            <w:tcW w:w="9202" w:type="dxa"/>
          </w:tcPr>
          <w:p>
            <w:pPr>
              <w:pStyle w:val="TableParagraph"/>
              <w:ind w:left="100"/>
              <w:rPr>
                <w:i/>
                <w:sz w:val="25"/>
              </w:rPr>
            </w:pPr>
            <w:r>
              <w:rPr>
                <w:sz w:val="25"/>
              </w:rPr>
              <w:t>German</w:t>
            </w:r>
            <w:r>
              <w:rPr>
                <w:spacing w:val="13"/>
                <w:sz w:val="25"/>
              </w:rPr>
              <w:t> </w:t>
            </w:r>
            <w:r>
              <w:rPr>
                <w:sz w:val="25"/>
              </w:rPr>
              <w:t>Research</w:t>
            </w:r>
            <w:r>
              <w:rPr>
                <w:spacing w:val="13"/>
                <w:sz w:val="25"/>
              </w:rPr>
              <w:t> </w:t>
            </w:r>
            <w:r>
              <w:rPr>
                <w:sz w:val="25"/>
              </w:rPr>
              <w:t>Foundation</w:t>
            </w:r>
            <w:r>
              <w:rPr>
                <w:spacing w:val="13"/>
                <w:sz w:val="25"/>
              </w:rPr>
              <w:t> </w:t>
            </w:r>
            <w:r>
              <w:rPr>
                <w:sz w:val="25"/>
              </w:rPr>
              <w:t>(DFG)</w:t>
            </w:r>
            <w:r>
              <w:rPr>
                <w:spacing w:val="13"/>
                <w:sz w:val="25"/>
              </w:rPr>
              <w:t> </w:t>
            </w:r>
            <w:r>
              <w:rPr>
                <w:i/>
                <w:sz w:val="25"/>
              </w:rPr>
              <w:t>Mercator</w:t>
            </w:r>
            <w:r>
              <w:rPr>
                <w:i/>
                <w:spacing w:val="13"/>
                <w:sz w:val="25"/>
              </w:rPr>
              <w:t> </w:t>
            </w:r>
            <w:r>
              <w:rPr>
                <w:i/>
                <w:sz w:val="25"/>
              </w:rPr>
              <w:t>Research</w:t>
            </w:r>
            <w:r>
              <w:rPr>
                <w:i/>
                <w:spacing w:val="13"/>
                <w:sz w:val="25"/>
              </w:rPr>
              <w:t> </w:t>
            </w:r>
            <w:r>
              <w:rPr>
                <w:i/>
                <w:spacing w:val="-2"/>
                <w:sz w:val="25"/>
              </w:rPr>
              <w:t>Professorship</w:t>
            </w:r>
          </w:p>
        </w:tc>
      </w:tr>
      <w:tr>
        <w:trPr>
          <w:trHeight w:val="288" w:hRule="atLeast"/>
        </w:trPr>
        <w:tc>
          <w:tcPr>
            <w:tcW w:w="1005" w:type="dxa"/>
          </w:tcPr>
          <w:p>
            <w:pPr>
              <w:pStyle w:val="TableParagraph"/>
              <w:rPr>
                <w:sz w:val="25"/>
              </w:rPr>
            </w:pPr>
            <w:r>
              <w:rPr>
                <w:spacing w:val="-4"/>
                <w:sz w:val="25"/>
              </w:rPr>
              <w:t>2003</w:t>
            </w:r>
          </w:p>
        </w:tc>
        <w:tc>
          <w:tcPr>
            <w:tcW w:w="9202" w:type="dxa"/>
          </w:tcPr>
          <w:p>
            <w:pPr>
              <w:pStyle w:val="TableParagraph"/>
              <w:ind w:left="100"/>
              <w:rPr>
                <w:sz w:val="25"/>
              </w:rPr>
            </w:pPr>
            <w:r>
              <w:rPr>
                <w:sz w:val="25"/>
              </w:rPr>
              <w:t>Royalty</w:t>
            </w:r>
            <w:r>
              <w:rPr>
                <w:spacing w:val="14"/>
                <w:sz w:val="25"/>
              </w:rPr>
              <w:t> </w:t>
            </w:r>
            <w:r>
              <w:rPr>
                <w:sz w:val="25"/>
              </w:rPr>
              <w:t>Research</w:t>
            </w:r>
            <w:r>
              <w:rPr>
                <w:spacing w:val="15"/>
                <w:sz w:val="25"/>
              </w:rPr>
              <w:t> </w:t>
            </w:r>
            <w:r>
              <w:rPr>
                <w:sz w:val="25"/>
              </w:rPr>
              <w:t>Fund</w:t>
            </w:r>
            <w:r>
              <w:rPr>
                <w:spacing w:val="15"/>
                <w:sz w:val="25"/>
              </w:rPr>
              <w:t> </w:t>
            </w:r>
            <w:r>
              <w:rPr>
                <w:sz w:val="25"/>
              </w:rPr>
              <w:t>Grant</w:t>
            </w:r>
            <w:r>
              <w:rPr>
                <w:spacing w:val="14"/>
                <w:sz w:val="25"/>
              </w:rPr>
              <w:t> </w:t>
            </w:r>
            <w:r>
              <w:rPr>
                <w:sz w:val="25"/>
              </w:rPr>
              <w:t>“</w:t>
            </w:r>
            <w:r>
              <w:rPr>
                <w:i/>
                <w:sz w:val="25"/>
              </w:rPr>
              <w:t>Financial</w:t>
            </w:r>
            <w:r>
              <w:rPr>
                <w:i/>
                <w:spacing w:val="15"/>
                <w:sz w:val="25"/>
              </w:rPr>
              <w:t> </w:t>
            </w:r>
            <w:r>
              <w:rPr>
                <w:i/>
                <w:spacing w:val="-2"/>
                <w:sz w:val="25"/>
              </w:rPr>
              <w:t>Crises</w:t>
            </w:r>
            <w:r>
              <w:rPr>
                <w:spacing w:val="-2"/>
                <w:sz w:val="25"/>
              </w:rPr>
              <w:t>”</w:t>
            </w:r>
          </w:p>
        </w:tc>
      </w:tr>
      <w:tr>
        <w:trPr>
          <w:trHeight w:val="287" w:hRule="atLeast"/>
        </w:trPr>
        <w:tc>
          <w:tcPr>
            <w:tcW w:w="1005" w:type="dxa"/>
          </w:tcPr>
          <w:p>
            <w:pPr>
              <w:pStyle w:val="TableParagraph"/>
              <w:rPr>
                <w:sz w:val="25"/>
              </w:rPr>
            </w:pPr>
            <w:r>
              <w:rPr>
                <w:spacing w:val="-4"/>
                <w:sz w:val="25"/>
              </w:rPr>
              <w:t>2003</w:t>
            </w:r>
          </w:p>
        </w:tc>
        <w:tc>
          <w:tcPr>
            <w:tcW w:w="9202" w:type="dxa"/>
          </w:tcPr>
          <w:p>
            <w:pPr>
              <w:pStyle w:val="TableParagraph"/>
              <w:ind w:left="100"/>
              <w:rPr>
                <w:sz w:val="25"/>
              </w:rPr>
            </w:pPr>
            <w:r>
              <w:rPr>
                <w:sz w:val="25"/>
              </w:rPr>
              <w:t>Golden</w:t>
            </w:r>
            <w:r>
              <w:rPr>
                <w:spacing w:val="13"/>
                <w:sz w:val="25"/>
              </w:rPr>
              <w:t> </w:t>
            </w:r>
            <w:r>
              <w:rPr>
                <w:sz w:val="25"/>
              </w:rPr>
              <w:t>Key</w:t>
            </w:r>
            <w:r>
              <w:rPr>
                <w:spacing w:val="14"/>
                <w:sz w:val="25"/>
              </w:rPr>
              <w:t> </w:t>
            </w:r>
            <w:r>
              <w:rPr>
                <w:sz w:val="25"/>
              </w:rPr>
              <w:t>International</w:t>
            </w:r>
            <w:r>
              <w:rPr>
                <w:spacing w:val="13"/>
                <w:sz w:val="25"/>
              </w:rPr>
              <w:t> </w:t>
            </w:r>
            <w:r>
              <w:rPr>
                <w:sz w:val="25"/>
              </w:rPr>
              <w:t>Honor</w:t>
            </w:r>
            <w:r>
              <w:rPr>
                <w:spacing w:val="14"/>
                <w:sz w:val="25"/>
              </w:rPr>
              <w:t> </w:t>
            </w:r>
            <w:r>
              <w:rPr>
                <w:sz w:val="25"/>
              </w:rPr>
              <w:t>Society</w:t>
            </w:r>
            <w:r>
              <w:rPr>
                <w:spacing w:val="13"/>
                <w:sz w:val="25"/>
              </w:rPr>
              <w:t> </w:t>
            </w:r>
            <w:r>
              <w:rPr>
                <w:sz w:val="25"/>
              </w:rPr>
              <w:t>“</w:t>
            </w:r>
            <w:r>
              <w:rPr>
                <w:i/>
                <w:sz w:val="25"/>
              </w:rPr>
              <w:t>Outstanding</w:t>
            </w:r>
            <w:r>
              <w:rPr>
                <w:i/>
                <w:spacing w:val="14"/>
                <w:sz w:val="25"/>
              </w:rPr>
              <w:t> </w:t>
            </w:r>
            <w:r>
              <w:rPr>
                <w:i/>
                <w:sz w:val="25"/>
              </w:rPr>
              <w:t>Teaching</w:t>
            </w:r>
            <w:r>
              <w:rPr>
                <w:i/>
                <w:spacing w:val="13"/>
                <w:sz w:val="25"/>
              </w:rPr>
              <w:t> </w:t>
            </w:r>
            <w:r>
              <w:rPr>
                <w:i/>
                <w:spacing w:val="-2"/>
                <w:sz w:val="25"/>
              </w:rPr>
              <w:t>Award</w:t>
            </w:r>
            <w:r>
              <w:rPr>
                <w:spacing w:val="-2"/>
                <w:sz w:val="25"/>
              </w:rPr>
              <w:t>”</w:t>
            </w:r>
          </w:p>
        </w:tc>
      </w:tr>
      <w:tr>
        <w:trPr>
          <w:trHeight w:val="288" w:hRule="atLeast"/>
        </w:trPr>
        <w:tc>
          <w:tcPr>
            <w:tcW w:w="1005" w:type="dxa"/>
          </w:tcPr>
          <w:p>
            <w:pPr>
              <w:pStyle w:val="TableParagraph"/>
              <w:rPr>
                <w:sz w:val="25"/>
              </w:rPr>
            </w:pPr>
            <w:r>
              <w:rPr>
                <w:spacing w:val="-4"/>
                <w:sz w:val="25"/>
              </w:rPr>
              <w:t>2003</w:t>
            </w:r>
          </w:p>
        </w:tc>
        <w:tc>
          <w:tcPr>
            <w:tcW w:w="9202" w:type="dxa"/>
          </w:tcPr>
          <w:p>
            <w:pPr>
              <w:pStyle w:val="TableParagraph"/>
              <w:ind w:left="100"/>
              <w:rPr>
                <w:i/>
                <w:sz w:val="25"/>
              </w:rPr>
            </w:pPr>
            <w:r>
              <w:rPr>
                <w:sz w:val="25"/>
              </w:rPr>
              <w:t>Golden</w:t>
            </w:r>
            <w:r>
              <w:rPr>
                <w:spacing w:val="15"/>
                <w:sz w:val="25"/>
              </w:rPr>
              <w:t> </w:t>
            </w:r>
            <w:r>
              <w:rPr>
                <w:sz w:val="25"/>
              </w:rPr>
              <w:t>Key</w:t>
            </w:r>
            <w:r>
              <w:rPr>
                <w:spacing w:val="15"/>
                <w:sz w:val="25"/>
              </w:rPr>
              <w:t> </w:t>
            </w:r>
            <w:r>
              <w:rPr>
                <w:sz w:val="25"/>
              </w:rPr>
              <w:t>International</w:t>
            </w:r>
            <w:r>
              <w:rPr>
                <w:spacing w:val="15"/>
                <w:sz w:val="25"/>
              </w:rPr>
              <w:t> </w:t>
            </w:r>
            <w:r>
              <w:rPr>
                <w:sz w:val="25"/>
              </w:rPr>
              <w:t>Honor</w:t>
            </w:r>
            <w:r>
              <w:rPr>
                <w:spacing w:val="15"/>
                <w:sz w:val="25"/>
              </w:rPr>
              <w:t> </w:t>
            </w:r>
            <w:r>
              <w:rPr>
                <w:sz w:val="25"/>
              </w:rPr>
              <w:t>Society</w:t>
            </w:r>
            <w:r>
              <w:rPr>
                <w:spacing w:val="15"/>
                <w:sz w:val="25"/>
              </w:rPr>
              <w:t> </w:t>
            </w:r>
            <w:r>
              <w:rPr>
                <w:i/>
                <w:sz w:val="25"/>
              </w:rPr>
              <w:t>Honorary</w:t>
            </w:r>
            <w:r>
              <w:rPr>
                <w:i/>
                <w:spacing w:val="16"/>
                <w:sz w:val="25"/>
              </w:rPr>
              <w:t> </w:t>
            </w:r>
            <w:r>
              <w:rPr>
                <w:i/>
                <w:spacing w:val="-2"/>
                <w:sz w:val="25"/>
              </w:rPr>
              <w:t>Member</w:t>
            </w:r>
          </w:p>
        </w:tc>
      </w:tr>
      <w:tr>
        <w:trPr>
          <w:trHeight w:val="287" w:hRule="atLeast"/>
        </w:trPr>
        <w:tc>
          <w:tcPr>
            <w:tcW w:w="1005" w:type="dxa"/>
          </w:tcPr>
          <w:p>
            <w:pPr>
              <w:pStyle w:val="TableParagraph"/>
              <w:rPr>
                <w:sz w:val="25"/>
              </w:rPr>
            </w:pPr>
            <w:r>
              <w:rPr>
                <w:spacing w:val="-4"/>
                <w:sz w:val="25"/>
              </w:rPr>
              <w:t>2002</w:t>
            </w:r>
          </w:p>
        </w:tc>
        <w:tc>
          <w:tcPr>
            <w:tcW w:w="9202" w:type="dxa"/>
          </w:tcPr>
          <w:p>
            <w:pPr>
              <w:pStyle w:val="TableParagraph"/>
              <w:ind w:left="100"/>
              <w:rPr>
                <w:i/>
                <w:sz w:val="25"/>
              </w:rPr>
            </w:pPr>
            <w:r>
              <w:rPr>
                <w:sz w:val="25"/>
              </w:rPr>
              <w:t>University</w:t>
            </w:r>
            <w:r>
              <w:rPr>
                <w:spacing w:val="11"/>
                <w:sz w:val="25"/>
              </w:rPr>
              <w:t> </w:t>
            </w:r>
            <w:r>
              <w:rPr>
                <w:sz w:val="25"/>
              </w:rPr>
              <w:t>of</w:t>
            </w:r>
            <w:r>
              <w:rPr>
                <w:spacing w:val="12"/>
                <w:sz w:val="25"/>
              </w:rPr>
              <w:t> </w:t>
            </w:r>
            <w:r>
              <w:rPr>
                <w:sz w:val="25"/>
              </w:rPr>
              <w:t>Washington,</w:t>
            </w:r>
            <w:r>
              <w:rPr>
                <w:spacing w:val="12"/>
                <w:sz w:val="25"/>
              </w:rPr>
              <w:t> </w:t>
            </w:r>
            <w:r>
              <w:rPr>
                <w:i/>
                <w:sz w:val="25"/>
              </w:rPr>
              <w:t>Gowan</w:t>
            </w:r>
            <w:r>
              <w:rPr>
                <w:i/>
                <w:spacing w:val="12"/>
                <w:sz w:val="25"/>
              </w:rPr>
              <w:t> </w:t>
            </w:r>
            <w:r>
              <w:rPr>
                <w:i/>
                <w:sz w:val="25"/>
              </w:rPr>
              <w:t>Faculty</w:t>
            </w:r>
            <w:r>
              <w:rPr>
                <w:i/>
                <w:spacing w:val="12"/>
                <w:sz w:val="25"/>
              </w:rPr>
              <w:t> </w:t>
            </w:r>
            <w:r>
              <w:rPr>
                <w:i/>
                <w:spacing w:val="-2"/>
                <w:sz w:val="25"/>
              </w:rPr>
              <w:t>Grant</w:t>
            </w:r>
          </w:p>
        </w:tc>
      </w:tr>
      <w:tr>
        <w:trPr>
          <w:trHeight w:val="287" w:hRule="atLeast"/>
        </w:trPr>
        <w:tc>
          <w:tcPr>
            <w:tcW w:w="1005" w:type="dxa"/>
          </w:tcPr>
          <w:p>
            <w:pPr>
              <w:pStyle w:val="TableParagraph"/>
              <w:rPr>
                <w:sz w:val="25"/>
              </w:rPr>
            </w:pPr>
            <w:r>
              <w:rPr>
                <w:spacing w:val="-4"/>
                <w:sz w:val="25"/>
              </w:rPr>
              <w:t>2002</w:t>
            </w:r>
          </w:p>
        </w:tc>
        <w:tc>
          <w:tcPr>
            <w:tcW w:w="9202" w:type="dxa"/>
          </w:tcPr>
          <w:p>
            <w:pPr>
              <w:pStyle w:val="TableParagraph"/>
              <w:ind w:left="100"/>
              <w:rPr>
                <w:sz w:val="25"/>
              </w:rPr>
            </w:pPr>
            <w:r>
              <w:rPr>
                <w:sz w:val="25"/>
              </w:rPr>
              <w:t>European-Union-Center</w:t>
            </w:r>
            <w:r>
              <w:rPr>
                <w:spacing w:val="15"/>
                <w:sz w:val="25"/>
              </w:rPr>
              <w:t> </w:t>
            </w:r>
            <w:r>
              <w:rPr>
                <w:sz w:val="25"/>
              </w:rPr>
              <w:t>Research</w:t>
            </w:r>
            <w:r>
              <w:rPr>
                <w:spacing w:val="15"/>
                <w:sz w:val="25"/>
              </w:rPr>
              <w:t> </w:t>
            </w:r>
            <w:r>
              <w:rPr>
                <w:sz w:val="25"/>
              </w:rPr>
              <w:t>Award</w:t>
            </w:r>
            <w:r>
              <w:rPr>
                <w:spacing w:val="15"/>
                <w:sz w:val="25"/>
              </w:rPr>
              <w:t> </w:t>
            </w:r>
            <w:r>
              <w:rPr>
                <w:sz w:val="25"/>
              </w:rPr>
              <w:t>“</w:t>
            </w:r>
            <w:r>
              <w:rPr>
                <w:i/>
                <w:sz w:val="25"/>
              </w:rPr>
              <w:t>Institutions</w:t>
            </w:r>
            <w:r>
              <w:rPr>
                <w:i/>
                <w:spacing w:val="16"/>
                <w:sz w:val="25"/>
              </w:rPr>
              <w:t> </w:t>
            </w:r>
            <w:r>
              <w:rPr>
                <w:i/>
                <w:sz w:val="25"/>
              </w:rPr>
              <w:t>and</w:t>
            </w:r>
            <w:r>
              <w:rPr>
                <w:i/>
                <w:spacing w:val="15"/>
                <w:sz w:val="25"/>
              </w:rPr>
              <w:t> </w:t>
            </w:r>
            <w:r>
              <w:rPr>
                <w:i/>
                <w:spacing w:val="-2"/>
                <w:sz w:val="25"/>
              </w:rPr>
              <w:t>Growth</w:t>
            </w:r>
            <w:r>
              <w:rPr>
                <w:spacing w:val="-2"/>
                <w:sz w:val="25"/>
              </w:rPr>
              <w:t>”</w:t>
            </w:r>
          </w:p>
        </w:tc>
      </w:tr>
      <w:tr>
        <w:trPr>
          <w:trHeight w:val="288" w:hRule="atLeast"/>
        </w:trPr>
        <w:tc>
          <w:tcPr>
            <w:tcW w:w="1005" w:type="dxa"/>
          </w:tcPr>
          <w:p>
            <w:pPr>
              <w:pStyle w:val="TableParagraph"/>
              <w:rPr>
                <w:sz w:val="25"/>
              </w:rPr>
            </w:pPr>
            <w:r>
              <w:rPr>
                <w:spacing w:val="-4"/>
                <w:sz w:val="25"/>
              </w:rPr>
              <w:t>2001</w:t>
            </w:r>
          </w:p>
        </w:tc>
        <w:tc>
          <w:tcPr>
            <w:tcW w:w="9202" w:type="dxa"/>
          </w:tcPr>
          <w:p>
            <w:pPr>
              <w:pStyle w:val="TableParagraph"/>
              <w:ind w:left="100"/>
              <w:rPr>
                <w:sz w:val="25"/>
              </w:rPr>
            </w:pPr>
            <w:r>
              <w:rPr>
                <w:sz w:val="25"/>
              </w:rPr>
              <w:t>European-Union-Center</w:t>
            </w:r>
            <w:r>
              <w:rPr>
                <w:spacing w:val="20"/>
                <w:sz w:val="25"/>
              </w:rPr>
              <w:t> </w:t>
            </w:r>
            <w:r>
              <w:rPr>
                <w:sz w:val="25"/>
              </w:rPr>
              <w:t>Conference</w:t>
            </w:r>
            <w:r>
              <w:rPr>
                <w:spacing w:val="21"/>
                <w:sz w:val="25"/>
              </w:rPr>
              <w:t> </w:t>
            </w:r>
            <w:r>
              <w:rPr>
                <w:sz w:val="25"/>
              </w:rPr>
              <w:t>Grant</w:t>
            </w:r>
            <w:r>
              <w:rPr>
                <w:spacing w:val="21"/>
                <w:sz w:val="25"/>
              </w:rPr>
              <w:t> </w:t>
            </w:r>
            <w:r>
              <w:rPr>
                <w:sz w:val="25"/>
              </w:rPr>
              <w:t>“</w:t>
            </w:r>
            <w:r>
              <w:rPr>
                <w:i/>
                <w:sz w:val="25"/>
              </w:rPr>
              <w:t>Inequality</w:t>
            </w:r>
            <w:r>
              <w:rPr>
                <w:i/>
                <w:spacing w:val="21"/>
                <w:sz w:val="25"/>
              </w:rPr>
              <w:t> </w:t>
            </w:r>
            <w:r>
              <w:rPr>
                <w:i/>
                <w:sz w:val="25"/>
              </w:rPr>
              <w:t>and</w:t>
            </w:r>
            <w:r>
              <w:rPr>
                <w:i/>
                <w:spacing w:val="21"/>
                <w:sz w:val="25"/>
              </w:rPr>
              <w:t> </w:t>
            </w:r>
            <w:r>
              <w:rPr>
                <w:i/>
                <w:spacing w:val="-2"/>
                <w:sz w:val="25"/>
              </w:rPr>
              <w:t>Growth</w:t>
            </w:r>
            <w:r>
              <w:rPr>
                <w:spacing w:val="-2"/>
                <w:sz w:val="25"/>
              </w:rPr>
              <w:t>”</w:t>
            </w:r>
          </w:p>
        </w:tc>
      </w:tr>
      <w:tr>
        <w:trPr>
          <w:trHeight w:val="287" w:hRule="atLeast"/>
        </w:trPr>
        <w:tc>
          <w:tcPr>
            <w:tcW w:w="1005" w:type="dxa"/>
          </w:tcPr>
          <w:p>
            <w:pPr>
              <w:pStyle w:val="TableParagraph"/>
              <w:rPr>
                <w:sz w:val="25"/>
              </w:rPr>
            </w:pPr>
            <w:r>
              <w:rPr>
                <w:spacing w:val="-4"/>
                <w:sz w:val="25"/>
              </w:rPr>
              <w:t>1999</w:t>
            </w:r>
          </w:p>
        </w:tc>
        <w:tc>
          <w:tcPr>
            <w:tcW w:w="9202" w:type="dxa"/>
          </w:tcPr>
          <w:p>
            <w:pPr>
              <w:pStyle w:val="TableParagraph"/>
              <w:ind w:left="100"/>
              <w:rPr>
                <w:i/>
                <w:sz w:val="25"/>
              </w:rPr>
            </w:pPr>
            <w:r>
              <w:rPr>
                <w:sz w:val="25"/>
              </w:rPr>
              <w:t>Alexander</w:t>
            </w:r>
            <w:r>
              <w:rPr>
                <w:spacing w:val="15"/>
                <w:sz w:val="25"/>
              </w:rPr>
              <w:t> </w:t>
            </w:r>
            <w:r>
              <w:rPr>
                <w:sz w:val="25"/>
              </w:rPr>
              <w:t>von</w:t>
            </w:r>
            <w:r>
              <w:rPr>
                <w:spacing w:val="15"/>
                <w:sz w:val="25"/>
              </w:rPr>
              <w:t> </w:t>
            </w:r>
            <w:r>
              <w:rPr>
                <w:sz w:val="25"/>
              </w:rPr>
              <w:t>Humboldt</w:t>
            </w:r>
            <w:r>
              <w:rPr>
                <w:spacing w:val="15"/>
                <w:sz w:val="25"/>
              </w:rPr>
              <w:t> </w:t>
            </w:r>
            <w:r>
              <w:rPr>
                <w:sz w:val="25"/>
              </w:rPr>
              <w:t>Foundation</w:t>
            </w:r>
            <w:r>
              <w:rPr>
                <w:spacing w:val="15"/>
                <w:sz w:val="25"/>
              </w:rPr>
              <w:t> </w:t>
            </w:r>
            <w:r>
              <w:rPr>
                <w:i/>
                <w:sz w:val="25"/>
              </w:rPr>
              <w:t>Research</w:t>
            </w:r>
            <w:r>
              <w:rPr>
                <w:i/>
                <w:spacing w:val="15"/>
                <w:sz w:val="25"/>
              </w:rPr>
              <w:t> </w:t>
            </w:r>
            <w:r>
              <w:rPr>
                <w:i/>
                <w:spacing w:val="-2"/>
                <w:sz w:val="25"/>
              </w:rPr>
              <w:t>Fellowship</w:t>
            </w:r>
          </w:p>
        </w:tc>
      </w:tr>
      <w:tr>
        <w:trPr>
          <w:trHeight w:val="288" w:hRule="atLeast"/>
        </w:trPr>
        <w:tc>
          <w:tcPr>
            <w:tcW w:w="1005" w:type="dxa"/>
          </w:tcPr>
          <w:p>
            <w:pPr>
              <w:pStyle w:val="TableParagraph"/>
              <w:rPr>
                <w:sz w:val="25"/>
              </w:rPr>
            </w:pPr>
            <w:r>
              <w:rPr>
                <w:spacing w:val="-4"/>
                <w:sz w:val="25"/>
              </w:rPr>
              <w:t>1998</w:t>
            </w:r>
          </w:p>
        </w:tc>
        <w:tc>
          <w:tcPr>
            <w:tcW w:w="9202" w:type="dxa"/>
          </w:tcPr>
          <w:p>
            <w:pPr>
              <w:pStyle w:val="TableParagraph"/>
              <w:ind w:left="100"/>
              <w:rPr>
                <w:i/>
                <w:sz w:val="25"/>
              </w:rPr>
            </w:pPr>
            <w:r>
              <w:rPr>
                <w:sz w:val="25"/>
              </w:rPr>
              <w:t>University</w:t>
            </w:r>
            <w:r>
              <w:rPr>
                <w:spacing w:val="9"/>
                <w:sz w:val="25"/>
              </w:rPr>
              <w:t> </w:t>
            </w:r>
            <w:r>
              <w:rPr>
                <w:sz w:val="25"/>
              </w:rPr>
              <w:t>of</w:t>
            </w:r>
            <w:r>
              <w:rPr>
                <w:spacing w:val="9"/>
                <w:sz w:val="25"/>
              </w:rPr>
              <w:t> </w:t>
            </w:r>
            <w:r>
              <w:rPr>
                <w:sz w:val="25"/>
              </w:rPr>
              <w:t>Washington,</w:t>
            </w:r>
            <w:r>
              <w:rPr>
                <w:spacing w:val="9"/>
                <w:sz w:val="25"/>
              </w:rPr>
              <w:t> </w:t>
            </w:r>
            <w:r>
              <w:rPr>
                <w:i/>
                <w:sz w:val="25"/>
              </w:rPr>
              <w:t>Buechel</w:t>
            </w:r>
            <w:r>
              <w:rPr>
                <w:i/>
                <w:spacing w:val="9"/>
                <w:sz w:val="25"/>
              </w:rPr>
              <w:t> </w:t>
            </w:r>
            <w:r>
              <w:rPr>
                <w:i/>
                <w:sz w:val="25"/>
              </w:rPr>
              <w:t>Undergraduate</w:t>
            </w:r>
            <w:r>
              <w:rPr>
                <w:i/>
                <w:spacing w:val="10"/>
                <w:sz w:val="25"/>
              </w:rPr>
              <w:t> </w:t>
            </w:r>
            <w:r>
              <w:rPr>
                <w:i/>
                <w:sz w:val="25"/>
              </w:rPr>
              <w:t>Teaching</w:t>
            </w:r>
            <w:r>
              <w:rPr>
                <w:i/>
                <w:spacing w:val="9"/>
                <w:sz w:val="25"/>
              </w:rPr>
              <w:t> </w:t>
            </w:r>
            <w:r>
              <w:rPr>
                <w:i/>
                <w:spacing w:val="-2"/>
                <w:sz w:val="25"/>
              </w:rPr>
              <w:t>Award</w:t>
            </w:r>
          </w:p>
        </w:tc>
      </w:tr>
      <w:tr>
        <w:trPr>
          <w:trHeight w:val="288" w:hRule="atLeast"/>
        </w:trPr>
        <w:tc>
          <w:tcPr>
            <w:tcW w:w="1005" w:type="dxa"/>
          </w:tcPr>
          <w:p>
            <w:pPr>
              <w:pStyle w:val="TableParagraph"/>
              <w:rPr>
                <w:sz w:val="25"/>
              </w:rPr>
            </w:pPr>
            <w:r>
              <w:rPr>
                <w:spacing w:val="-4"/>
                <w:sz w:val="25"/>
              </w:rPr>
              <w:t>1997</w:t>
            </w:r>
          </w:p>
        </w:tc>
        <w:tc>
          <w:tcPr>
            <w:tcW w:w="9202" w:type="dxa"/>
          </w:tcPr>
          <w:p>
            <w:pPr>
              <w:pStyle w:val="TableParagraph"/>
              <w:ind w:left="100"/>
              <w:rPr>
                <w:i/>
                <w:sz w:val="25"/>
              </w:rPr>
            </w:pPr>
            <w:r>
              <w:rPr>
                <w:sz w:val="25"/>
              </w:rPr>
              <w:t>University</w:t>
            </w:r>
            <w:r>
              <w:rPr>
                <w:spacing w:val="12"/>
                <w:sz w:val="25"/>
              </w:rPr>
              <w:t> </w:t>
            </w:r>
            <w:r>
              <w:rPr>
                <w:sz w:val="25"/>
              </w:rPr>
              <w:t>of</w:t>
            </w:r>
            <w:r>
              <w:rPr>
                <w:spacing w:val="12"/>
                <w:sz w:val="25"/>
              </w:rPr>
              <w:t> </w:t>
            </w:r>
            <w:r>
              <w:rPr>
                <w:sz w:val="25"/>
              </w:rPr>
              <w:t>Washington,</w:t>
            </w:r>
            <w:r>
              <w:rPr>
                <w:spacing w:val="12"/>
                <w:sz w:val="25"/>
              </w:rPr>
              <w:t> </w:t>
            </w:r>
            <w:r>
              <w:rPr>
                <w:i/>
                <w:sz w:val="25"/>
              </w:rPr>
              <w:t>Mentoring</w:t>
            </w:r>
            <w:r>
              <w:rPr>
                <w:i/>
                <w:spacing w:val="12"/>
                <w:sz w:val="25"/>
              </w:rPr>
              <w:t> </w:t>
            </w:r>
            <w:r>
              <w:rPr>
                <w:i/>
                <w:spacing w:val="-4"/>
                <w:sz w:val="25"/>
              </w:rPr>
              <w:t>Award</w:t>
            </w:r>
          </w:p>
        </w:tc>
      </w:tr>
      <w:tr>
        <w:trPr>
          <w:trHeight w:val="288" w:hRule="atLeast"/>
        </w:trPr>
        <w:tc>
          <w:tcPr>
            <w:tcW w:w="1005" w:type="dxa"/>
          </w:tcPr>
          <w:p>
            <w:pPr>
              <w:pStyle w:val="TableParagraph"/>
              <w:rPr>
                <w:sz w:val="25"/>
              </w:rPr>
            </w:pPr>
            <w:r>
              <w:rPr>
                <w:spacing w:val="-4"/>
                <w:sz w:val="25"/>
              </w:rPr>
              <w:t>1997</w:t>
            </w:r>
          </w:p>
        </w:tc>
        <w:tc>
          <w:tcPr>
            <w:tcW w:w="9202" w:type="dxa"/>
          </w:tcPr>
          <w:p>
            <w:pPr>
              <w:pStyle w:val="TableParagraph"/>
              <w:ind w:left="100"/>
              <w:rPr>
                <w:sz w:val="25"/>
              </w:rPr>
            </w:pPr>
            <w:r>
              <w:rPr>
                <w:sz w:val="25"/>
              </w:rPr>
              <w:t>Royalty</w:t>
            </w:r>
            <w:r>
              <w:rPr>
                <w:spacing w:val="10"/>
                <w:sz w:val="25"/>
              </w:rPr>
              <w:t> </w:t>
            </w:r>
            <w:r>
              <w:rPr>
                <w:sz w:val="25"/>
              </w:rPr>
              <w:t>Research</w:t>
            </w:r>
            <w:r>
              <w:rPr>
                <w:spacing w:val="11"/>
                <w:sz w:val="25"/>
              </w:rPr>
              <w:t> </w:t>
            </w:r>
            <w:r>
              <w:rPr>
                <w:sz w:val="25"/>
              </w:rPr>
              <w:t>Fund</w:t>
            </w:r>
            <w:r>
              <w:rPr>
                <w:spacing w:val="11"/>
                <w:sz w:val="25"/>
              </w:rPr>
              <w:t> </w:t>
            </w:r>
            <w:r>
              <w:rPr>
                <w:sz w:val="25"/>
              </w:rPr>
              <w:t>Grant</w:t>
            </w:r>
            <w:r>
              <w:rPr>
                <w:spacing w:val="10"/>
                <w:sz w:val="25"/>
              </w:rPr>
              <w:t> </w:t>
            </w:r>
            <w:r>
              <w:rPr>
                <w:i/>
                <w:sz w:val="25"/>
              </w:rPr>
              <w:t>”Trade</w:t>
            </w:r>
            <w:r>
              <w:rPr>
                <w:i/>
                <w:spacing w:val="11"/>
                <w:sz w:val="25"/>
              </w:rPr>
              <w:t> </w:t>
            </w:r>
            <w:r>
              <w:rPr>
                <w:i/>
                <w:sz w:val="25"/>
              </w:rPr>
              <w:t>and</w:t>
            </w:r>
            <w:r>
              <w:rPr>
                <w:i/>
                <w:spacing w:val="11"/>
                <w:sz w:val="25"/>
              </w:rPr>
              <w:t> </w:t>
            </w:r>
            <w:r>
              <w:rPr>
                <w:i/>
                <w:spacing w:val="-2"/>
                <w:sz w:val="25"/>
              </w:rPr>
              <w:t>Wages</w:t>
            </w:r>
            <w:r>
              <w:rPr>
                <w:spacing w:val="-2"/>
                <w:sz w:val="25"/>
              </w:rPr>
              <w:t>”</w:t>
            </w:r>
          </w:p>
        </w:tc>
      </w:tr>
      <w:tr>
        <w:trPr>
          <w:trHeight w:val="287" w:hRule="atLeast"/>
        </w:trPr>
        <w:tc>
          <w:tcPr>
            <w:tcW w:w="1005" w:type="dxa"/>
          </w:tcPr>
          <w:p>
            <w:pPr>
              <w:pStyle w:val="TableParagraph"/>
              <w:rPr>
                <w:sz w:val="25"/>
              </w:rPr>
            </w:pPr>
            <w:r>
              <w:rPr>
                <w:spacing w:val="-4"/>
                <w:sz w:val="25"/>
              </w:rPr>
              <w:t>1994</w:t>
            </w:r>
          </w:p>
        </w:tc>
        <w:tc>
          <w:tcPr>
            <w:tcW w:w="9202" w:type="dxa"/>
          </w:tcPr>
          <w:p>
            <w:pPr>
              <w:pStyle w:val="TableParagraph"/>
              <w:ind w:left="100"/>
              <w:rPr>
                <w:i/>
                <w:sz w:val="25"/>
              </w:rPr>
            </w:pPr>
            <w:r>
              <w:rPr>
                <w:sz w:val="25"/>
              </w:rPr>
              <w:t>Columbia</w:t>
            </w:r>
            <w:r>
              <w:rPr>
                <w:spacing w:val="12"/>
                <w:sz w:val="25"/>
              </w:rPr>
              <w:t> </w:t>
            </w:r>
            <w:r>
              <w:rPr>
                <w:sz w:val="25"/>
              </w:rPr>
              <w:t>University</w:t>
            </w:r>
            <w:r>
              <w:rPr>
                <w:spacing w:val="13"/>
                <w:sz w:val="25"/>
              </w:rPr>
              <w:t> </w:t>
            </w:r>
            <w:r>
              <w:rPr>
                <w:i/>
                <w:sz w:val="25"/>
              </w:rPr>
              <w:t>Ph.D.</w:t>
            </w:r>
            <w:r>
              <w:rPr>
                <w:i/>
                <w:spacing w:val="13"/>
                <w:sz w:val="25"/>
              </w:rPr>
              <w:t> </w:t>
            </w:r>
            <w:r>
              <w:rPr>
                <w:i/>
                <w:sz w:val="25"/>
              </w:rPr>
              <w:t>awarded</w:t>
            </w:r>
            <w:r>
              <w:rPr>
                <w:i/>
                <w:spacing w:val="13"/>
                <w:sz w:val="25"/>
              </w:rPr>
              <w:t> </w:t>
            </w:r>
            <w:r>
              <w:rPr>
                <w:i/>
                <w:sz w:val="25"/>
              </w:rPr>
              <w:t>with</w:t>
            </w:r>
            <w:r>
              <w:rPr>
                <w:i/>
                <w:spacing w:val="13"/>
                <w:sz w:val="25"/>
              </w:rPr>
              <w:t> </w:t>
            </w:r>
            <w:r>
              <w:rPr>
                <w:i/>
                <w:spacing w:val="-2"/>
                <w:sz w:val="25"/>
              </w:rPr>
              <w:t>Distinction</w:t>
            </w:r>
          </w:p>
        </w:tc>
      </w:tr>
      <w:tr>
        <w:trPr>
          <w:trHeight w:val="288" w:hRule="atLeast"/>
        </w:trPr>
        <w:tc>
          <w:tcPr>
            <w:tcW w:w="1005" w:type="dxa"/>
          </w:tcPr>
          <w:p>
            <w:pPr>
              <w:pStyle w:val="TableParagraph"/>
              <w:rPr>
                <w:sz w:val="25"/>
              </w:rPr>
            </w:pPr>
            <w:r>
              <w:rPr>
                <w:sz w:val="25"/>
              </w:rPr>
              <w:t>1991-</w:t>
            </w:r>
            <w:r>
              <w:rPr>
                <w:spacing w:val="-10"/>
                <w:sz w:val="25"/>
              </w:rPr>
              <w:t>2</w:t>
            </w:r>
          </w:p>
        </w:tc>
        <w:tc>
          <w:tcPr>
            <w:tcW w:w="9202" w:type="dxa"/>
          </w:tcPr>
          <w:p>
            <w:pPr>
              <w:pStyle w:val="TableParagraph"/>
              <w:ind w:left="100"/>
              <w:rPr>
                <w:i/>
                <w:sz w:val="25"/>
              </w:rPr>
            </w:pPr>
            <w:r>
              <w:rPr>
                <w:sz w:val="25"/>
              </w:rPr>
              <w:t>Lynde</w:t>
            </w:r>
            <w:r>
              <w:rPr>
                <w:spacing w:val="11"/>
                <w:sz w:val="25"/>
              </w:rPr>
              <w:t> </w:t>
            </w:r>
            <w:r>
              <w:rPr>
                <w:sz w:val="25"/>
              </w:rPr>
              <w:t>and</w:t>
            </w:r>
            <w:r>
              <w:rPr>
                <w:spacing w:val="11"/>
                <w:sz w:val="25"/>
              </w:rPr>
              <w:t> </w:t>
            </w:r>
            <w:r>
              <w:rPr>
                <w:sz w:val="25"/>
              </w:rPr>
              <w:t>Harry</w:t>
            </w:r>
            <w:r>
              <w:rPr>
                <w:spacing w:val="11"/>
                <w:sz w:val="25"/>
              </w:rPr>
              <w:t> </w:t>
            </w:r>
            <w:r>
              <w:rPr>
                <w:sz w:val="25"/>
              </w:rPr>
              <w:t>Bradley</w:t>
            </w:r>
            <w:r>
              <w:rPr>
                <w:spacing w:val="12"/>
                <w:sz w:val="25"/>
              </w:rPr>
              <w:t> </w:t>
            </w:r>
            <w:r>
              <w:rPr>
                <w:sz w:val="25"/>
              </w:rPr>
              <w:t>Foundation</w:t>
            </w:r>
            <w:r>
              <w:rPr>
                <w:spacing w:val="11"/>
                <w:sz w:val="25"/>
              </w:rPr>
              <w:t> </w:t>
            </w:r>
            <w:r>
              <w:rPr>
                <w:i/>
                <w:spacing w:val="-2"/>
                <w:sz w:val="25"/>
              </w:rPr>
              <w:t>Fellowship</w:t>
            </w:r>
          </w:p>
        </w:tc>
      </w:tr>
      <w:tr>
        <w:trPr>
          <w:trHeight w:val="272" w:hRule="atLeast"/>
        </w:trPr>
        <w:tc>
          <w:tcPr>
            <w:tcW w:w="1005" w:type="dxa"/>
          </w:tcPr>
          <w:p>
            <w:pPr>
              <w:pStyle w:val="TableParagraph"/>
              <w:spacing w:line="252" w:lineRule="exact"/>
              <w:rPr>
                <w:sz w:val="25"/>
              </w:rPr>
            </w:pPr>
            <w:r>
              <w:rPr>
                <w:sz w:val="25"/>
              </w:rPr>
              <w:t>1989-</w:t>
            </w:r>
            <w:r>
              <w:rPr>
                <w:spacing w:val="-5"/>
                <w:sz w:val="25"/>
              </w:rPr>
              <w:t>92</w:t>
            </w:r>
          </w:p>
        </w:tc>
        <w:tc>
          <w:tcPr>
            <w:tcW w:w="9202" w:type="dxa"/>
          </w:tcPr>
          <w:p>
            <w:pPr>
              <w:pStyle w:val="TableParagraph"/>
              <w:spacing w:line="252" w:lineRule="exact"/>
              <w:ind w:left="100"/>
              <w:rPr>
                <w:i/>
                <w:sz w:val="25"/>
              </w:rPr>
            </w:pPr>
            <w:r>
              <w:rPr>
                <w:sz w:val="25"/>
              </w:rPr>
              <w:t>Columbia</w:t>
            </w:r>
            <w:r>
              <w:rPr>
                <w:spacing w:val="6"/>
                <w:sz w:val="25"/>
              </w:rPr>
              <w:t> </w:t>
            </w:r>
            <w:r>
              <w:rPr>
                <w:sz w:val="25"/>
              </w:rPr>
              <w:t>University,</w:t>
            </w:r>
            <w:r>
              <w:rPr>
                <w:spacing w:val="6"/>
                <w:sz w:val="25"/>
              </w:rPr>
              <w:t> </w:t>
            </w:r>
            <w:r>
              <w:rPr>
                <w:i/>
                <w:sz w:val="25"/>
              </w:rPr>
              <w:t>President’s</w:t>
            </w:r>
            <w:r>
              <w:rPr>
                <w:i/>
                <w:spacing w:val="6"/>
                <w:sz w:val="25"/>
              </w:rPr>
              <w:t> </w:t>
            </w:r>
            <w:r>
              <w:rPr>
                <w:i/>
                <w:spacing w:val="-2"/>
                <w:sz w:val="25"/>
              </w:rPr>
              <w:t>Fellow</w:t>
            </w:r>
          </w:p>
        </w:tc>
      </w:tr>
    </w:tbl>
    <w:p>
      <w:pPr>
        <w:pStyle w:val="TableParagraph"/>
        <w:spacing w:after="0" w:line="252" w:lineRule="exact"/>
        <w:rPr>
          <w:i/>
          <w:sz w:val="25"/>
        </w:rPr>
        <w:sectPr>
          <w:type w:val="continuous"/>
          <w:pgSz w:w="12240" w:h="15840"/>
          <w:pgMar w:top="400" w:bottom="280" w:left="360" w:right="1440"/>
        </w:sectPr>
      </w:pPr>
    </w:p>
    <w:p>
      <w:pPr>
        <w:tabs>
          <w:tab w:pos="1183" w:val="left" w:leader="none"/>
        </w:tabs>
        <w:spacing w:before="30"/>
        <w:ind w:left="127" w:right="0" w:firstLine="0"/>
        <w:jc w:val="left"/>
        <w:rPr>
          <w:i/>
          <w:sz w:val="25"/>
        </w:rPr>
      </w:pPr>
      <w:r>
        <w:rPr>
          <w:sz w:val="25"/>
        </w:rPr>
        <w:t>1985-</w:t>
      </w:r>
      <w:r>
        <w:rPr>
          <w:spacing w:val="-5"/>
          <w:sz w:val="25"/>
        </w:rPr>
        <w:t>88</w:t>
      </w:r>
      <w:r>
        <w:rPr>
          <w:sz w:val="25"/>
        </w:rPr>
        <w:tab/>
        <w:t>Grinnell</w:t>
      </w:r>
      <w:r>
        <w:rPr>
          <w:spacing w:val="13"/>
          <w:sz w:val="25"/>
        </w:rPr>
        <w:t> </w:t>
      </w:r>
      <w:r>
        <w:rPr>
          <w:sz w:val="25"/>
        </w:rPr>
        <w:t>College,</w:t>
      </w:r>
      <w:r>
        <w:rPr>
          <w:spacing w:val="13"/>
          <w:sz w:val="25"/>
        </w:rPr>
        <w:t> </w:t>
      </w:r>
      <w:r>
        <w:rPr>
          <w:i/>
          <w:sz w:val="25"/>
        </w:rPr>
        <w:t>ISO</w:t>
      </w:r>
      <w:r>
        <w:rPr>
          <w:i/>
          <w:spacing w:val="13"/>
          <w:sz w:val="25"/>
        </w:rPr>
        <w:t> </w:t>
      </w:r>
      <w:r>
        <w:rPr>
          <w:i/>
          <w:spacing w:val="-2"/>
          <w:sz w:val="25"/>
        </w:rPr>
        <w:t>Fellowship</w:t>
      </w:r>
    </w:p>
    <w:p>
      <w:pPr>
        <w:pStyle w:val="BodyText"/>
        <w:spacing w:before="8"/>
        <w:rPr>
          <w:i/>
        </w:rPr>
      </w:pPr>
    </w:p>
    <w:p>
      <w:pPr>
        <w:pStyle w:val="Heading1"/>
      </w:pPr>
      <w:r>
        <w:rPr/>
        <w:t>Research</w:t>
      </w:r>
      <w:r>
        <w:rPr>
          <w:spacing w:val="5"/>
        </w:rPr>
        <w:t> </w:t>
      </w:r>
      <w:r>
        <w:rPr>
          <w:spacing w:val="-2"/>
        </w:rPr>
        <w:t>Interests</w:t>
      </w:r>
    </w:p>
    <w:p>
      <w:pPr>
        <w:spacing w:before="15"/>
        <w:ind w:left="127" w:right="0" w:firstLine="0"/>
        <w:jc w:val="left"/>
        <w:rPr>
          <w:sz w:val="29"/>
        </w:rPr>
      </w:pPr>
      <w:r>
        <w:rPr>
          <w:sz w:val="29"/>
        </w:rPr>
        <w:t>Trade,</w:t>
      </w:r>
      <w:r>
        <w:rPr>
          <w:spacing w:val="-15"/>
          <w:sz w:val="29"/>
        </w:rPr>
        <w:t> </w:t>
      </w:r>
      <w:r>
        <w:rPr>
          <w:sz w:val="29"/>
        </w:rPr>
        <w:t>Development</w:t>
      </w:r>
      <w:r>
        <w:rPr>
          <w:spacing w:val="-15"/>
          <w:sz w:val="29"/>
        </w:rPr>
        <w:t> </w:t>
      </w:r>
      <w:r>
        <w:rPr>
          <w:sz w:val="29"/>
        </w:rPr>
        <w:t>and</w:t>
      </w:r>
      <w:r>
        <w:rPr>
          <w:spacing w:val="-15"/>
          <w:sz w:val="29"/>
        </w:rPr>
        <w:t> </w:t>
      </w:r>
      <w:r>
        <w:rPr>
          <w:sz w:val="29"/>
        </w:rPr>
        <w:t>Growth,</w:t>
      </w:r>
      <w:r>
        <w:rPr>
          <w:spacing w:val="-14"/>
          <w:sz w:val="29"/>
        </w:rPr>
        <w:t> </w:t>
      </w:r>
      <w:r>
        <w:rPr>
          <w:spacing w:val="-2"/>
          <w:sz w:val="29"/>
        </w:rPr>
        <w:t>Macroeconomics</w:t>
      </w:r>
    </w:p>
    <w:p>
      <w:pPr>
        <w:pStyle w:val="Heading1"/>
        <w:spacing w:before="303"/>
      </w:pPr>
      <w:r>
        <w:rPr>
          <w:spacing w:val="-2"/>
        </w:rPr>
        <w:t>Publications</w:t>
      </w:r>
    </w:p>
    <w:p>
      <w:pPr>
        <w:spacing w:line="389" w:lineRule="exact" w:before="288"/>
        <w:ind w:left="127" w:right="0" w:firstLine="0"/>
        <w:jc w:val="left"/>
        <w:rPr>
          <w:b/>
          <w:sz w:val="34"/>
        </w:rPr>
      </w:pPr>
      <w:r>
        <w:rPr>
          <w:b/>
          <w:spacing w:val="-2"/>
          <w:sz w:val="34"/>
        </w:rPr>
        <w:t>Books</w:t>
      </w:r>
    </w:p>
    <w:p>
      <w:pPr>
        <w:spacing w:before="0"/>
        <w:ind w:left="242" w:right="0" w:firstLine="0"/>
        <w:jc w:val="left"/>
        <w:rPr>
          <w:sz w:val="25"/>
        </w:rPr>
      </w:pPr>
      <w:r>
        <w:rPr>
          <w:b/>
          <w:i/>
          <w:color w:val="800080"/>
          <w:sz w:val="25"/>
          <w:u w:val="single" w:color="000000"/>
        </w:rPr>
        <w:t>Ine</w:t>
      </w:r>
      <w:r>
        <w:rPr>
          <w:b/>
          <w:i/>
          <w:color w:val="800080"/>
          <w:sz w:val="25"/>
        </w:rPr>
        <w:t>q</w:t>
      </w:r>
      <w:r>
        <w:rPr>
          <w:b/>
          <w:i/>
          <w:color w:val="800080"/>
          <w:sz w:val="25"/>
          <w:u w:val="single" w:color="000000"/>
        </w:rPr>
        <w:t>uali</w:t>
      </w:r>
      <w:r>
        <w:rPr>
          <w:b/>
          <w:i/>
          <w:color w:val="800080"/>
          <w:sz w:val="25"/>
        </w:rPr>
        <w:t>ty</w:t>
      </w:r>
      <w:r>
        <w:rPr>
          <w:b/>
          <w:i/>
          <w:color w:val="800080"/>
          <w:spacing w:val="40"/>
          <w:sz w:val="25"/>
          <w:u w:val="single" w:color="000000"/>
        </w:rPr>
        <w:t> </w:t>
      </w:r>
      <w:r>
        <w:rPr>
          <w:b/>
          <w:i/>
          <w:color w:val="800080"/>
          <w:sz w:val="25"/>
          <w:u w:val="single" w:color="000000"/>
        </w:rPr>
        <w:t>and Growth: Theory</w:t>
      </w:r>
      <w:r>
        <w:rPr>
          <w:b/>
          <w:i/>
          <w:color w:val="800080"/>
          <w:spacing w:val="40"/>
          <w:sz w:val="25"/>
          <w:u w:val="single" w:color="000000"/>
        </w:rPr>
        <w:t> </w:t>
      </w:r>
      <w:r>
        <w:rPr>
          <w:b/>
          <w:i/>
          <w:color w:val="800080"/>
          <w:sz w:val="25"/>
          <w:u w:val="single" w:color="000000"/>
        </w:rPr>
        <w:t>and Policy</w:t>
      </w:r>
      <w:r>
        <w:rPr>
          <w:b/>
          <w:i/>
          <w:color w:val="800080"/>
          <w:spacing w:val="40"/>
          <w:sz w:val="25"/>
          <w:u w:val="single" w:color="000000"/>
        </w:rPr>
        <w:t> </w:t>
      </w:r>
      <w:r>
        <w:rPr>
          <w:b/>
          <w:i/>
          <w:color w:val="800080"/>
          <w:sz w:val="25"/>
          <w:u w:val="single" w:color="000000"/>
        </w:rPr>
        <w:t>Implications</w:t>
      </w:r>
      <w:r>
        <w:rPr>
          <w:sz w:val="25"/>
        </w:rPr>
        <w:t>, MIT Press, Cambridge, 2003, (with Stephen Turnovsky)(</w:t>
      </w:r>
      <w:r>
        <w:rPr>
          <w:sz w:val="25"/>
          <w:u w:val="single"/>
        </w:rPr>
        <w:t>drafts</w:t>
      </w:r>
      <w:r>
        <w:rPr>
          <w:sz w:val="25"/>
        </w:rPr>
        <w:t>)</w:t>
      </w:r>
    </w:p>
    <w:p>
      <w:pPr>
        <w:pStyle w:val="BodyText"/>
        <w:spacing w:before="0"/>
      </w:pPr>
    </w:p>
    <w:p>
      <w:pPr>
        <w:spacing w:before="0"/>
        <w:ind w:left="242" w:right="552" w:firstLine="0"/>
        <w:jc w:val="left"/>
        <w:rPr>
          <w:sz w:val="25"/>
        </w:rPr>
      </w:pPr>
      <w:r>
        <w:rPr>
          <w:b/>
          <w:i/>
          <w:sz w:val="25"/>
          <w:u w:val="single"/>
        </w:rPr>
        <w:t>Institutions, Development and Growth</w:t>
      </w:r>
      <w:r>
        <w:rPr>
          <w:b/>
          <w:sz w:val="25"/>
        </w:rPr>
        <w:t>, </w:t>
      </w:r>
      <w:r>
        <w:rPr>
          <w:sz w:val="25"/>
        </w:rPr>
        <w:t>MIT Press, Cambridge, 2006, (with Cecilia García- </w:t>
      </w:r>
      <w:r>
        <w:rPr>
          <w:spacing w:val="-2"/>
          <w:sz w:val="25"/>
        </w:rPr>
        <w:t>Peñalosa)</w:t>
      </w:r>
    </w:p>
    <w:p>
      <w:pPr>
        <w:pStyle w:val="BodyText"/>
      </w:pPr>
    </w:p>
    <w:p>
      <w:pPr>
        <w:spacing w:before="1"/>
        <w:ind w:left="242" w:right="0" w:firstLine="0"/>
        <w:jc w:val="left"/>
        <w:rPr>
          <w:sz w:val="25"/>
        </w:rPr>
      </w:pPr>
      <w:r>
        <w:rPr>
          <w:b/>
          <w:i/>
          <w:color w:val="800080"/>
          <w:sz w:val="25"/>
          <w:u w:val="single" w:color="000000"/>
        </w:rPr>
        <w:t>International Economics</w:t>
      </w:r>
      <w:r>
        <w:rPr>
          <w:b/>
          <w:i/>
          <w:color w:val="0000FF"/>
          <w:sz w:val="25"/>
        </w:rPr>
        <w:t>, </w:t>
      </w:r>
      <w:r>
        <w:rPr>
          <w:sz w:val="25"/>
        </w:rPr>
        <w:t>Routledge Press, New York, 2009, (with John Mutti and Michelle </w:t>
      </w:r>
      <w:r>
        <w:rPr>
          <w:spacing w:val="-2"/>
          <w:sz w:val="25"/>
        </w:rPr>
        <w:t>Turnovsky).</w:t>
      </w:r>
    </w:p>
    <w:p>
      <w:pPr>
        <w:pStyle w:val="BodyText"/>
      </w:pPr>
    </w:p>
    <w:p>
      <w:pPr>
        <w:spacing w:before="0"/>
        <w:ind w:left="242" w:right="0" w:firstLine="0"/>
        <w:jc w:val="left"/>
        <w:rPr>
          <w:b/>
          <w:i/>
          <w:sz w:val="25"/>
        </w:rPr>
      </w:pPr>
      <w:r>
        <w:rPr>
          <w:b/>
          <w:i/>
          <w:color w:val="800080"/>
          <w:sz w:val="25"/>
          <w:u w:val="single" w:color="000000"/>
        </w:rPr>
        <w:t>In</w:t>
      </w:r>
      <w:r>
        <w:rPr>
          <w:b/>
          <w:i/>
          <w:color w:val="800080"/>
          <w:sz w:val="25"/>
        </w:rPr>
        <w:t>f</w:t>
      </w:r>
      <w:r>
        <w:rPr>
          <w:b/>
          <w:i/>
          <w:color w:val="800080"/>
          <w:sz w:val="25"/>
          <w:u w:val="single" w:color="000000"/>
        </w:rPr>
        <w:t>ormation</w:t>
      </w:r>
      <w:r>
        <w:rPr>
          <w:b/>
          <w:i/>
          <w:color w:val="800080"/>
          <w:spacing w:val="6"/>
          <w:sz w:val="25"/>
          <w:u w:val="single" w:color="000000"/>
        </w:rPr>
        <w:t> </w:t>
      </w:r>
      <w:r>
        <w:rPr>
          <w:b/>
          <w:i/>
          <w:color w:val="800080"/>
          <w:sz w:val="25"/>
          <w:u w:val="single" w:color="000000"/>
        </w:rPr>
        <w:t>Technology</w:t>
      </w:r>
      <w:r>
        <w:rPr>
          <w:b/>
          <w:i/>
          <w:color w:val="800080"/>
          <w:spacing w:val="6"/>
          <w:sz w:val="25"/>
          <w:u w:val="single" w:color="000000"/>
        </w:rPr>
        <w:t> </w:t>
      </w:r>
      <w:r>
        <w:rPr>
          <w:b/>
          <w:i/>
          <w:color w:val="800080"/>
          <w:sz w:val="25"/>
          <w:u w:val="single" w:color="000000"/>
        </w:rPr>
        <w:t>and</w:t>
      </w:r>
      <w:r>
        <w:rPr>
          <w:b/>
          <w:i/>
          <w:color w:val="800080"/>
          <w:spacing w:val="6"/>
          <w:sz w:val="25"/>
          <w:u w:val="single" w:color="000000"/>
        </w:rPr>
        <w:t> </w:t>
      </w:r>
      <w:r>
        <w:rPr>
          <w:b/>
          <w:i/>
          <w:color w:val="800080"/>
          <w:sz w:val="25"/>
          <w:u w:val="single" w:color="000000"/>
        </w:rPr>
        <w:t>Productivi</w:t>
      </w:r>
      <w:r>
        <w:rPr>
          <w:b/>
          <w:i/>
          <w:color w:val="800080"/>
          <w:sz w:val="25"/>
        </w:rPr>
        <w:t>ty</w:t>
      </w:r>
      <w:r>
        <w:rPr>
          <w:b/>
          <w:i/>
          <w:color w:val="800080"/>
          <w:spacing w:val="59"/>
          <w:sz w:val="25"/>
          <w:u w:val="single" w:color="000000"/>
        </w:rPr>
        <w:t> </w:t>
      </w:r>
      <w:r>
        <w:rPr>
          <w:b/>
          <w:i/>
          <w:color w:val="800080"/>
          <w:sz w:val="25"/>
          <w:u w:val="single" w:color="000000"/>
        </w:rPr>
        <w:t>Growth:</w:t>
      </w:r>
      <w:r>
        <w:rPr>
          <w:b/>
          <w:i/>
          <w:color w:val="800080"/>
          <w:spacing w:val="6"/>
          <w:sz w:val="25"/>
          <w:u w:val="single" w:color="000000"/>
        </w:rPr>
        <w:t> </w:t>
      </w:r>
      <w:r>
        <w:rPr>
          <w:b/>
          <w:i/>
          <w:color w:val="800080"/>
          <w:sz w:val="25"/>
          <w:u w:val="single" w:color="000000"/>
        </w:rPr>
        <w:t>German</w:t>
      </w:r>
      <w:r>
        <w:rPr>
          <w:b/>
          <w:i/>
          <w:color w:val="800080"/>
          <w:spacing w:val="7"/>
          <w:sz w:val="25"/>
          <w:u w:val="single" w:color="000000"/>
        </w:rPr>
        <w:t> </w:t>
      </w:r>
      <w:r>
        <w:rPr>
          <w:b/>
          <w:i/>
          <w:color w:val="800080"/>
          <w:sz w:val="25"/>
          <w:u w:val="single" w:color="000000"/>
        </w:rPr>
        <w:t>Trends</w:t>
      </w:r>
      <w:r>
        <w:rPr>
          <w:b/>
          <w:i/>
          <w:color w:val="800080"/>
          <w:spacing w:val="6"/>
          <w:sz w:val="25"/>
          <w:u w:val="single" w:color="000000"/>
        </w:rPr>
        <w:t> </w:t>
      </w:r>
      <w:r>
        <w:rPr>
          <w:b/>
          <w:i/>
          <w:color w:val="800080"/>
          <w:sz w:val="25"/>
          <w:u w:val="single" w:color="000000"/>
        </w:rPr>
        <w:t>and</w:t>
      </w:r>
      <w:r>
        <w:rPr>
          <w:b/>
          <w:i/>
          <w:color w:val="800080"/>
          <w:spacing w:val="6"/>
          <w:sz w:val="25"/>
          <w:u w:val="single" w:color="000000"/>
        </w:rPr>
        <w:t> </w:t>
      </w:r>
      <w:r>
        <w:rPr>
          <w:b/>
          <w:i/>
          <w:color w:val="800080"/>
          <w:sz w:val="25"/>
          <w:u w:val="single" w:color="000000"/>
        </w:rPr>
        <w:t>OECD</w:t>
      </w:r>
      <w:r>
        <w:rPr>
          <w:b/>
          <w:i/>
          <w:color w:val="800080"/>
          <w:spacing w:val="6"/>
          <w:sz w:val="25"/>
          <w:u w:val="single" w:color="000000"/>
        </w:rPr>
        <w:t> </w:t>
      </w:r>
      <w:r>
        <w:rPr>
          <w:b/>
          <w:i/>
          <w:color w:val="800080"/>
          <w:spacing w:val="-2"/>
          <w:sz w:val="25"/>
          <w:u w:val="single" w:color="000000"/>
        </w:rPr>
        <w:t>Comparisons</w:t>
      </w:r>
      <w:r>
        <w:rPr>
          <w:b/>
          <w:i/>
          <w:color w:val="0000FF"/>
          <w:spacing w:val="-2"/>
          <w:sz w:val="25"/>
        </w:rPr>
        <w:t>,</w:t>
      </w:r>
    </w:p>
    <w:p>
      <w:pPr>
        <w:pStyle w:val="BodyText"/>
        <w:ind w:left="242"/>
      </w:pPr>
      <w:r>
        <w:rPr/>
        <w:t>Edward</w:t>
      </w:r>
      <w:r>
        <w:rPr>
          <w:spacing w:val="15"/>
        </w:rPr>
        <w:t> </w:t>
      </w:r>
      <w:r>
        <w:rPr/>
        <w:t>Elgar</w:t>
      </w:r>
      <w:r>
        <w:rPr>
          <w:spacing w:val="15"/>
        </w:rPr>
        <w:t> </w:t>
      </w:r>
      <w:r>
        <w:rPr/>
        <w:t>Publishing,</w:t>
      </w:r>
      <w:r>
        <w:rPr>
          <w:spacing w:val="16"/>
        </w:rPr>
        <w:t> </w:t>
      </w:r>
      <w:r>
        <w:rPr/>
        <w:t>Cheltenham,</w:t>
      </w:r>
      <w:r>
        <w:rPr>
          <w:spacing w:val="15"/>
        </w:rPr>
        <w:t> </w:t>
      </w:r>
      <w:r>
        <w:rPr/>
        <w:t>2009,</w:t>
      </w:r>
      <w:r>
        <w:rPr>
          <w:spacing w:val="16"/>
        </w:rPr>
        <w:t> </w:t>
      </w:r>
      <w:r>
        <w:rPr/>
        <w:t>(with</w:t>
      </w:r>
      <w:r>
        <w:rPr>
          <w:spacing w:val="15"/>
        </w:rPr>
        <w:t> </w:t>
      </w:r>
      <w:r>
        <w:rPr/>
        <w:t>Thomas</w:t>
      </w:r>
      <w:r>
        <w:rPr>
          <w:spacing w:val="16"/>
        </w:rPr>
        <w:t> </w:t>
      </w:r>
      <w:r>
        <w:rPr>
          <w:spacing w:val="-2"/>
        </w:rPr>
        <w:t>Strobel)</w:t>
      </w:r>
    </w:p>
    <w:p>
      <w:pPr>
        <w:pStyle w:val="BodyText"/>
      </w:pPr>
    </w:p>
    <w:p>
      <w:pPr>
        <w:spacing w:before="0"/>
        <w:ind w:left="242" w:right="0" w:firstLine="0"/>
        <w:jc w:val="left"/>
        <w:rPr>
          <w:sz w:val="25"/>
        </w:rPr>
      </w:pPr>
      <w:r>
        <w:rPr>
          <w:sz w:val="25"/>
        </w:rPr>
        <mc:AlternateContent>
          <mc:Choice Requires="wps">
            <w:drawing>
              <wp:anchor distT="0" distB="0" distL="0" distR="0" allowOverlap="1" layoutInCell="1" locked="0" behindDoc="0" simplePos="0" relativeHeight="15729152">
                <wp:simplePos x="0" y="0"/>
                <wp:positionH relativeFrom="page">
                  <wp:posOffset>3259540</wp:posOffset>
                </wp:positionH>
                <wp:positionV relativeFrom="paragraph">
                  <wp:posOffset>158400</wp:posOffset>
                </wp:positionV>
                <wp:extent cx="27305" cy="101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7305" cy="10160"/>
                        </a:xfrm>
                        <a:custGeom>
                          <a:avLst/>
                          <a:gdLst/>
                          <a:ahLst/>
                          <a:cxnLst/>
                          <a:rect l="l" t="t" r="r" b="b"/>
                          <a:pathLst>
                            <a:path w="27305" h="10160">
                              <a:moveTo>
                                <a:pt x="27219" y="0"/>
                              </a:moveTo>
                              <a:lnTo>
                                <a:pt x="0" y="0"/>
                              </a:lnTo>
                              <a:lnTo>
                                <a:pt x="0" y="10160"/>
                              </a:lnTo>
                              <a:lnTo>
                                <a:pt x="27219" y="10160"/>
                              </a:lnTo>
                              <a:lnTo>
                                <a:pt x="272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656708pt;margin-top:12.472455pt;width:2.1433pt;height:.8pt;mso-position-horizontal-relative:page;mso-position-vertical-relative:paragraph;z-index:15729152" id="docshape6" filled="true" fillcolor="#000000" stroked="false">
                <v:fill type="solid"/>
                <w10:wrap type="none"/>
              </v:rect>
            </w:pict>
          </mc:Fallback>
        </mc:AlternateContent>
      </w:r>
      <w:r>
        <w:rPr>
          <w:b/>
          <w:i/>
          <w:color w:val="800080"/>
          <w:sz w:val="25"/>
          <w:u w:val="single" w:color="000000"/>
        </w:rPr>
        <w:t>International Economics (Chinese Edition</w:t>
      </w:r>
      <w:r>
        <w:rPr>
          <w:b/>
          <w:i/>
          <w:color w:val="800080"/>
          <w:sz w:val="25"/>
        </w:rPr>
        <w:t>)</w:t>
      </w:r>
      <w:r>
        <w:rPr>
          <w:b/>
          <w:i/>
          <w:color w:val="0000FF"/>
          <w:sz w:val="25"/>
        </w:rPr>
        <w:t>, </w:t>
      </w:r>
      <w:r>
        <w:rPr>
          <w:sz w:val="25"/>
        </w:rPr>
        <w:t>Gezhi Press, Shanghai, 2013 (with John Mutti and Michelle Turnovsky).</w:t>
      </w:r>
    </w:p>
    <w:p>
      <w:pPr>
        <w:pStyle w:val="BodyText"/>
        <w:spacing w:before="8"/>
      </w:pPr>
    </w:p>
    <w:p>
      <w:pPr>
        <w:pStyle w:val="Heading1"/>
        <w:ind w:left="242"/>
      </w:pPr>
      <w:r>
        <w:rPr/>
        <w:t>Journals</w:t>
      </w:r>
      <w:r>
        <w:rPr>
          <w:spacing w:val="11"/>
        </w:rPr>
        <w:t> </w:t>
      </w:r>
      <w:r>
        <w:rPr>
          <w:spacing w:val="-2"/>
        </w:rPr>
        <w:t>(refereed)</w:t>
      </w:r>
    </w:p>
    <w:p>
      <w:pPr>
        <w:spacing w:before="4"/>
        <w:ind w:left="242" w:right="552" w:firstLine="0"/>
        <w:jc w:val="left"/>
        <w:rPr>
          <w:sz w:val="25"/>
        </w:rPr>
      </w:pPr>
      <w:r>
        <w:rPr>
          <w:color w:val="800080"/>
          <w:sz w:val="25"/>
          <w:u w:val="single" w:color="000000"/>
        </w:rPr>
        <w:t>Education, Technological Change and Economic Growth</w:t>
      </w:r>
      <w:r>
        <w:rPr>
          <w:color w:val="800080"/>
          <w:sz w:val="25"/>
        </w:rPr>
        <w:t>, </w:t>
      </w:r>
      <w:r>
        <w:rPr>
          <w:b/>
          <w:i/>
          <w:sz w:val="25"/>
        </w:rPr>
        <w:t>Inter-American Review of Educational Development</w:t>
      </w:r>
      <w:r>
        <w:rPr>
          <w:i/>
          <w:sz w:val="25"/>
        </w:rPr>
        <w:t>, </w:t>
      </w:r>
      <w:r>
        <w:rPr>
          <w:sz w:val="25"/>
        </w:rPr>
        <w:t>119, 3 (1994), pp 461-81, (with Thomas Bailey)</w:t>
      </w:r>
    </w:p>
    <w:p>
      <w:pPr>
        <w:pStyle w:val="BodyText"/>
        <w:spacing w:before="2"/>
      </w:pPr>
    </w:p>
    <w:p>
      <w:pPr>
        <w:spacing w:before="0"/>
        <w:ind w:left="242" w:right="552" w:firstLine="0"/>
        <w:jc w:val="left"/>
        <w:rPr>
          <w:sz w:val="25"/>
        </w:rPr>
      </w:pPr>
      <w:r>
        <w:rPr>
          <w:color w:val="800080"/>
          <w:sz w:val="25"/>
          <w:u w:val="single" w:color="000000"/>
        </w:rPr>
        <w:t>Interaction between Endogenous Human Capital and Technological Change</w:t>
      </w:r>
      <w:r>
        <w:rPr>
          <w:i/>
          <w:color w:val="800080"/>
          <w:sz w:val="25"/>
        </w:rPr>
        <w:t>, </w:t>
      </w:r>
      <w:r>
        <w:rPr>
          <w:b/>
          <w:i/>
          <w:sz w:val="25"/>
        </w:rPr>
        <w:t>Review of Economic Studies, </w:t>
      </w:r>
      <w:r>
        <w:rPr>
          <w:sz w:val="25"/>
        </w:rPr>
        <w:t>63, 1, (January 1996), pp 127-44.</w:t>
      </w:r>
    </w:p>
    <w:p>
      <w:pPr>
        <w:pStyle w:val="BodyText"/>
      </w:pPr>
    </w:p>
    <w:p>
      <w:pPr>
        <w:spacing w:before="1"/>
        <w:ind w:left="242" w:right="0" w:firstLine="0"/>
        <w:jc w:val="left"/>
        <w:rPr>
          <w:sz w:val="25"/>
        </w:rPr>
      </w:pPr>
      <w:r>
        <w:rPr>
          <w:color w:val="800080"/>
          <w:sz w:val="25"/>
          <w:u w:val="single" w:color="000000"/>
        </w:rPr>
        <w:t>The</w:t>
      </w:r>
      <w:r>
        <w:rPr>
          <w:color w:val="800080"/>
          <w:spacing w:val="11"/>
          <w:sz w:val="25"/>
          <w:u w:val="single" w:color="000000"/>
        </w:rPr>
        <w:t> </w:t>
      </w:r>
      <w:r>
        <w:rPr>
          <w:color w:val="800080"/>
          <w:sz w:val="25"/>
          <w:u w:val="single" w:color="000000"/>
        </w:rPr>
        <w:t>Human</w:t>
      </w:r>
      <w:r>
        <w:rPr>
          <w:color w:val="800080"/>
          <w:spacing w:val="12"/>
          <w:sz w:val="25"/>
          <w:u w:val="single" w:color="000000"/>
        </w:rPr>
        <w:t> </w:t>
      </w:r>
      <w:r>
        <w:rPr>
          <w:color w:val="800080"/>
          <w:sz w:val="25"/>
          <w:u w:val="single" w:color="000000"/>
        </w:rPr>
        <w:t>Capital</w:t>
      </w:r>
      <w:r>
        <w:rPr>
          <w:color w:val="800080"/>
          <w:spacing w:val="12"/>
          <w:sz w:val="25"/>
          <w:u w:val="single" w:color="000000"/>
        </w:rPr>
        <w:t> </w:t>
      </w:r>
      <w:r>
        <w:rPr>
          <w:color w:val="800080"/>
          <w:sz w:val="25"/>
          <w:u w:val="single" w:color="000000"/>
        </w:rPr>
        <w:t>Dimension</w:t>
      </w:r>
      <w:r>
        <w:rPr>
          <w:color w:val="800080"/>
          <w:spacing w:val="11"/>
          <w:sz w:val="25"/>
          <w:u w:val="single" w:color="000000"/>
        </w:rPr>
        <w:t> </w:t>
      </w:r>
      <w:r>
        <w:rPr>
          <w:color w:val="800080"/>
          <w:sz w:val="25"/>
          <w:u w:val="single" w:color="000000"/>
        </w:rPr>
        <w:t>to</w:t>
      </w:r>
      <w:r>
        <w:rPr>
          <w:color w:val="800080"/>
          <w:spacing w:val="12"/>
          <w:sz w:val="25"/>
          <w:u w:val="single" w:color="000000"/>
        </w:rPr>
        <w:t> </w:t>
      </w:r>
      <w:r>
        <w:rPr>
          <w:color w:val="800080"/>
          <w:sz w:val="25"/>
          <w:u w:val="single" w:color="000000"/>
        </w:rPr>
        <w:t>Direct</w:t>
      </w:r>
      <w:r>
        <w:rPr>
          <w:color w:val="800080"/>
          <w:spacing w:val="12"/>
          <w:sz w:val="25"/>
          <w:u w:val="single" w:color="000000"/>
        </w:rPr>
        <w:t> </w:t>
      </w:r>
      <w:r>
        <w:rPr>
          <w:color w:val="800080"/>
          <w:sz w:val="25"/>
          <w:u w:val="single" w:color="000000"/>
        </w:rPr>
        <w:t>Foreign</w:t>
      </w:r>
      <w:r>
        <w:rPr>
          <w:color w:val="800080"/>
          <w:spacing w:val="12"/>
          <w:sz w:val="25"/>
          <w:u w:val="single" w:color="000000"/>
        </w:rPr>
        <w:t> </w:t>
      </w:r>
      <w:r>
        <w:rPr>
          <w:color w:val="800080"/>
          <w:sz w:val="25"/>
          <w:u w:val="single" w:color="000000"/>
        </w:rPr>
        <w:t>Investment</w:t>
      </w:r>
      <w:r>
        <w:rPr>
          <w:color w:val="800080"/>
          <w:sz w:val="25"/>
        </w:rPr>
        <w:t>,</w:t>
      </w:r>
      <w:r>
        <w:rPr>
          <w:color w:val="800080"/>
          <w:spacing w:val="11"/>
          <w:sz w:val="25"/>
        </w:rPr>
        <w:t> </w:t>
      </w:r>
      <w:r>
        <w:rPr>
          <w:sz w:val="25"/>
        </w:rPr>
        <w:t>in</w:t>
      </w:r>
      <w:r>
        <w:rPr>
          <w:spacing w:val="12"/>
          <w:sz w:val="25"/>
        </w:rPr>
        <w:t> </w:t>
      </w:r>
      <w:r>
        <w:rPr>
          <w:i/>
          <w:sz w:val="25"/>
        </w:rPr>
        <w:t>Trade,</w:t>
      </w:r>
      <w:r>
        <w:rPr>
          <w:i/>
          <w:spacing w:val="12"/>
          <w:sz w:val="25"/>
        </w:rPr>
        <w:t> </w:t>
      </w:r>
      <w:r>
        <w:rPr>
          <w:i/>
          <w:sz w:val="25"/>
        </w:rPr>
        <w:t>Dynamics</w:t>
      </w:r>
      <w:r>
        <w:rPr>
          <w:i/>
          <w:spacing w:val="12"/>
          <w:sz w:val="25"/>
        </w:rPr>
        <w:t> </w:t>
      </w:r>
      <w:r>
        <w:rPr>
          <w:i/>
          <w:sz w:val="25"/>
        </w:rPr>
        <w:t>and</w:t>
      </w:r>
      <w:r>
        <w:rPr>
          <w:i/>
          <w:spacing w:val="11"/>
          <w:sz w:val="25"/>
        </w:rPr>
        <w:t> </w:t>
      </w:r>
      <w:r>
        <w:rPr>
          <w:i/>
          <w:spacing w:val="-2"/>
          <w:sz w:val="25"/>
        </w:rPr>
        <w:t>Growth</w:t>
      </w:r>
      <w:r>
        <w:rPr>
          <w:spacing w:val="-2"/>
          <w:sz w:val="25"/>
        </w:rPr>
        <w:t>,</w:t>
      </w:r>
    </w:p>
    <w:p>
      <w:pPr>
        <w:pStyle w:val="BodyText"/>
        <w:spacing w:before="0"/>
        <w:ind w:left="242"/>
      </w:pPr>
      <w:r>
        <w:rPr/>
        <w:t>B.</w:t>
      </w:r>
      <w:r>
        <w:rPr>
          <w:spacing w:val="7"/>
        </w:rPr>
        <w:t> </w:t>
      </w:r>
      <w:r>
        <w:rPr/>
        <w:t>Jensen</w:t>
      </w:r>
      <w:r>
        <w:rPr>
          <w:spacing w:val="7"/>
        </w:rPr>
        <w:t> </w:t>
      </w:r>
      <w:r>
        <w:rPr/>
        <w:t>and</w:t>
      </w:r>
      <w:r>
        <w:rPr>
          <w:spacing w:val="7"/>
        </w:rPr>
        <w:t> </w:t>
      </w:r>
      <w:r>
        <w:rPr/>
        <w:t>K.Y.</w:t>
      </w:r>
      <w:r>
        <w:rPr>
          <w:spacing w:val="8"/>
        </w:rPr>
        <w:t> </w:t>
      </w:r>
      <w:r>
        <w:rPr/>
        <w:t>Wong</w:t>
      </w:r>
      <w:r>
        <w:rPr>
          <w:spacing w:val="7"/>
        </w:rPr>
        <w:t> </w:t>
      </w:r>
      <w:r>
        <w:rPr/>
        <w:t>eds,</w:t>
      </w:r>
      <w:r>
        <w:rPr>
          <w:spacing w:val="7"/>
        </w:rPr>
        <w:t> </w:t>
      </w:r>
      <w:r>
        <w:rPr/>
        <w:t>Michigan</w:t>
      </w:r>
      <w:r>
        <w:rPr>
          <w:spacing w:val="8"/>
        </w:rPr>
        <w:t> </w:t>
      </w:r>
      <w:r>
        <w:rPr/>
        <w:t>University</w:t>
      </w:r>
      <w:r>
        <w:rPr>
          <w:spacing w:val="7"/>
        </w:rPr>
        <w:t> </w:t>
      </w:r>
      <w:r>
        <w:rPr/>
        <w:t>Press,</w:t>
      </w:r>
      <w:r>
        <w:rPr>
          <w:spacing w:val="7"/>
        </w:rPr>
        <w:t> </w:t>
      </w:r>
      <w:r>
        <w:rPr/>
        <w:t>1997,</w:t>
      </w:r>
      <w:r>
        <w:rPr>
          <w:spacing w:val="8"/>
        </w:rPr>
        <w:t> </w:t>
      </w:r>
      <w:r>
        <w:rPr/>
        <w:t>(with</w:t>
      </w:r>
      <w:r>
        <w:rPr>
          <w:spacing w:val="7"/>
        </w:rPr>
        <w:t> </w:t>
      </w:r>
      <w:r>
        <w:rPr/>
        <w:t>Pantelis</w:t>
      </w:r>
      <w:r>
        <w:rPr>
          <w:spacing w:val="7"/>
        </w:rPr>
        <w:t> </w:t>
      </w:r>
      <w:r>
        <w:rPr>
          <w:spacing w:val="-2"/>
        </w:rPr>
        <w:t>Kalaitzidakis).</w:t>
      </w:r>
    </w:p>
    <w:p>
      <w:pPr>
        <w:pStyle w:val="BodyText"/>
      </w:pPr>
    </w:p>
    <w:p>
      <w:pPr>
        <w:spacing w:before="0"/>
        <w:ind w:left="242" w:right="552" w:firstLine="0"/>
        <w:jc w:val="left"/>
        <w:rPr>
          <w:sz w:val="25"/>
        </w:rPr>
      </w:pPr>
      <w:r>
        <w:rPr>
          <w:color w:val="800080"/>
          <w:sz w:val="25"/>
          <w:u w:val="single" w:color="000000"/>
        </w:rPr>
        <w:t>Transitional Dynamics in Non-Scale Growth Models</w:t>
      </w:r>
      <w:r>
        <w:rPr>
          <w:color w:val="800080"/>
          <w:sz w:val="25"/>
        </w:rPr>
        <w:t>, </w:t>
      </w:r>
      <w:r>
        <w:rPr>
          <w:sz w:val="25"/>
        </w:rPr>
        <w:t>in </w:t>
      </w:r>
      <w:r>
        <w:rPr>
          <w:b/>
          <w:i/>
          <w:sz w:val="25"/>
        </w:rPr>
        <w:t>Computing in Economics and Finance</w:t>
      </w:r>
      <w:r>
        <w:rPr>
          <w:sz w:val="25"/>
        </w:rPr>
        <w:t>, 1997, 105 (with Stephen Turnovsky)</w:t>
      </w:r>
    </w:p>
    <w:p>
      <w:pPr>
        <w:pStyle w:val="BodyText"/>
      </w:pPr>
    </w:p>
    <w:p>
      <w:pPr>
        <w:spacing w:before="1"/>
        <w:ind w:left="242" w:right="552" w:firstLine="0"/>
        <w:jc w:val="left"/>
        <w:rPr>
          <w:sz w:val="25"/>
        </w:rPr>
      </w:pPr>
      <w:r>
        <w:rPr>
          <w:color w:val="800080"/>
          <w:sz w:val="25"/>
          <w:u w:val="single" w:color="000000"/>
        </w:rPr>
        <w:t>Risk and Financial Development</w:t>
      </w:r>
      <w:r>
        <w:rPr>
          <w:color w:val="800080"/>
          <w:sz w:val="25"/>
        </w:rPr>
        <w:t>, </w:t>
      </w:r>
      <w:r>
        <w:rPr>
          <w:sz w:val="25"/>
        </w:rPr>
        <w:t>in </w:t>
      </w:r>
      <w:r>
        <w:rPr>
          <w:i/>
          <w:sz w:val="25"/>
        </w:rPr>
        <w:t>Managing Capital Flows and Exchange Rates </w:t>
      </w:r>
      <w:r>
        <w:rPr>
          <w:sz w:val="25"/>
        </w:rPr>
        <w:t>Reuven Glick (ed), Cambridge University Press, 1998, (with Steve Turnovsky).</w:t>
      </w:r>
    </w:p>
    <w:p>
      <w:pPr>
        <w:pStyle w:val="BodyText"/>
      </w:pPr>
    </w:p>
    <w:p>
      <w:pPr>
        <w:spacing w:before="0"/>
        <w:ind w:left="242" w:right="0" w:firstLine="0"/>
        <w:jc w:val="left"/>
        <w:rPr>
          <w:sz w:val="25"/>
        </w:rPr>
      </w:pPr>
      <w:r>
        <w:rPr>
          <w:sz w:val="25"/>
        </w:rPr>
        <mc:AlternateContent>
          <mc:Choice Requires="wps">
            <w:drawing>
              <wp:anchor distT="0" distB="0" distL="0" distR="0" allowOverlap="1" layoutInCell="1" locked="0" behindDoc="0" simplePos="0" relativeHeight="15729664">
                <wp:simplePos x="0" y="0"/>
                <wp:positionH relativeFrom="page">
                  <wp:posOffset>4080419</wp:posOffset>
                </wp:positionH>
                <wp:positionV relativeFrom="paragraph">
                  <wp:posOffset>158702</wp:posOffset>
                </wp:positionV>
                <wp:extent cx="29845" cy="1016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9845" cy="10160"/>
                        </a:xfrm>
                        <a:custGeom>
                          <a:avLst/>
                          <a:gdLst/>
                          <a:ahLst/>
                          <a:cxnLst/>
                          <a:rect l="l" t="t" r="r" b="b"/>
                          <a:pathLst>
                            <a:path w="29845" h="10160">
                              <a:moveTo>
                                <a:pt x="29697" y="0"/>
                              </a:moveTo>
                              <a:lnTo>
                                <a:pt x="0" y="0"/>
                              </a:lnTo>
                              <a:lnTo>
                                <a:pt x="0" y="10159"/>
                              </a:lnTo>
                              <a:lnTo>
                                <a:pt x="29697" y="10159"/>
                              </a:lnTo>
                              <a:lnTo>
                                <a:pt x="29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1.292908pt;margin-top:12.496283pt;width:2.3384pt;height:.8pt;mso-position-horizontal-relative:page;mso-position-vertical-relative:paragraph;z-index:15729664" id="docshape7" filled="true" fillcolor="#000000" stroked="false">
                <v:fill type="solid"/>
                <w10:wrap type="none"/>
              </v:rect>
            </w:pict>
          </mc:Fallback>
        </mc:AlternateContent>
      </w:r>
      <w:r>
        <w:rPr>
          <w:color w:val="800080"/>
          <w:sz w:val="25"/>
          <w:u w:val="single" w:color="000000"/>
        </w:rPr>
        <w:t>Trainin</w:t>
      </w:r>
      <w:r>
        <w:rPr>
          <w:color w:val="800080"/>
          <w:sz w:val="25"/>
        </w:rPr>
        <w:t>g,</w:t>
      </w:r>
      <w:r>
        <w:rPr>
          <w:color w:val="800080"/>
          <w:sz w:val="25"/>
          <w:u w:val="single" w:color="000000"/>
        </w:rPr>
        <w:t> Adverse Selection and Appropriate Technolo</w:t>
      </w:r>
      <w:r>
        <w:rPr>
          <w:color w:val="800080"/>
          <w:sz w:val="25"/>
        </w:rPr>
        <w:t>gy, </w:t>
      </w:r>
      <w:r>
        <w:rPr>
          <w:b/>
          <w:i/>
          <w:sz w:val="25"/>
        </w:rPr>
        <w:t>Journal of Economic Dynamics and Control</w:t>
      </w:r>
      <w:r>
        <w:rPr>
          <w:sz w:val="25"/>
        </w:rPr>
        <w:t>, 23, (April 1999), pp 727-746.</w:t>
      </w:r>
    </w:p>
    <w:p>
      <w:pPr>
        <w:pStyle w:val="BodyText"/>
        <w:spacing w:before="2"/>
      </w:pPr>
    </w:p>
    <w:p>
      <w:pPr>
        <w:spacing w:before="0"/>
        <w:ind w:left="242" w:right="552" w:firstLine="0"/>
        <w:jc w:val="left"/>
        <w:rPr>
          <w:sz w:val="25"/>
        </w:rPr>
      </w:pPr>
      <w:r>
        <w:rPr>
          <w:color w:val="800080"/>
          <w:sz w:val="25"/>
          <w:u w:val="single" w:color="000000"/>
        </w:rPr>
        <w:t>International Capital Markets and Non Scale Growth</w:t>
      </w:r>
      <w:r>
        <w:rPr>
          <w:sz w:val="25"/>
        </w:rPr>
        <w:t>, </w:t>
      </w:r>
      <w:r>
        <w:rPr>
          <w:b/>
          <w:i/>
          <w:sz w:val="25"/>
        </w:rPr>
        <w:t>Review of International Economics</w:t>
      </w:r>
      <w:r>
        <w:rPr>
          <w:sz w:val="25"/>
        </w:rPr>
        <w:t>, 7, (May 1999), pp 1-27, (with Steve Turnovsky)</w:t>
      </w:r>
    </w:p>
    <w:p>
      <w:pPr>
        <w:pStyle w:val="BodyText"/>
      </w:pPr>
    </w:p>
    <w:p>
      <w:pPr>
        <w:pStyle w:val="BodyText"/>
        <w:spacing w:before="0"/>
        <w:ind w:left="242"/>
      </w:pPr>
      <w:r>
        <w:rPr>
          <w:color w:val="800080"/>
          <w:u w:val="single" w:color="000000"/>
        </w:rPr>
        <w:t>Trade,</w:t>
      </w:r>
      <w:r>
        <w:rPr>
          <w:color w:val="800080"/>
          <w:spacing w:val="12"/>
          <w:u w:val="single" w:color="000000"/>
        </w:rPr>
        <w:t> </w:t>
      </w:r>
      <w:r>
        <w:rPr>
          <w:color w:val="800080"/>
          <w:u w:val="single" w:color="000000"/>
        </w:rPr>
        <w:t>Development</w:t>
      </w:r>
      <w:r>
        <w:rPr>
          <w:color w:val="800080"/>
          <w:spacing w:val="12"/>
          <w:u w:val="single" w:color="000000"/>
        </w:rPr>
        <w:t> </w:t>
      </w:r>
      <w:r>
        <w:rPr>
          <w:color w:val="800080"/>
          <w:u w:val="single" w:color="000000"/>
        </w:rPr>
        <w:t>and</w:t>
      </w:r>
      <w:r>
        <w:rPr>
          <w:color w:val="800080"/>
          <w:spacing w:val="12"/>
          <w:u w:val="single" w:color="000000"/>
        </w:rPr>
        <w:t> </w:t>
      </w:r>
      <w:r>
        <w:rPr>
          <w:color w:val="800080"/>
          <w:u w:val="single" w:color="000000"/>
        </w:rPr>
        <w:t>Conver</w:t>
      </w:r>
      <w:r>
        <w:rPr>
          <w:color w:val="800080"/>
        </w:rPr>
        <w:t>g</w:t>
      </w:r>
      <w:r>
        <w:rPr>
          <w:color w:val="800080"/>
          <w:u w:val="single" w:color="000000"/>
        </w:rPr>
        <w:t>ing</w:t>
      </w:r>
      <w:r>
        <w:rPr>
          <w:color w:val="800080"/>
          <w:spacing w:val="11"/>
          <w:u w:val="single" w:color="000000"/>
        </w:rPr>
        <w:t> </w:t>
      </w:r>
      <w:r>
        <w:rPr>
          <w:color w:val="800080"/>
          <w:u w:val="single" w:color="000000"/>
        </w:rPr>
        <w:t>Growth</w:t>
      </w:r>
      <w:r>
        <w:rPr>
          <w:color w:val="800080"/>
          <w:spacing w:val="13"/>
          <w:u w:val="single" w:color="000000"/>
        </w:rPr>
        <w:t> </w:t>
      </w:r>
      <w:r>
        <w:rPr>
          <w:color w:val="800080"/>
          <w:u w:val="single" w:color="000000"/>
        </w:rPr>
        <w:t>Rates:</w:t>
      </w:r>
      <w:r>
        <w:rPr>
          <w:color w:val="800080"/>
          <w:spacing w:val="12"/>
          <w:u w:val="single" w:color="000000"/>
        </w:rPr>
        <w:t> </w:t>
      </w:r>
      <w:r>
        <w:rPr>
          <w:color w:val="800080"/>
          <w:u w:val="single" w:color="000000"/>
        </w:rPr>
        <w:t>Dynamic</w:t>
      </w:r>
      <w:r>
        <w:rPr>
          <w:color w:val="800080"/>
          <w:spacing w:val="12"/>
          <w:u w:val="single" w:color="000000"/>
        </w:rPr>
        <w:t> </w:t>
      </w:r>
      <w:r>
        <w:rPr>
          <w:color w:val="800080"/>
          <w:u w:val="single" w:color="000000"/>
        </w:rPr>
        <w:t>Gains</w:t>
      </w:r>
      <w:r>
        <w:rPr>
          <w:color w:val="800080"/>
          <w:spacing w:val="12"/>
          <w:u w:val="single" w:color="000000"/>
        </w:rPr>
        <w:t> </w:t>
      </w:r>
      <w:r>
        <w:rPr>
          <w:color w:val="800080"/>
          <w:u w:val="single" w:color="000000"/>
        </w:rPr>
        <w:t>from</w:t>
      </w:r>
      <w:r>
        <w:rPr>
          <w:color w:val="800080"/>
          <w:spacing w:val="12"/>
          <w:u w:val="single" w:color="000000"/>
        </w:rPr>
        <w:t> </w:t>
      </w:r>
      <w:r>
        <w:rPr>
          <w:color w:val="800080"/>
          <w:u w:val="single" w:color="000000"/>
        </w:rPr>
        <w:t>Trade</w:t>
      </w:r>
      <w:r>
        <w:rPr>
          <w:color w:val="800080"/>
          <w:spacing w:val="13"/>
          <w:u w:val="single" w:color="000000"/>
        </w:rPr>
        <w:t> </w:t>
      </w:r>
      <w:r>
        <w:rPr>
          <w:color w:val="800080"/>
          <w:spacing w:val="-2"/>
          <w:u w:val="single" w:color="000000"/>
        </w:rPr>
        <w:t>Reconsidered</w:t>
      </w:r>
      <w:r>
        <w:rPr>
          <w:color w:val="0000FF"/>
          <w:spacing w:val="-2"/>
        </w:rPr>
        <w:t>,</w:t>
      </w:r>
    </w:p>
    <w:p>
      <w:pPr>
        <w:spacing w:before="1"/>
        <w:ind w:left="242" w:right="0" w:firstLine="0"/>
        <w:jc w:val="left"/>
        <w:rPr>
          <w:sz w:val="25"/>
        </w:rPr>
      </w:pPr>
      <w:r>
        <w:rPr>
          <w:b/>
          <w:i/>
          <w:sz w:val="25"/>
        </w:rPr>
        <w:t>Journal</w:t>
      </w:r>
      <w:r>
        <w:rPr>
          <w:b/>
          <w:i/>
          <w:spacing w:val="14"/>
          <w:sz w:val="25"/>
        </w:rPr>
        <w:t> </w:t>
      </w:r>
      <w:r>
        <w:rPr>
          <w:b/>
          <w:i/>
          <w:sz w:val="25"/>
        </w:rPr>
        <w:t>of</w:t>
      </w:r>
      <w:r>
        <w:rPr>
          <w:b/>
          <w:i/>
          <w:spacing w:val="14"/>
          <w:sz w:val="25"/>
        </w:rPr>
        <w:t> </w:t>
      </w:r>
      <w:r>
        <w:rPr>
          <w:b/>
          <w:i/>
          <w:sz w:val="25"/>
        </w:rPr>
        <w:t>International</w:t>
      </w:r>
      <w:r>
        <w:rPr>
          <w:b/>
          <w:i/>
          <w:spacing w:val="15"/>
          <w:sz w:val="25"/>
        </w:rPr>
        <w:t> </w:t>
      </w:r>
      <w:r>
        <w:rPr>
          <w:b/>
          <w:i/>
          <w:sz w:val="25"/>
        </w:rPr>
        <w:t>Economics</w:t>
      </w:r>
      <w:r>
        <w:rPr>
          <w:sz w:val="25"/>
        </w:rPr>
        <w:t>,</w:t>
      </w:r>
      <w:r>
        <w:rPr>
          <w:spacing w:val="14"/>
          <w:sz w:val="25"/>
        </w:rPr>
        <w:t> </w:t>
      </w:r>
      <w:r>
        <w:rPr>
          <w:sz w:val="25"/>
        </w:rPr>
        <w:t>48,</w:t>
      </w:r>
      <w:r>
        <w:rPr>
          <w:spacing w:val="15"/>
          <w:sz w:val="25"/>
        </w:rPr>
        <w:t> </w:t>
      </w:r>
      <w:r>
        <w:rPr>
          <w:sz w:val="25"/>
        </w:rPr>
        <w:t>(June</w:t>
      </w:r>
      <w:r>
        <w:rPr>
          <w:spacing w:val="14"/>
          <w:sz w:val="25"/>
        </w:rPr>
        <w:t> </w:t>
      </w:r>
      <w:r>
        <w:rPr>
          <w:sz w:val="25"/>
        </w:rPr>
        <w:t>1999),</w:t>
      </w:r>
      <w:r>
        <w:rPr>
          <w:spacing w:val="14"/>
          <w:sz w:val="25"/>
        </w:rPr>
        <w:t> </w:t>
      </w:r>
      <w:r>
        <w:rPr>
          <w:sz w:val="25"/>
        </w:rPr>
        <w:t>pp</w:t>
      </w:r>
      <w:r>
        <w:rPr>
          <w:spacing w:val="15"/>
          <w:sz w:val="25"/>
        </w:rPr>
        <w:t> </w:t>
      </w:r>
      <w:r>
        <w:rPr>
          <w:sz w:val="25"/>
        </w:rPr>
        <w:t>179-</w:t>
      </w:r>
      <w:r>
        <w:rPr>
          <w:spacing w:val="-4"/>
          <w:sz w:val="25"/>
        </w:rPr>
        <w:t>198.</w:t>
      </w:r>
    </w:p>
    <w:p>
      <w:pPr>
        <w:spacing w:after="0"/>
        <w:jc w:val="left"/>
        <w:rPr>
          <w:sz w:val="25"/>
        </w:rPr>
        <w:sectPr>
          <w:pgSz w:w="12240" w:h="15840"/>
          <w:pgMar w:top="340" w:bottom="280" w:left="360" w:right="1440"/>
        </w:sectPr>
      </w:pPr>
    </w:p>
    <w:p>
      <w:pPr>
        <w:pStyle w:val="BodyText"/>
        <w:spacing w:before="30"/>
        <w:ind w:left="242" w:right="552"/>
      </w:pPr>
      <w:r>
        <w:rPr>
          <w:color w:val="800080"/>
          <w:u w:val="single" w:color="000000"/>
        </w:rPr>
        <w:t>A</w:t>
      </w:r>
      <w:r>
        <w:rPr>
          <w:color w:val="800080"/>
          <w:spacing w:val="-2"/>
          <w:u w:val="single" w:color="000000"/>
        </w:rPr>
        <w:t> </w:t>
      </w:r>
      <w:r>
        <w:rPr>
          <w:color w:val="800080"/>
          <w:u w:val="single" w:color="000000"/>
        </w:rPr>
        <w:t>Generalized Model of Economic Growth</w:t>
      </w:r>
      <w:r>
        <w:rPr>
          <w:color w:val="0000FF"/>
        </w:rPr>
        <w:t>, </w:t>
      </w:r>
      <w:r>
        <w:rPr>
          <w:b/>
          <w:i/>
        </w:rPr>
        <w:t>Economic Journal</w:t>
      </w:r>
      <w:r>
        <w:rPr/>
        <w:t>, 109, (July 1999), pp 394-415, (with Steve Turnovsky).</w:t>
      </w:r>
    </w:p>
    <w:p>
      <w:pPr>
        <w:pStyle w:val="BodyText"/>
        <w:spacing w:before="2"/>
      </w:pPr>
    </w:p>
    <w:p>
      <w:pPr>
        <w:spacing w:before="0"/>
        <w:ind w:left="242" w:right="552" w:firstLine="0"/>
        <w:jc w:val="left"/>
        <w:rPr>
          <w:sz w:val="25"/>
        </w:rPr>
      </w:pPr>
      <w:r>
        <w:rPr>
          <w:color w:val="800080"/>
          <w:sz w:val="25"/>
          <w:u w:val="single" w:color="000000"/>
        </w:rPr>
        <w:t>Conver</w:t>
      </w:r>
      <w:r>
        <w:rPr>
          <w:color w:val="800080"/>
          <w:sz w:val="25"/>
        </w:rPr>
        <w:t>g</w:t>
      </w:r>
      <w:r>
        <w:rPr>
          <w:color w:val="800080"/>
          <w:sz w:val="25"/>
          <w:u w:val="single" w:color="000000"/>
        </w:rPr>
        <w:t>ence in a Two Sector Non-Scale Growth Model</w:t>
      </w:r>
      <w:r>
        <w:rPr>
          <w:color w:val="800080"/>
          <w:sz w:val="25"/>
        </w:rPr>
        <w:t>, </w:t>
      </w:r>
      <w:r>
        <w:rPr>
          <w:b/>
          <w:i/>
          <w:sz w:val="25"/>
        </w:rPr>
        <w:t>Journal of Economic Growth</w:t>
      </w:r>
      <w:r>
        <w:rPr>
          <w:i/>
          <w:sz w:val="25"/>
        </w:rPr>
        <w:t>, </w:t>
      </w:r>
      <w:r>
        <w:rPr>
          <w:sz w:val="25"/>
        </w:rPr>
        <w:t>4, (December 1999), pp 413-429, (with Steve Turnovsky).</w:t>
      </w:r>
    </w:p>
    <w:p>
      <w:pPr>
        <w:pStyle w:val="BodyText"/>
      </w:pPr>
    </w:p>
    <w:p>
      <w:pPr>
        <w:pStyle w:val="BodyText"/>
        <w:spacing w:before="0"/>
        <w:ind w:left="242" w:right="552"/>
      </w:pPr>
      <w:r>
        <w:rPr>
          <w:color w:val="800080"/>
          <w:u w:val="single" w:color="000000"/>
        </w:rPr>
        <w:t>Optimal Policies for Financial Liberalizations</w:t>
      </w:r>
      <w:r>
        <w:rPr>
          <w:color w:val="800080"/>
        </w:rPr>
        <w:t>, </w:t>
      </w:r>
      <w:r>
        <w:rPr>
          <w:b/>
          <w:i/>
        </w:rPr>
        <w:t>German Economic Review</w:t>
      </w:r>
      <w:r>
        <w:rPr>
          <w:i/>
        </w:rPr>
        <w:t>, </w:t>
      </w:r>
      <w:r>
        <w:rPr/>
        <w:t>1, (February 2000), pp 19-42, (with Steve Turnovsky and Uwe Walz)</w:t>
      </w:r>
    </w:p>
    <w:p>
      <w:pPr>
        <w:pStyle w:val="BodyText"/>
        <w:spacing w:before="2"/>
      </w:pPr>
    </w:p>
    <w:p>
      <w:pPr>
        <w:pStyle w:val="BodyText"/>
        <w:spacing w:before="0"/>
        <w:ind w:left="242" w:right="552"/>
      </w:pPr>
      <w:r>
        <w:rPr>
          <w:color w:val="800080"/>
          <w:u w:val="single" w:color="000000"/>
        </w:rPr>
        <w:t>Scale, Congestion and Growth</w:t>
      </w:r>
      <w:r>
        <w:rPr>
          <w:color w:val="800080"/>
        </w:rPr>
        <w:t>, </w:t>
      </w:r>
      <w:r>
        <w:rPr>
          <w:b/>
          <w:i/>
        </w:rPr>
        <w:t>Economica</w:t>
      </w:r>
      <w:r>
        <w:rPr/>
        <w:t>, 67, (August 2000), pp 325-47, (with Steve </w:t>
      </w:r>
      <w:r>
        <w:rPr>
          <w:spacing w:val="-2"/>
        </w:rPr>
        <w:t>Turnovsky).</w:t>
      </w:r>
    </w:p>
    <w:p>
      <w:pPr>
        <w:pStyle w:val="BodyText"/>
      </w:pPr>
    </w:p>
    <w:p>
      <w:pPr>
        <w:spacing w:before="1"/>
        <w:ind w:left="242" w:right="552" w:firstLine="0"/>
        <w:jc w:val="left"/>
        <w:rPr>
          <w:sz w:val="25"/>
        </w:rPr>
      </w:pPr>
      <w:r>
        <w:rPr>
          <w:color w:val="800080"/>
          <w:sz w:val="25"/>
          <w:u w:val="single" w:color="000000"/>
        </w:rPr>
        <w:t>Transitional Dynamics in a Two-Sector Non-Scale Growth Model</w:t>
      </w:r>
      <w:r>
        <w:rPr>
          <w:color w:val="0000FF"/>
          <w:sz w:val="25"/>
        </w:rPr>
        <w:t>, </w:t>
      </w:r>
      <w:r>
        <w:rPr>
          <w:b/>
          <w:i/>
          <w:sz w:val="25"/>
        </w:rPr>
        <w:t>Journal of Economic Dynamics and Control</w:t>
      </w:r>
      <w:r>
        <w:rPr>
          <w:sz w:val="25"/>
        </w:rPr>
        <w:t>, 25, (January 2001), pp 85-113, (with Steve Turnovsky).</w:t>
      </w:r>
    </w:p>
    <w:p>
      <w:pPr>
        <w:pStyle w:val="BodyText"/>
      </w:pPr>
    </w:p>
    <w:p>
      <w:pPr>
        <w:pStyle w:val="BodyText"/>
        <w:spacing w:before="0"/>
        <w:ind w:left="242" w:right="552"/>
      </w:pPr>
      <w:r>
        <w:rPr>
          <w:color w:val="800080"/>
          <w:u w:val="single" w:color="000000"/>
        </w:rPr>
        <w:t>Financial Liberalization and Capital Flow Reversal</w:t>
      </w:r>
      <w:r>
        <w:rPr>
          <w:color w:val="800080"/>
        </w:rPr>
        <w:t>, </w:t>
      </w:r>
      <w:r>
        <w:rPr>
          <w:b/>
          <w:i/>
        </w:rPr>
        <w:t>Economic Review, </w:t>
      </w:r>
      <w:r>
        <w:rPr/>
        <w:t>52, 4, (October 2001), (with Steve Turnovsky and Uwe Walz)</w:t>
      </w:r>
    </w:p>
    <w:p>
      <w:pPr>
        <w:pStyle w:val="BodyText"/>
        <w:spacing w:before="2"/>
      </w:pPr>
    </w:p>
    <w:p>
      <w:pPr>
        <w:spacing w:before="0"/>
        <w:ind w:left="242" w:right="552" w:firstLine="0"/>
        <w:jc w:val="left"/>
        <w:rPr>
          <w:sz w:val="25"/>
        </w:rPr>
      </w:pPr>
      <w:r>
        <w:rPr>
          <w:color w:val="800080"/>
          <w:sz w:val="25"/>
          <w:u w:val="single" w:color="000000"/>
        </w:rPr>
        <w:t>Inequality</w:t>
      </w:r>
      <w:r>
        <w:rPr>
          <w:color w:val="800080"/>
          <w:spacing w:val="40"/>
          <w:sz w:val="25"/>
          <w:u w:val="single" w:color="000000"/>
        </w:rPr>
        <w:t> </w:t>
      </w:r>
      <w:r>
        <w:rPr>
          <w:color w:val="800080"/>
          <w:sz w:val="25"/>
          <w:u w:val="single" w:color="000000"/>
        </w:rPr>
        <w:t>and Growth: The Dual Role of Human Capital in Development</w:t>
      </w:r>
      <w:r>
        <w:rPr>
          <w:color w:val="800080"/>
          <w:sz w:val="25"/>
        </w:rPr>
        <w:t>, </w:t>
      </w:r>
      <w:r>
        <w:rPr>
          <w:b/>
          <w:i/>
          <w:sz w:val="25"/>
        </w:rPr>
        <w:t>Journal of Development Economics</w:t>
      </w:r>
      <w:r>
        <w:rPr>
          <w:i/>
          <w:sz w:val="25"/>
        </w:rPr>
        <w:t>, </w:t>
      </w:r>
      <w:r>
        <w:rPr>
          <w:sz w:val="25"/>
        </w:rPr>
        <w:t>66, (October 2001), pp 173-97, (with Cecilia García-Peñalosa )</w:t>
      </w:r>
    </w:p>
    <w:p>
      <w:pPr>
        <w:pStyle w:val="BodyText"/>
      </w:pPr>
    </w:p>
    <w:p>
      <w:pPr>
        <w:pStyle w:val="BodyText"/>
        <w:spacing w:before="0"/>
        <w:ind w:left="242" w:right="552"/>
      </w:pPr>
      <w:r>
        <w:rPr>
          <w:color w:val="800080"/>
          <w:u w:val="single" w:color="000000"/>
        </w:rPr>
        <w:t>Protection for Sale: An Empirical Investi</w:t>
      </w:r>
      <w:r>
        <w:rPr>
          <w:color w:val="800080"/>
        </w:rPr>
        <w:t>g</w:t>
      </w:r>
      <w:r>
        <w:rPr>
          <w:color w:val="800080"/>
          <w:u w:val="single" w:color="000000"/>
        </w:rPr>
        <w:t>ation: A Comment</w:t>
      </w:r>
      <w:r>
        <w:rPr>
          <w:color w:val="800080"/>
        </w:rPr>
        <w:t>, </w:t>
      </w:r>
      <w:r>
        <w:rPr>
          <w:b/>
          <w:i/>
        </w:rPr>
        <w:t>American Economic Review, </w:t>
      </w:r>
      <w:r>
        <w:rPr/>
        <w:t>92,</w:t>
      </w:r>
      <w:r>
        <w:rPr>
          <w:spacing w:val="80"/>
        </w:rPr>
        <w:t> </w:t>
      </w:r>
      <w:r>
        <w:rPr/>
        <w:t>5 (December 2002), pp 1702-11, (with Thomas Osang)</w:t>
      </w:r>
    </w:p>
    <w:p>
      <w:pPr>
        <w:pStyle w:val="BodyText"/>
        <w:spacing w:before="2"/>
      </w:pPr>
    </w:p>
    <w:p>
      <w:pPr>
        <w:spacing w:before="0"/>
        <w:ind w:left="242" w:right="552" w:firstLine="0"/>
        <w:jc w:val="left"/>
        <w:rPr>
          <w:sz w:val="25"/>
        </w:rPr>
      </w:pPr>
      <w:r>
        <w:rPr>
          <w:color w:val="800080"/>
          <w:sz w:val="25"/>
          <w:u w:val="single" w:color="000000"/>
        </w:rPr>
        <w:t>An Evolutionar</w:t>
      </w:r>
      <w:r>
        <w:rPr>
          <w:color w:val="800080"/>
          <w:sz w:val="25"/>
        </w:rPr>
        <w:t>y</w:t>
      </w:r>
      <w:r>
        <w:rPr>
          <w:color w:val="800080"/>
          <w:spacing w:val="40"/>
          <w:sz w:val="25"/>
          <w:u w:val="single" w:color="000000"/>
        </w:rPr>
        <w:t> </w:t>
      </w:r>
      <w:r>
        <w:rPr>
          <w:color w:val="800080"/>
          <w:sz w:val="25"/>
          <w:u w:val="single" w:color="000000"/>
        </w:rPr>
        <w:t>Approach to Technological Change and Growth</w:t>
      </w:r>
      <w:r>
        <w:rPr>
          <w:color w:val="800080"/>
          <w:sz w:val="25"/>
        </w:rPr>
        <w:t>, </w:t>
      </w:r>
      <w:r>
        <w:rPr>
          <w:b/>
          <w:i/>
          <w:sz w:val="25"/>
        </w:rPr>
        <w:t>Computing in Economics and Finance</w:t>
      </w:r>
      <w:r>
        <w:rPr>
          <w:i/>
          <w:sz w:val="25"/>
        </w:rPr>
        <w:t>, 197, </w:t>
      </w:r>
      <w:r>
        <w:rPr>
          <w:sz w:val="25"/>
        </w:rPr>
        <w:t>(2002), pp (with Klaas vant Veld)</w:t>
      </w:r>
    </w:p>
    <w:p>
      <w:pPr>
        <w:pStyle w:val="BodyText"/>
      </w:pPr>
    </w:p>
    <w:p>
      <w:pPr>
        <w:spacing w:before="0"/>
        <w:ind w:left="242" w:right="552" w:firstLine="0"/>
        <w:jc w:val="left"/>
        <w:rPr>
          <w:sz w:val="25"/>
        </w:rPr>
      </w:pPr>
      <w:r>
        <w:rPr>
          <w:color w:val="800080"/>
          <w:sz w:val="25"/>
          <w:u w:val="single" w:color="000000"/>
        </w:rPr>
        <w:t>The Impact of Tax Policy</w:t>
      </w:r>
      <w:r>
        <w:rPr>
          <w:color w:val="800080"/>
          <w:spacing w:val="40"/>
          <w:sz w:val="25"/>
          <w:u w:val="single" w:color="000000"/>
        </w:rPr>
        <w:t> </w:t>
      </w:r>
      <w:r>
        <w:rPr>
          <w:color w:val="800080"/>
          <w:sz w:val="25"/>
          <w:u w:val="single" w:color="000000"/>
        </w:rPr>
        <w:t>on Inequality</w:t>
      </w:r>
      <w:r>
        <w:rPr>
          <w:color w:val="800080"/>
          <w:spacing w:val="40"/>
          <w:sz w:val="25"/>
          <w:u w:val="single" w:color="000000"/>
        </w:rPr>
        <w:t> </w:t>
      </w:r>
      <w:r>
        <w:rPr>
          <w:color w:val="800080"/>
          <w:sz w:val="25"/>
          <w:u w:val="single" w:color="000000"/>
        </w:rPr>
        <w:t>and Growth: An Empirical and Theoretical</w:t>
      </w:r>
      <w:r>
        <w:rPr>
          <w:color w:val="800080"/>
          <w:sz w:val="25"/>
        </w:rPr>
        <w:t> </w:t>
      </w:r>
      <w:r>
        <w:rPr>
          <w:color w:val="800080"/>
          <w:sz w:val="25"/>
          <w:u w:val="single" w:color="000000"/>
        </w:rPr>
        <w:t>Investi</w:t>
      </w:r>
      <w:r>
        <w:rPr>
          <w:color w:val="800080"/>
          <w:sz w:val="25"/>
        </w:rPr>
        <w:t>g</w:t>
      </w:r>
      <w:r>
        <w:rPr>
          <w:color w:val="800080"/>
          <w:sz w:val="25"/>
          <w:u w:val="single" w:color="000000"/>
        </w:rPr>
        <w:t>ation</w:t>
      </w:r>
      <w:r>
        <w:rPr>
          <w:color w:val="800080"/>
          <w:sz w:val="25"/>
        </w:rPr>
        <w:t>, </w:t>
      </w:r>
      <w:r>
        <w:rPr>
          <w:i/>
          <w:sz w:val="25"/>
        </w:rPr>
        <w:t>Inequality and Growth: Theory and Policy Implications, </w:t>
      </w:r>
      <w:r>
        <w:rPr>
          <w:sz w:val="25"/>
        </w:rPr>
        <w:t>T.S. Eicher &amp; S.J. Turnovsky eds., Cambridge: MIT Press. 2003, (with Stephen Turnovsky and Carme Riera </w:t>
      </w:r>
      <w:r>
        <w:rPr>
          <w:spacing w:val="-2"/>
          <w:sz w:val="25"/>
        </w:rPr>
        <w:t>Prunera)</w:t>
      </w:r>
    </w:p>
    <w:p>
      <w:pPr>
        <w:pStyle w:val="BodyText"/>
        <w:spacing w:before="3"/>
      </w:pPr>
    </w:p>
    <w:p>
      <w:pPr>
        <w:spacing w:before="0"/>
        <w:ind w:left="242" w:right="552" w:firstLine="0"/>
        <w:jc w:val="left"/>
        <w:rPr>
          <w:sz w:val="25"/>
        </w:rPr>
      </w:pPr>
      <w:r>
        <w:rPr>
          <w:color w:val="800080"/>
          <w:sz w:val="25"/>
          <w:u w:val="single" w:color="000000"/>
        </w:rPr>
        <w:t>On the Mechanics of Technical Change: New and Old Ideas in Economic Growth</w:t>
      </w:r>
      <w:r>
        <w:rPr>
          <w:color w:val="800080"/>
          <w:sz w:val="25"/>
        </w:rPr>
        <w:t>, </w:t>
      </w:r>
      <w:r>
        <w:rPr>
          <w:sz w:val="25"/>
        </w:rPr>
        <w:t>in </w:t>
      </w:r>
      <w:r>
        <w:rPr>
          <w:i/>
          <w:sz w:val="25"/>
        </w:rPr>
        <w:t>Old and New Growth Theories. An Assessment</w:t>
      </w:r>
      <w:r>
        <w:rPr>
          <w:sz w:val="25"/>
        </w:rPr>
        <w:t>, Neri Salvadori ed., NY, Edward Elgar Publishing, 2003</w:t>
      </w:r>
    </w:p>
    <w:p>
      <w:pPr>
        <w:pStyle w:val="BodyText"/>
      </w:pPr>
    </w:p>
    <w:p>
      <w:pPr>
        <w:spacing w:before="1"/>
        <w:ind w:left="242" w:right="351" w:firstLine="0"/>
        <w:jc w:val="left"/>
        <w:rPr>
          <w:sz w:val="25"/>
        </w:rPr>
      </w:pPr>
      <w:r>
        <w:rPr>
          <w:color w:val="800080"/>
          <w:sz w:val="25"/>
          <w:u w:val="single" w:color="000000"/>
        </w:rPr>
        <w:t>Market Structure and Innovation Revisited: Endogenous Productivity</w:t>
      </w:r>
      <w:r>
        <w:rPr>
          <w:color w:val="800080"/>
          <w:spacing w:val="-18"/>
          <w:sz w:val="25"/>
          <w:u w:val="single" w:color="000000"/>
        </w:rPr>
        <w:t> </w:t>
      </w:r>
      <w:r>
        <w:rPr>
          <w:color w:val="800080"/>
          <w:sz w:val="25"/>
        </w:rPr>
        <w:t>,</w:t>
      </w:r>
      <w:r>
        <w:rPr>
          <w:color w:val="800080"/>
          <w:sz w:val="25"/>
          <w:u w:val="single" w:color="000000"/>
        </w:rPr>
        <w:t> Trainin</w:t>
      </w:r>
      <w:r>
        <w:rPr>
          <w:color w:val="800080"/>
          <w:sz w:val="25"/>
        </w:rPr>
        <w:t>g</w:t>
      </w:r>
      <w:r>
        <w:rPr>
          <w:color w:val="800080"/>
          <w:sz w:val="25"/>
          <w:u w:val="single" w:color="000000"/>
        </w:rPr>
        <w:t> and Market</w:t>
      </w:r>
      <w:r>
        <w:rPr>
          <w:color w:val="800080"/>
          <w:spacing w:val="40"/>
          <w:sz w:val="25"/>
        </w:rPr>
        <w:t> </w:t>
      </w:r>
      <w:r>
        <w:rPr>
          <w:color w:val="800080"/>
          <w:sz w:val="25"/>
          <w:u w:val="single" w:color="000000"/>
        </w:rPr>
        <w:t>Shares</w:t>
      </w:r>
      <w:r>
        <w:rPr>
          <w:color w:val="800080"/>
          <w:sz w:val="25"/>
        </w:rPr>
        <w:t>, </w:t>
      </w:r>
      <w:r>
        <w:rPr>
          <w:sz w:val="25"/>
        </w:rPr>
        <w:t>in </w:t>
      </w:r>
      <w:r>
        <w:rPr>
          <w:i/>
          <w:sz w:val="25"/>
        </w:rPr>
        <w:t>Human Capital, Trade And Public Policy In Rapidly Growing Economies</w:t>
      </w:r>
      <w:r>
        <w:rPr>
          <w:sz w:val="25"/>
        </w:rPr>
        <w:t>, M. Boldrin,</w:t>
      </w:r>
    </w:p>
    <w:p>
      <w:pPr>
        <w:pStyle w:val="BodyText"/>
        <w:ind w:left="242"/>
      </w:pPr>
      <w:r>
        <w:rPr/>
        <w:t>B.L.</w:t>
      </w:r>
      <w:r>
        <w:rPr>
          <w:spacing w:val="3"/>
        </w:rPr>
        <w:t> </w:t>
      </w:r>
      <w:r>
        <w:rPr/>
        <w:t>Chen</w:t>
      </w:r>
      <w:r>
        <w:rPr>
          <w:spacing w:val="3"/>
        </w:rPr>
        <w:t> </w:t>
      </w:r>
      <w:r>
        <w:rPr/>
        <w:t>and</w:t>
      </w:r>
      <w:r>
        <w:rPr>
          <w:spacing w:val="3"/>
        </w:rPr>
        <w:t> </w:t>
      </w:r>
      <w:r>
        <w:rPr/>
        <w:t>P.</w:t>
      </w:r>
      <w:r>
        <w:rPr>
          <w:spacing w:val="3"/>
        </w:rPr>
        <w:t> </w:t>
      </w:r>
      <w:r>
        <w:rPr/>
        <w:t>Wang</w:t>
      </w:r>
      <w:r>
        <w:rPr>
          <w:spacing w:val="3"/>
        </w:rPr>
        <w:t> </w:t>
      </w:r>
      <w:r>
        <w:rPr/>
        <w:t>(eds)</w:t>
      </w:r>
      <w:r>
        <w:rPr>
          <w:spacing w:val="3"/>
        </w:rPr>
        <w:t> </w:t>
      </w:r>
      <w:r>
        <w:rPr/>
        <w:t>NY,</w:t>
      </w:r>
      <w:r>
        <w:rPr>
          <w:spacing w:val="3"/>
        </w:rPr>
        <w:t> </w:t>
      </w:r>
      <w:r>
        <w:rPr/>
        <w:t>Edward</w:t>
      </w:r>
      <w:r>
        <w:rPr>
          <w:spacing w:val="3"/>
        </w:rPr>
        <w:t> </w:t>
      </w:r>
      <w:r>
        <w:rPr/>
        <w:t>Elgar,</w:t>
      </w:r>
      <w:r>
        <w:rPr>
          <w:spacing w:val="3"/>
        </w:rPr>
        <w:t> </w:t>
      </w:r>
      <w:r>
        <w:rPr/>
        <w:t>2004,</w:t>
      </w:r>
      <w:r>
        <w:rPr>
          <w:spacing w:val="3"/>
        </w:rPr>
        <w:t> </w:t>
      </w:r>
      <w:r>
        <w:rPr/>
        <w:t>(with</w:t>
      </w:r>
      <w:r>
        <w:rPr>
          <w:spacing w:val="3"/>
        </w:rPr>
        <w:t> </w:t>
      </w:r>
      <w:r>
        <w:rPr/>
        <w:t>Sang</w:t>
      </w:r>
      <w:r>
        <w:rPr>
          <w:spacing w:val="3"/>
        </w:rPr>
        <w:t> </w:t>
      </w:r>
      <w:r>
        <w:rPr/>
        <w:t>Choon</w:t>
      </w:r>
      <w:r>
        <w:rPr>
          <w:spacing w:val="3"/>
        </w:rPr>
        <w:t> </w:t>
      </w:r>
      <w:r>
        <w:rPr>
          <w:spacing w:val="-4"/>
        </w:rPr>
        <w:t>Kim)</w:t>
      </w:r>
    </w:p>
    <w:p>
      <w:pPr>
        <w:pStyle w:val="BodyText"/>
      </w:pPr>
    </w:p>
    <w:p>
      <w:pPr>
        <w:spacing w:before="0"/>
        <w:ind w:left="242" w:right="398" w:firstLine="0"/>
        <w:jc w:val="both"/>
        <w:rPr>
          <w:sz w:val="25"/>
        </w:rPr>
      </w:pPr>
      <w:r>
        <w:rPr>
          <w:sz w:val="25"/>
        </w:rPr>
        <mc:AlternateContent>
          <mc:Choice Requires="wps">
            <w:drawing>
              <wp:anchor distT="0" distB="0" distL="0" distR="0" allowOverlap="1" layoutInCell="1" locked="0" behindDoc="0" simplePos="0" relativeHeight="15730176">
                <wp:simplePos x="0" y="0"/>
                <wp:positionH relativeFrom="page">
                  <wp:posOffset>5709671</wp:posOffset>
                </wp:positionH>
                <wp:positionV relativeFrom="paragraph">
                  <wp:posOffset>158402</wp:posOffset>
                </wp:positionV>
                <wp:extent cx="29845" cy="1016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9845" cy="10160"/>
                        </a:xfrm>
                        <a:custGeom>
                          <a:avLst/>
                          <a:gdLst/>
                          <a:ahLst/>
                          <a:cxnLst/>
                          <a:rect l="l" t="t" r="r" b="b"/>
                          <a:pathLst>
                            <a:path w="29845" h="10160">
                              <a:moveTo>
                                <a:pt x="29696" y="0"/>
                              </a:moveTo>
                              <a:lnTo>
                                <a:pt x="0" y="0"/>
                              </a:lnTo>
                              <a:lnTo>
                                <a:pt x="0" y="10159"/>
                              </a:lnTo>
                              <a:lnTo>
                                <a:pt x="29696" y="10159"/>
                              </a:lnTo>
                              <a:lnTo>
                                <a:pt x="29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9.580414pt;margin-top:12.472608pt;width:2.3383pt;height:.8pt;mso-position-horizontal-relative:page;mso-position-vertical-relative:paragraph;z-index:15730176" id="docshape8" filled="true" fillcolor="#000000" stroked="false">
                <v:fill type="solid"/>
                <w10:wrap type="none"/>
              </v:rect>
            </w:pict>
          </mc:Fallback>
        </mc:AlternateContent>
      </w:r>
      <w:r>
        <w:rPr>
          <w:color w:val="800080"/>
          <w:sz w:val="25"/>
          <w:u w:val="single" w:color="000000"/>
        </w:rPr>
        <w:t>Political Support or Contributions: An Empirical Investi</w:t>
      </w:r>
      <w:r>
        <w:rPr>
          <w:color w:val="800080"/>
          <w:sz w:val="25"/>
        </w:rPr>
        <w:t>g</w:t>
      </w:r>
      <w:r>
        <w:rPr>
          <w:color w:val="800080"/>
          <w:sz w:val="25"/>
          <w:u w:val="single" w:color="000000"/>
        </w:rPr>
        <w:t>ation of US Trade Policy</w:t>
      </w:r>
      <w:r>
        <w:rPr>
          <w:color w:val="800080"/>
          <w:sz w:val="25"/>
        </w:rPr>
        <w:t>, </w:t>
      </w:r>
      <w:r>
        <w:rPr>
          <w:sz w:val="25"/>
        </w:rPr>
        <w:t>in </w:t>
      </w:r>
      <w:r>
        <w:rPr>
          <w:i/>
          <w:sz w:val="25"/>
        </w:rPr>
        <w:t>WTO and World Trade: Challenges in a New Era, </w:t>
      </w:r>
      <w:r>
        <w:rPr>
          <w:sz w:val="25"/>
        </w:rPr>
        <w:t>G. Heiduk and K.Y. Wong eds. Berlin, Springer Verlag 2004, (with Thomas Osang) (</w:t>
      </w:r>
      <w:r>
        <w:rPr>
          <w:color w:val="800080"/>
          <w:sz w:val="25"/>
          <w:u w:val="single" w:color="000000"/>
        </w:rPr>
        <w:t>Data/Do Files</w:t>
      </w:r>
      <w:r>
        <w:rPr>
          <w:sz w:val="25"/>
        </w:rPr>
        <w:t>)</w:t>
      </w:r>
    </w:p>
    <w:p>
      <w:pPr>
        <w:pStyle w:val="BodyText"/>
        <w:spacing w:before="2"/>
      </w:pPr>
    </w:p>
    <w:p>
      <w:pPr>
        <w:spacing w:before="0"/>
        <w:ind w:left="242" w:right="552" w:firstLine="0"/>
        <w:jc w:val="left"/>
        <w:rPr>
          <w:sz w:val="25"/>
        </w:rPr>
      </w:pPr>
      <w:r>
        <w:rPr>
          <w:color w:val="800080"/>
          <w:sz w:val="25"/>
          <w:u w:val="single" w:color="000000"/>
        </w:rPr>
        <w:t>Financial Liberalization, Openness and Conver</w:t>
      </w:r>
      <w:r>
        <w:rPr>
          <w:color w:val="800080"/>
          <w:sz w:val="25"/>
        </w:rPr>
        <w:t>g</w:t>
      </w:r>
      <w:r>
        <w:rPr>
          <w:color w:val="800080"/>
          <w:sz w:val="25"/>
          <w:u w:val="single" w:color="000000"/>
        </w:rPr>
        <w:t>ence</w:t>
      </w:r>
      <w:r>
        <w:rPr>
          <w:color w:val="800080"/>
          <w:sz w:val="25"/>
        </w:rPr>
        <w:t>, </w:t>
      </w:r>
      <w:r>
        <w:rPr>
          <w:b/>
          <w:i/>
          <w:sz w:val="25"/>
        </w:rPr>
        <w:t>Journal of International Trade and Economic Development, </w:t>
      </w:r>
      <w:r>
        <w:rPr>
          <w:sz w:val="25"/>
        </w:rPr>
        <w:t>13, 4, (December 2004), pp 443–459, (with Leslie Hull)</w:t>
      </w:r>
    </w:p>
    <w:p>
      <w:pPr>
        <w:pStyle w:val="BodyText"/>
      </w:pPr>
    </w:p>
    <w:p>
      <w:pPr>
        <w:pStyle w:val="BodyText"/>
        <w:spacing w:before="0"/>
        <w:ind w:left="242" w:right="351"/>
      </w:pPr>
      <w:r>
        <w:rPr>
          <w:color w:val="800080"/>
          <w:u w:val="single" w:color="000000"/>
        </w:rPr>
        <w:t>How Do Institutions Lead Some Countries To Produce So Much More Output Per Worker Than</w:t>
      </w:r>
      <w:r>
        <w:rPr>
          <w:color w:val="800080"/>
        </w:rPr>
        <w:t> </w:t>
      </w:r>
      <w:r>
        <w:rPr>
          <w:color w:val="800080"/>
          <w:u w:val="single" w:color="000000"/>
        </w:rPr>
        <w:t>Others?</w:t>
      </w:r>
      <w:r>
        <w:rPr>
          <w:color w:val="800080"/>
        </w:rPr>
        <w:t> </w:t>
      </w:r>
      <w:r>
        <w:rPr/>
        <w:t>In </w:t>
      </w:r>
      <w:r>
        <w:rPr>
          <w:i/>
        </w:rPr>
        <w:t>Institutions for Development and Growth, </w:t>
      </w:r>
      <w:r>
        <w:rPr/>
        <w:t>T.S. Eicher and C. García-Peñalosa (eds) MIT Press 2006, (with Cecilia García-Peñalosa and Utku Teksoz)</w:t>
      </w:r>
    </w:p>
    <w:p>
      <w:pPr>
        <w:pStyle w:val="BodyText"/>
        <w:spacing w:after="0"/>
        <w:sectPr>
          <w:pgSz w:w="12240" w:h="15840"/>
          <w:pgMar w:top="340" w:bottom="280" w:left="360" w:right="1440"/>
        </w:sectPr>
      </w:pPr>
    </w:p>
    <w:p>
      <w:pPr>
        <w:spacing w:before="30"/>
        <w:ind w:left="242" w:right="0" w:firstLine="0"/>
        <w:jc w:val="left"/>
        <w:rPr>
          <w:sz w:val="25"/>
        </w:rPr>
      </w:pPr>
      <w:r>
        <w:rPr>
          <w:color w:val="800080"/>
          <w:sz w:val="25"/>
          <w:u w:val="single" w:color="000000"/>
        </w:rPr>
        <w:t>FDI, Exports or Acquisition: Optimal Entr</w:t>
      </w:r>
      <w:r>
        <w:rPr>
          <w:color w:val="800080"/>
          <w:sz w:val="25"/>
        </w:rPr>
        <w:t>y</w:t>
      </w:r>
      <w:r>
        <w:rPr>
          <w:color w:val="800080"/>
          <w:spacing w:val="40"/>
          <w:sz w:val="25"/>
          <w:u w:val="single" w:color="000000"/>
        </w:rPr>
        <w:t> </w:t>
      </w:r>
      <w:r>
        <w:rPr>
          <w:color w:val="800080"/>
          <w:sz w:val="25"/>
          <w:u w:val="single" w:color="000000"/>
        </w:rPr>
        <w:t>Modes for Multinational Corporations</w:t>
      </w:r>
      <w:r>
        <w:rPr>
          <w:color w:val="800080"/>
          <w:sz w:val="25"/>
        </w:rPr>
        <w:t>, </w:t>
      </w:r>
      <w:r>
        <w:rPr>
          <w:b/>
          <w:i/>
          <w:sz w:val="25"/>
        </w:rPr>
        <w:t>Journal of Development Economics</w:t>
      </w:r>
      <w:r>
        <w:rPr>
          <w:sz w:val="25"/>
        </w:rPr>
        <w:t>, 77, 1, (June 2005), pp 207-228, Reprinted in </w:t>
      </w:r>
      <w:r>
        <w:rPr>
          <w:i/>
          <w:sz w:val="25"/>
        </w:rPr>
        <w:t>Multinational Enterprise Theory, Volume II, </w:t>
      </w:r>
      <w:r>
        <w:rPr>
          <w:sz w:val="25"/>
        </w:rPr>
        <w:t>J. A. Krug, J. D. Daniels eds, Sage Press (2008), (with Jong Woo Kang)</w:t>
      </w:r>
    </w:p>
    <w:p>
      <w:pPr>
        <w:pStyle w:val="BodyText"/>
        <w:spacing w:before="2"/>
      </w:pPr>
    </w:p>
    <w:p>
      <w:pPr>
        <w:pStyle w:val="BodyText"/>
        <w:spacing w:before="0"/>
        <w:ind w:left="242" w:right="552"/>
      </w:pPr>
      <w:r>
        <w:rPr>
          <w:color w:val="800080"/>
          <w:u w:val="single" w:color="000000"/>
        </w:rPr>
        <w:t>Sources of the German Productivity</w:t>
      </w:r>
      <w:r>
        <w:rPr>
          <w:color w:val="800080"/>
          <w:spacing w:val="40"/>
          <w:u w:val="single" w:color="000000"/>
        </w:rPr>
        <w:t> </w:t>
      </w:r>
      <w:r>
        <w:rPr>
          <w:color w:val="800080"/>
          <w:u w:val="single" w:color="000000"/>
        </w:rPr>
        <w:t>Demise</w:t>
      </w:r>
      <w:r>
        <w:rPr>
          <w:color w:val="800080"/>
        </w:rPr>
        <w:t>, </w:t>
      </w:r>
      <w:r>
        <w:rPr>
          <w:b/>
          <w:i/>
        </w:rPr>
        <w:t>German Economic Review</w:t>
      </w:r>
      <w:r>
        <w:rPr/>
        <w:t>, 8, (May 2007), pp 211–236, (with Oliver Roehn)</w:t>
      </w:r>
    </w:p>
    <w:p>
      <w:pPr>
        <w:pStyle w:val="BodyText"/>
        <w:spacing w:before="2"/>
      </w:pPr>
    </w:p>
    <w:p>
      <w:pPr>
        <w:pStyle w:val="BodyText"/>
        <w:spacing w:before="0"/>
        <w:ind w:left="242" w:right="879"/>
        <w:jc w:val="both"/>
      </w:pPr>
      <w:r>
        <w:rPr/>
        <mc:AlternateContent>
          <mc:Choice Requires="wps">
            <w:drawing>
              <wp:anchor distT="0" distB="0" distL="0" distR="0" allowOverlap="1" layoutInCell="1" locked="0" behindDoc="0" simplePos="0" relativeHeight="15730688">
                <wp:simplePos x="0" y="0"/>
                <wp:positionH relativeFrom="page">
                  <wp:posOffset>6279365</wp:posOffset>
                </wp:positionH>
                <wp:positionV relativeFrom="paragraph">
                  <wp:posOffset>158541</wp:posOffset>
                </wp:positionV>
                <wp:extent cx="20320"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0320" cy="10160"/>
                        </a:xfrm>
                        <a:custGeom>
                          <a:avLst/>
                          <a:gdLst/>
                          <a:ahLst/>
                          <a:cxnLst/>
                          <a:rect l="l" t="t" r="r" b="b"/>
                          <a:pathLst>
                            <a:path w="20320" h="10160">
                              <a:moveTo>
                                <a:pt x="19834" y="0"/>
                              </a:moveTo>
                              <a:lnTo>
                                <a:pt x="0" y="0"/>
                              </a:lnTo>
                              <a:lnTo>
                                <a:pt x="0" y="10160"/>
                              </a:lnTo>
                              <a:lnTo>
                                <a:pt x="19834" y="10160"/>
                              </a:lnTo>
                              <a:lnTo>
                                <a:pt x="198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4.438202pt;margin-top:12.483545pt;width:1.5618pt;height:.8pt;mso-position-horizontal-relative:page;mso-position-vertical-relative:paragraph;z-index:15730688" id="docshape9" filled="true" fillcolor="#000000" stroked="false">
                <v:fill type="solid"/>
                <w10:wrap type="none"/>
              </v:rect>
            </w:pict>
          </mc:Fallback>
        </mc:AlternateContent>
      </w:r>
      <w:r>
        <w:rPr>
          <w:color w:val="800080"/>
          <w:u w:val="single" w:color="000000"/>
        </w:rPr>
        <w:t>Unraveling the Fortunes of the Fortunate: An Iterative Ba</w:t>
      </w:r>
      <w:r>
        <w:rPr>
          <w:color w:val="800080"/>
        </w:rPr>
        <w:t>y</w:t>
      </w:r>
      <w:r>
        <w:rPr>
          <w:color w:val="800080"/>
          <w:u w:val="single" w:color="000000"/>
        </w:rPr>
        <w:t>esian Model Avera</w:t>
      </w:r>
      <w:r>
        <w:rPr>
          <w:color w:val="800080"/>
        </w:rPr>
        <w:t>g</w:t>
      </w:r>
      <w:r>
        <w:rPr>
          <w:color w:val="800080"/>
          <w:u w:val="single" w:color="000000"/>
        </w:rPr>
        <w:t>ing (IBMA</w:t>
      </w:r>
      <w:r>
        <w:rPr>
          <w:color w:val="800080"/>
        </w:rPr>
        <w:t>) </w:t>
      </w:r>
      <w:r>
        <w:rPr>
          <w:color w:val="800080"/>
          <w:u w:val="single" w:color="000000"/>
        </w:rPr>
        <w:t>Approach</w:t>
      </w:r>
      <w:r>
        <w:rPr/>
        <w:t>, </w:t>
      </w:r>
      <w:r>
        <w:rPr>
          <w:b/>
          <w:i/>
        </w:rPr>
        <w:t>Journal of Macroeconomics</w:t>
      </w:r>
      <w:r>
        <w:rPr>
          <w:i/>
        </w:rPr>
        <w:t>, </w:t>
      </w:r>
      <w:r>
        <w:rPr/>
        <w:t>29, 3 (September 2007), pp 494-514, (with Chris Papageorgiou and Oliver Roehn)</w:t>
      </w:r>
    </w:p>
    <w:p>
      <w:pPr>
        <w:pStyle w:val="BodyText"/>
        <w:spacing w:before="2"/>
      </w:pPr>
    </w:p>
    <w:p>
      <w:pPr>
        <w:pStyle w:val="BodyText"/>
        <w:spacing w:before="0"/>
        <w:ind w:left="242" w:right="504"/>
      </w:pPr>
      <w:r>
        <w:rPr>
          <w:color w:val="800080"/>
          <w:u w:val="single" w:color="000000"/>
        </w:rPr>
        <w:t>Endogenous Strength of Intellectual Property</w:t>
      </w:r>
      <w:r>
        <w:rPr>
          <w:color w:val="800080"/>
          <w:spacing w:val="40"/>
          <w:u w:val="single" w:color="000000"/>
        </w:rPr>
        <w:t> </w:t>
      </w:r>
      <w:r>
        <w:rPr>
          <w:color w:val="800080"/>
          <w:u w:val="single" w:color="000000"/>
        </w:rPr>
        <w:t>Rights: Implications for Economic Development</w:t>
      </w:r>
      <w:r>
        <w:rPr>
          <w:color w:val="800080"/>
        </w:rPr>
        <w:t> </w:t>
      </w:r>
      <w:r>
        <w:rPr>
          <w:color w:val="800080"/>
          <w:u w:val="single" w:color="000000"/>
        </w:rPr>
        <w:t>and Growth</w:t>
      </w:r>
      <w:r>
        <w:rPr>
          <w:color w:val="800080"/>
        </w:rPr>
        <w:t>, </w:t>
      </w:r>
      <w:r>
        <w:rPr>
          <w:b/>
          <w:i/>
        </w:rPr>
        <w:t>European Economic Review, </w:t>
      </w:r>
      <w:r>
        <w:rPr/>
        <w:t>52, 2, (February 2008), pp 237-58, (with Cecilia </w:t>
      </w:r>
      <w:r>
        <w:rPr>
          <w:spacing w:val="-2"/>
        </w:rPr>
        <w:t>García-Peñalosa)</w:t>
      </w:r>
    </w:p>
    <w:p>
      <w:pPr>
        <w:pStyle w:val="BodyText"/>
        <w:spacing w:before="2"/>
      </w:pPr>
    </w:p>
    <w:p>
      <w:pPr>
        <w:pStyle w:val="BodyText"/>
        <w:spacing w:before="0"/>
        <w:ind w:left="242"/>
      </w:pPr>
      <w:r>
        <w:rPr>
          <w:color w:val="800080"/>
          <w:u w:val="single" w:color="000000"/>
        </w:rPr>
        <w:t>The Rise and Fall of German Productivity: Software Investment as the Decisive Driver</w:t>
      </w:r>
      <w:r>
        <w:rPr/>
        <w:t>, </w:t>
      </w:r>
      <w:r>
        <w:rPr>
          <w:b/>
          <w:i/>
        </w:rPr>
        <w:t>Cesifo Economic Studies</w:t>
      </w:r>
      <w:r>
        <w:rPr>
          <w:b/>
        </w:rPr>
        <w:t>, </w:t>
      </w:r>
      <w:r>
        <w:rPr/>
        <w:t>54, 3, (September 2008), pp 386-414, (with Thomas Strobel)</w:t>
      </w:r>
    </w:p>
    <w:p>
      <w:pPr>
        <w:pStyle w:val="BodyText"/>
        <w:spacing w:before="2"/>
      </w:pPr>
    </w:p>
    <w:p>
      <w:pPr>
        <w:spacing w:before="0"/>
        <w:ind w:left="242" w:right="351" w:firstLine="0"/>
        <w:jc w:val="left"/>
        <w:rPr>
          <w:sz w:val="25"/>
        </w:rPr>
      </w:pPr>
      <w:r>
        <w:rPr>
          <w:color w:val="800080"/>
          <w:sz w:val="25"/>
          <w:u w:val="single" w:color="000000"/>
        </w:rPr>
        <w:t>Dynamic Effects of Terms of Trade Shocks: The Impact on Debt and Growth</w:t>
      </w:r>
      <w:r>
        <w:rPr>
          <w:color w:val="0000FF"/>
          <w:sz w:val="25"/>
        </w:rPr>
        <w:t>, </w:t>
      </w:r>
      <w:r>
        <w:rPr>
          <w:b/>
          <w:i/>
          <w:sz w:val="25"/>
        </w:rPr>
        <w:t>Journal of International Money and Finance, </w:t>
      </w:r>
      <w:r>
        <w:rPr>
          <w:sz w:val="25"/>
        </w:rPr>
        <w:t>27, 6, (September 2008), pp 876-896, (with Stefan Schubert and Steve Turnovsky)</w:t>
      </w:r>
    </w:p>
    <w:p>
      <w:pPr>
        <w:pStyle w:val="BodyText"/>
        <w:spacing w:before="2"/>
      </w:pPr>
    </w:p>
    <w:p>
      <w:pPr>
        <w:pStyle w:val="BodyText"/>
        <w:spacing w:before="0"/>
        <w:ind w:left="242" w:right="552"/>
      </w:pPr>
      <w:r>
        <w:rPr>
          <w:color w:val="800080"/>
          <w:u w:val="single" w:color="000000"/>
        </w:rPr>
        <w:t>In Search of a Sulphur Dioxide Environmental Kuznets Curve: A Ba</w:t>
      </w:r>
      <w:r>
        <w:rPr>
          <w:color w:val="800080"/>
        </w:rPr>
        <w:t>y</w:t>
      </w:r>
      <w:r>
        <w:rPr>
          <w:color w:val="800080"/>
          <w:u w:val="single" w:color="000000"/>
        </w:rPr>
        <w:t>esian Model Avera</w:t>
      </w:r>
      <w:r>
        <w:rPr>
          <w:color w:val="800080"/>
        </w:rPr>
        <w:t>g</w:t>
      </w:r>
      <w:r>
        <w:rPr>
          <w:color w:val="800080"/>
          <w:u w:val="single" w:color="000000"/>
        </w:rPr>
        <w:t>in</w:t>
      </w:r>
      <w:r>
        <w:rPr>
          <w:color w:val="800080"/>
        </w:rPr>
        <w:t>g </w:t>
      </w:r>
      <w:r>
        <w:rPr>
          <w:color w:val="800080"/>
          <w:u w:val="single" w:color="000000"/>
        </w:rPr>
        <w:t>Approach</w:t>
      </w:r>
      <w:r>
        <w:rPr>
          <w:color w:val="800080"/>
        </w:rPr>
        <w:t>, </w:t>
      </w:r>
      <w:r>
        <w:rPr>
          <w:b/>
          <w:i/>
        </w:rPr>
        <w:t>Environment and Development Economics, </w:t>
      </w:r>
      <w:r>
        <w:rPr/>
        <w:t>13, 6 (December 2008), pp 1-28, (with Jeff Begun) (</w:t>
      </w:r>
      <w:r>
        <w:rPr>
          <w:color w:val="800080"/>
          <w:u w:val="single" w:color="000000"/>
        </w:rPr>
        <w:t>Data/Do Files</w:t>
      </w:r>
      <w:r>
        <w:rPr/>
        <w:t>)</w:t>
      </w:r>
    </w:p>
    <w:p>
      <w:pPr>
        <w:pStyle w:val="BodyText"/>
        <w:spacing w:before="2"/>
      </w:pPr>
    </w:p>
    <w:p>
      <w:pPr>
        <w:spacing w:before="0"/>
        <w:ind w:left="242" w:right="552" w:firstLine="0"/>
        <w:jc w:val="left"/>
        <w:rPr>
          <w:sz w:val="25"/>
        </w:rPr>
      </w:pPr>
      <w:r>
        <w:rPr>
          <w:sz w:val="25"/>
        </w:rPr>
        <mc:AlternateContent>
          <mc:Choice Requires="wps">
            <w:drawing>
              <wp:anchor distT="0" distB="0" distL="0" distR="0" allowOverlap="1" layoutInCell="1" locked="0" behindDoc="0" simplePos="0" relativeHeight="15731200">
                <wp:simplePos x="0" y="0"/>
                <wp:positionH relativeFrom="page">
                  <wp:posOffset>5775869</wp:posOffset>
                </wp:positionH>
                <wp:positionV relativeFrom="paragraph">
                  <wp:posOffset>158518</wp:posOffset>
                </wp:positionV>
                <wp:extent cx="29845" cy="1016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9845" cy="10160"/>
                        </a:xfrm>
                        <a:custGeom>
                          <a:avLst/>
                          <a:gdLst/>
                          <a:ahLst/>
                          <a:cxnLst/>
                          <a:rect l="l" t="t" r="r" b="b"/>
                          <a:pathLst>
                            <a:path w="29845" h="10160">
                              <a:moveTo>
                                <a:pt x="29697" y="0"/>
                              </a:moveTo>
                              <a:lnTo>
                                <a:pt x="0" y="0"/>
                              </a:lnTo>
                              <a:lnTo>
                                <a:pt x="0" y="10160"/>
                              </a:lnTo>
                              <a:lnTo>
                                <a:pt x="29697" y="10160"/>
                              </a:lnTo>
                              <a:lnTo>
                                <a:pt x="29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4.792908pt;margin-top:12.481738pt;width:2.3384pt;height:.8pt;mso-position-horizontal-relative:page;mso-position-vertical-relative:paragraph;z-index:15731200" id="docshape10" filled="true" fillcolor="#000000" stroked="false">
                <v:fill type="solid"/>
                <w10:wrap type="none"/>
              </v:rect>
            </w:pict>
          </mc:Fallback>
        </mc:AlternateContent>
      </w:r>
      <w:r>
        <w:rPr>
          <w:color w:val="800080"/>
          <w:sz w:val="25"/>
          <w:u w:val="single" w:color="000000"/>
        </w:rPr>
        <w:t>Institutions and Economic Performance: Endogeneity</w:t>
      </w:r>
      <w:r>
        <w:rPr>
          <w:color w:val="800080"/>
          <w:spacing w:val="40"/>
          <w:sz w:val="25"/>
          <w:u w:val="single" w:color="000000"/>
        </w:rPr>
        <w:t> </w:t>
      </w:r>
      <w:r>
        <w:rPr>
          <w:color w:val="800080"/>
          <w:sz w:val="25"/>
          <w:u w:val="single" w:color="000000"/>
        </w:rPr>
        <w:t>and Parameter Heterogeneit</w:t>
      </w:r>
      <w:r>
        <w:rPr>
          <w:color w:val="800080"/>
          <w:sz w:val="25"/>
        </w:rPr>
        <w:t>y, </w:t>
      </w:r>
      <w:r>
        <w:rPr>
          <w:b/>
          <w:i/>
          <w:sz w:val="25"/>
        </w:rPr>
        <w:t>Journal of Money, Credit and Banking, </w:t>
      </w:r>
      <w:r>
        <w:rPr>
          <w:sz w:val="25"/>
        </w:rPr>
        <w:t>41, (February 2009), pp 197-219, (with Andreas Leukert)</w:t>
      </w:r>
      <w:r>
        <w:rPr>
          <w:spacing w:val="80"/>
          <w:sz w:val="25"/>
        </w:rPr>
        <w:t> </w:t>
      </w:r>
      <w:r>
        <w:rPr>
          <w:sz w:val="25"/>
        </w:rPr>
        <w:t>(</w:t>
      </w:r>
      <w:r>
        <w:rPr>
          <w:color w:val="800080"/>
          <w:sz w:val="25"/>
          <w:u w:val="single" w:color="000000"/>
        </w:rPr>
        <w:t>Data/Do Files</w:t>
      </w:r>
      <w:r>
        <w:rPr>
          <w:sz w:val="25"/>
        </w:rPr>
        <w:t>)</w:t>
      </w:r>
    </w:p>
    <w:p>
      <w:pPr>
        <w:pStyle w:val="BodyText"/>
        <w:spacing w:before="2"/>
      </w:pPr>
    </w:p>
    <w:p>
      <w:pPr>
        <w:pStyle w:val="BodyText"/>
        <w:spacing w:before="0"/>
        <w:ind w:left="242" w:right="552"/>
      </w:pPr>
      <w:r>
        <w:rPr>
          <w:color w:val="800080"/>
          <w:u w:val="single" w:color="000000"/>
        </w:rPr>
        <w:t>Corruption, Education and The Distribution of Income</w:t>
      </w:r>
      <w:r>
        <w:rPr/>
        <w:t>, </w:t>
      </w:r>
      <w:r>
        <w:rPr>
          <w:b/>
          <w:i/>
        </w:rPr>
        <w:t>Journal of Economic Growth, </w:t>
      </w:r>
      <w:r>
        <w:rPr/>
        <w:t>14 (August 2009), pp 205-31, (with Cecilia García-Peñalosa and Tanguy van Ypersele)</w:t>
      </w:r>
    </w:p>
    <w:p>
      <w:pPr>
        <w:pStyle w:val="BodyText"/>
      </w:pPr>
    </w:p>
    <w:p>
      <w:pPr>
        <w:spacing w:before="1"/>
        <w:ind w:left="242" w:right="0" w:firstLine="0"/>
        <w:jc w:val="left"/>
        <w:rPr>
          <w:sz w:val="25"/>
        </w:rPr>
      </w:pPr>
      <w:r>
        <w:rPr>
          <w:color w:val="800080"/>
          <w:sz w:val="25"/>
          <w:u w:val="single" w:color="000000"/>
        </w:rPr>
        <w:t>Structural Policies and Growth: Time Series Evidence from a Natural Experiment</w:t>
      </w:r>
      <w:r>
        <w:rPr>
          <w:sz w:val="25"/>
        </w:rPr>
        <w:t>, </w:t>
      </w:r>
      <w:r>
        <w:rPr>
          <w:b/>
          <w:i/>
          <w:sz w:val="25"/>
        </w:rPr>
        <w:t>Journal of Development Economics, </w:t>
      </w:r>
      <w:r>
        <w:rPr>
          <w:color w:val="231F20"/>
          <w:sz w:val="25"/>
        </w:rPr>
        <w:t>91 (2010), pp 169–179, </w:t>
      </w:r>
      <w:r>
        <w:rPr>
          <w:sz w:val="25"/>
        </w:rPr>
        <w:t>(with Till Schreiber) (</w:t>
      </w:r>
      <w:r>
        <w:rPr>
          <w:color w:val="800080"/>
          <w:sz w:val="25"/>
          <w:u w:val="single" w:color="000000"/>
        </w:rPr>
        <w:t>Data</w:t>
      </w:r>
      <w:r>
        <w:rPr>
          <w:sz w:val="25"/>
        </w:rPr>
        <w:t>)</w:t>
      </w:r>
    </w:p>
    <w:p>
      <w:pPr>
        <w:pStyle w:val="BodyText"/>
      </w:pPr>
    </w:p>
    <w:p>
      <w:pPr>
        <w:pStyle w:val="BodyText"/>
        <w:spacing w:before="0"/>
        <w:ind w:left="242" w:right="552"/>
      </w:pPr>
      <w:r>
        <w:rPr>
          <w:color w:val="800080"/>
          <w:u w:val="single" w:color="000000"/>
        </w:rPr>
        <w:t>Modeling Uncertainty</w:t>
      </w:r>
      <w:r>
        <w:rPr>
          <w:color w:val="800080"/>
          <w:spacing w:val="40"/>
          <w:u w:val="single" w:color="000000"/>
        </w:rPr>
        <w:t> </w:t>
      </w:r>
      <w:r>
        <w:rPr>
          <w:color w:val="800080"/>
          <w:u w:val="single" w:color="000000"/>
        </w:rPr>
        <w:t>In Macroeconomic Growth Determinants Usin</w:t>
      </w:r>
      <w:r>
        <w:rPr>
          <w:color w:val="800080"/>
        </w:rPr>
        <w:t>g</w:t>
      </w:r>
      <w:r>
        <w:rPr>
          <w:color w:val="800080"/>
          <w:u w:val="single" w:color="000000"/>
        </w:rPr>
        <w:t> Gaussian Graphical</w:t>
      </w:r>
      <w:r>
        <w:rPr>
          <w:color w:val="800080"/>
        </w:rPr>
        <w:t> </w:t>
      </w:r>
      <w:r>
        <w:rPr>
          <w:color w:val="800080"/>
          <w:u w:val="single" w:color="000000"/>
        </w:rPr>
        <w:t>Models</w:t>
      </w:r>
      <w:r>
        <w:rPr>
          <w:color w:val="4169E1"/>
        </w:rPr>
        <w:t>, </w:t>
      </w:r>
      <w:r>
        <w:rPr>
          <w:b/>
          <w:i/>
        </w:rPr>
        <w:t>Statistical Methodology</w:t>
      </w:r>
      <w:r>
        <w:rPr/>
        <w:t>, 7, (May 2010), pp 292-306, (with Adrian Dobra and Alex Lenkoski) (</w:t>
      </w:r>
      <w:r>
        <w:rPr>
          <w:color w:val="800080"/>
          <w:u w:val="single" w:color="000000"/>
        </w:rPr>
        <w:t>Data/Do Files</w:t>
      </w:r>
      <w:r>
        <w:rPr/>
        <w:t>)</w:t>
      </w:r>
    </w:p>
    <w:p>
      <w:pPr>
        <w:pStyle w:val="BodyText"/>
        <w:spacing w:before="2"/>
      </w:pPr>
    </w:p>
    <w:p>
      <w:pPr>
        <w:pStyle w:val="BodyText"/>
        <w:spacing w:before="0"/>
        <w:ind w:left="242" w:right="552"/>
      </w:pPr>
      <w:r>
        <w:rPr/>
        <mc:AlternateContent>
          <mc:Choice Requires="wps">
            <w:drawing>
              <wp:anchor distT="0" distB="0" distL="0" distR="0" allowOverlap="1" layoutInCell="1" locked="0" behindDoc="0" simplePos="0" relativeHeight="15731712">
                <wp:simplePos x="0" y="0"/>
                <wp:positionH relativeFrom="page">
                  <wp:posOffset>6062057</wp:posOffset>
                </wp:positionH>
                <wp:positionV relativeFrom="paragraph">
                  <wp:posOffset>158735</wp:posOffset>
                </wp:positionV>
                <wp:extent cx="42545" cy="101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2545" cy="10160"/>
                        </a:xfrm>
                        <a:custGeom>
                          <a:avLst/>
                          <a:gdLst/>
                          <a:ahLst/>
                          <a:cxnLst/>
                          <a:rect l="l" t="t" r="r" b="b"/>
                          <a:pathLst>
                            <a:path w="42545" h="10160">
                              <a:moveTo>
                                <a:pt x="41979" y="0"/>
                              </a:moveTo>
                              <a:lnTo>
                                <a:pt x="0" y="0"/>
                              </a:lnTo>
                              <a:lnTo>
                                <a:pt x="0" y="10160"/>
                              </a:lnTo>
                              <a:lnTo>
                                <a:pt x="41979" y="10160"/>
                              </a:lnTo>
                              <a:lnTo>
                                <a:pt x="41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327393pt;margin-top:12.498828pt;width:3.3055pt;height:.8pt;mso-position-horizontal-relative:page;mso-position-vertical-relative:paragraph;z-index:15731712" id="docshape11"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982651</wp:posOffset>
                </wp:positionH>
                <wp:positionV relativeFrom="paragraph">
                  <wp:posOffset>341615</wp:posOffset>
                </wp:positionV>
                <wp:extent cx="33655" cy="101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3655" cy="10160"/>
                        </a:xfrm>
                        <a:custGeom>
                          <a:avLst/>
                          <a:gdLst/>
                          <a:ahLst/>
                          <a:cxnLst/>
                          <a:rect l="l" t="t" r="r" b="b"/>
                          <a:pathLst>
                            <a:path w="33655" h="10160">
                              <a:moveTo>
                                <a:pt x="33348" y="0"/>
                              </a:moveTo>
                              <a:lnTo>
                                <a:pt x="0" y="0"/>
                              </a:lnTo>
                              <a:lnTo>
                                <a:pt x="0" y="10160"/>
                              </a:lnTo>
                              <a:lnTo>
                                <a:pt x="33348" y="10160"/>
                              </a:lnTo>
                              <a:lnTo>
                                <a:pt x="33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3741pt;margin-top:26.898829pt;width:2.6259pt;height:.8pt;mso-position-horizontal-relative:page;mso-position-vertical-relative:paragraph;z-index:15732224" id="docshape12" filled="true" fillcolor="#000000" stroked="false">
                <v:fill type="solid"/>
                <w10:wrap type="none"/>
              </v:rect>
            </w:pict>
          </mc:Fallback>
        </mc:AlternateContent>
      </w:r>
      <w:r>
        <w:rPr>
          <w:color w:val="800080"/>
          <w:u w:val="single" w:color="000000"/>
        </w:rPr>
        <w:t>In Search of WTO Trade Effects: Preferential Trade Agreements Promote Trade Stron</w:t>
      </w:r>
      <w:r>
        <w:rPr>
          <w:color w:val="800080"/>
        </w:rPr>
        <w:t>gly</w:t>
      </w:r>
      <w:r>
        <w:rPr>
          <w:color w:val="800080"/>
          <w:spacing w:val="-26"/>
          <w:u w:val="single" w:color="000000"/>
        </w:rPr>
        <w:t> </w:t>
      </w:r>
      <w:r>
        <w:rPr>
          <w:color w:val="800080"/>
        </w:rPr>
        <w:t>,</w:t>
      </w:r>
      <w:r>
        <w:rPr>
          <w:color w:val="800080"/>
          <w:u w:val="single" w:color="000000"/>
        </w:rPr>
        <w:t> But</w:t>
      </w:r>
      <w:r>
        <w:rPr>
          <w:color w:val="800080"/>
        </w:rPr>
        <w:t> </w:t>
      </w:r>
      <w:r>
        <w:rPr>
          <w:color w:val="800080"/>
          <w:u w:val="single" w:color="000000"/>
        </w:rPr>
        <w:t>Unevenly</w:t>
      </w:r>
      <w:r>
        <w:rPr/>
        <w:t>, </w:t>
      </w:r>
      <w:r>
        <w:rPr>
          <w:b/>
          <w:i/>
        </w:rPr>
        <w:t>Journal of International Economics</w:t>
      </w:r>
      <w:r>
        <w:rPr/>
        <w:t>, 83, 2, (March 2011), pp 137-154, (with Christian Henn) (</w:t>
      </w:r>
      <w:r>
        <w:rPr>
          <w:color w:val="800080"/>
          <w:u w:val="single" w:color="000000"/>
        </w:rPr>
        <w:t>Data/Do Files</w:t>
      </w:r>
      <w:r>
        <w:rPr/>
        <w:t>)</w:t>
      </w:r>
    </w:p>
    <w:p>
      <w:pPr>
        <w:pStyle w:val="BodyText"/>
        <w:spacing w:before="2"/>
      </w:pPr>
    </w:p>
    <w:p>
      <w:pPr>
        <w:pStyle w:val="BodyText"/>
        <w:spacing w:before="0"/>
        <w:ind w:left="242" w:right="552"/>
      </w:pPr>
      <w:r>
        <w:rPr>
          <w:color w:val="800080"/>
          <w:u w:val="single" w:color="000000"/>
        </w:rPr>
        <w:t>Default Priors and Predictive Performance in Ba</w:t>
      </w:r>
      <w:r>
        <w:rPr>
          <w:color w:val="800080"/>
        </w:rPr>
        <w:t>y</w:t>
      </w:r>
      <w:r>
        <w:rPr>
          <w:color w:val="800080"/>
          <w:u w:val="single" w:color="000000"/>
        </w:rPr>
        <w:t>esian Model Avera</w:t>
      </w:r>
      <w:r>
        <w:rPr>
          <w:color w:val="800080"/>
        </w:rPr>
        <w:t>g</w:t>
      </w:r>
      <w:r>
        <w:rPr>
          <w:color w:val="800080"/>
          <w:u w:val="single" w:color="000000"/>
        </w:rPr>
        <w:t>in</w:t>
      </w:r>
      <w:r>
        <w:rPr>
          <w:color w:val="800080"/>
        </w:rPr>
        <w:t>g,</w:t>
      </w:r>
      <w:r>
        <w:rPr>
          <w:color w:val="800080"/>
          <w:u w:val="single" w:color="000000"/>
        </w:rPr>
        <w:t> with Application to</w:t>
      </w:r>
      <w:r>
        <w:rPr>
          <w:color w:val="800080"/>
        </w:rPr>
        <w:t> </w:t>
      </w:r>
      <w:r>
        <w:rPr>
          <w:color w:val="800080"/>
          <w:u w:val="single" w:color="000000"/>
        </w:rPr>
        <w:t>Growth Determinants</w:t>
      </w:r>
      <w:r>
        <w:rPr/>
        <w:t>, </w:t>
      </w:r>
      <w:r>
        <w:rPr>
          <w:b/>
          <w:i/>
        </w:rPr>
        <w:t>Journal of Applied Econometrics, </w:t>
      </w:r>
      <w:r>
        <w:rPr/>
        <w:t>26, 1, (February 2011), pp 30-55, (with Chris Papageorgiou and Adrian Raftery) (</w:t>
      </w:r>
      <w:r>
        <w:rPr>
          <w:color w:val="800080"/>
          <w:u w:val="single" w:color="000000"/>
        </w:rPr>
        <w:t>R Scripts</w:t>
      </w:r>
      <w:r>
        <w:rPr/>
        <w:t>)</w:t>
      </w:r>
    </w:p>
    <w:p>
      <w:pPr>
        <w:pStyle w:val="BodyText"/>
        <w:spacing w:before="2"/>
      </w:pPr>
    </w:p>
    <w:p>
      <w:pPr>
        <w:pStyle w:val="BodyText"/>
        <w:spacing w:before="0"/>
        <w:ind w:left="242" w:right="552"/>
      </w:pPr>
      <w:r>
        <w:rPr>
          <w:color w:val="800080"/>
          <w:u w:val="single" w:color="000000"/>
        </w:rPr>
        <w:t>One Money</w:t>
      </w:r>
      <w:r>
        <w:rPr>
          <w:color w:val="800080"/>
          <w:spacing w:val="-27"/>
          <w:u w:val="single" w:color="000000"/>
        </w:rPr>
        <w:t> </w:t>
      </w:r>
      <w:r>
        <w:rPr>
          <w:color w:val="800080"/>
        </w:rPr>
        <w:t>,</w:t>
      </w:r>
      <w:r>
        <w:rPr>
          <w:color w:val="800080"/>
          <w:u w:val="single" w:color="000000"/>
        </w:rPr>
        <w:t> One Market: A</w:t>
      </w:r>
      <w:r>
        <w:rPr>
          <w:color w:val="800080"/>
          <w:spacing w:val="-10"/>
          <w:u w:val="single" w:color="000000"/>
        </w:rPr>
        <w:t> </w:t>
      </w:r>
      <w:r>
        <w:rPr>
          <w:color w:val="800080"/>
          <w:u w:val="single" w:color="000000"/>
        </w:rPr>
        <w:t>Revised Benchmark For the Effects of Currency</w:t>
      </w:r>
      <w:r>
        <w:rPr>
          <w:color w:val="800080"/>
          <w:spacing w:val="40"/>
          <w:u w:val="single" w:color="000000"/>
        </w:rPr>
        <w:t> </w:t>
      </w:r>
      <w:r>
        <w:rPr>
          <w:color w:val="800080"/>
          <w:u w:val="single" w:color="000000"/>
        </w:rPr>
        <w:t>Unions on Trade</w:t>
      </w:r>
      <w:r>
        <w:rPr>
          <w:color w:val="800080"/>
        </w:rPr>
        <w:t> </w:t>
      </w:r>
      <w:r>
        <w:rPr>
          <w:color w:val="800080"/>
          <w:u w:val="single" w:color="000000"/>
        </w:rPr>
        <w:t>Flows</w:t>
      </w:r>
      <w:r>
        <w:rPr>
          <w:color w:val="0000FF"/>
        </w:rPr>
        <w:t>, </w:t>
      </w:r>
      <w:r>
        <w:rPr>
          <w:b/>
          <w:i/>
        </w:rPr>
        <w:t>Review of International Economics, </w:t>
      </w:r>
      <w:r>
        <w:rPr/>
        <w:t>19, (August 2011), pp 419-435, (with Christian</w:t>
      </w:r>
    </w:p>
    <w:p>
      <w:pPr>
        <w:pStyle w:val="BodyText"/>
        <w:spacing w:after="0"/>
        <w:sectPr>
          <w:pgSz w:w="12240" w:h="15840"/>
          <w:pgMar w:top="340" w:bottom="280" w:left="360" w:right="1440"/>
        </w:sectPr>
      </w:pPr>
    </w:p>
    <w:p>
      <w:pPr>
        <w:pStyle w:val="BodyText"/>
        <w:spacing w:before="30"/>
        <w:ind w:left="242"/>
      </w:pPr>
      <w:r>
        <w:rPr/>
        <w:t>Henn)</w:t>
      </w:r>
      <w:r>
        <w:rPr>
          <w:spacing w:val="13"/>
        </w:rPr>
        <w:t> </w:t>
      </w:r>
      <w:r>
        <w:rPr/>
        <w:t>(</w:t>
      </w:r>
      <w:r>
        <w:rPr>
          <w:color w:val="800080"/>
          <w:u w:val="single" w:color="000000"/>
        </w:rPr>
        <w:t>Data/Do</w:t>
      </w:r>
      <w:r>
        <w:rPr>
          <w:color w:val="800080"/>
          <w:spacing w:val="13"/>
          <w:u w:val="single" w:color="000000"/>
        </w:rPr>
        <w:t> </w:t>
      </w:r>
      <w:r>
        <w:rPr>
          <w:color w:val="800080"/>
          <w:u w:val="single" w:color="000000"/>
        </w:rPr>
        <w:t>Files</w:t>
      </w:r>
      <w:r>
        <w:rPr>
          <w:color w:val="800080"/>
          <w:spacing w:val="13"/>
          <w:u w:val="single" w:color="000000"/>
        </w:rPr>
        <w:t> </w:t>
      </w:r>
      <w:r>
        <w:rPr>
          <w:spacing w:val="-10"/>
        </w:rPr>
        <w:t>)</w:t>
      </w:r>
    </w:p>
    <w:p>
      <w:pPr>
        <w:pStyle w:val="BodyText"/>
      </w:pPr>
    </w:p>
    <w:p>
      <w:pPr>
        <w:pStyle w:val="BodyText"/>
        <w:spacing w:before="0"/>
        <w:ind w:left="242" w:right="351"/>
      </w:pPr>
      <w:r>
        <w:rPr>
          <w:color w:val="800080"/>
          <w:u w:val="single" w:color="000000"/>
        </w:rPr>
        <w:t>Trade Creation and Diversion Revisited: Accounting for Model Uncertainty</w:t>
      </w:r>
      <w:r>
        <w:rPr>
          <w:color w:val="800080"/>
          <w:spacing w:val="40"/>
          <w:u w:val="single" w:color="000000"/>
        </w:rPr>
        <w:t> </w:t>
      </w:r>
      <w:r>
        <w:rPr>
          <w:color w:val="800080"/>
          <w:u w:val="single" w:color="000000"/>
        </w:rPr>
        <w:t>and Natural Tradin</w:t>
      </w:r>
      <w:r>
        <w:rPr>
          <w:color w:val="800080"/>
        </w:rPr>
        <w:t>g </w:t>
      </w:r>
      <w:r>
        <w:rPr>
          <w:color w:val="800080"/>
          <w:u w:val="single" w:color="000000"/>
        </w:rPr>
        <w:t>Partner</w:t>
      </w:r>
      <w:r>
        <w:rPr>
          <w:color w:val="800080"/>
          <w:spacing w:val="31"/>
          <w:u w:val="single" w:color="000000"/>
        </w:rPr>
        <w:t> </w:t>
      </w:r>
      <w:r>
        <w:rPr>
          <w:color w:val="800080"/>
          <w:u w:val="single" w:color="000000"/>
        </w:rPr>
        <w:t>Effects</w:t>
      </w:r>
      <w:r>
        <w:rPr/>
        <w:t>,</w:t>
      </w:r>
      <w:r>
        <w:rPr>
          <w:spacing w:val="31"/>
        </w:rPr>
        <w:t> </w:t>
      </w:r>
      <w:r>
        <w:rPr>
          <w:b/>
          <w:i/>
        </w:rPr>
        <w:t>Journal</w:t>
      </w:r>
      <w:r>
        <w:rPr>
          <w:b/>
          <w:i/>
          <w:spacing w:val="31"/>
        </w:rPr>
        <w:t> </w:t>
      </w:r>
      <w:r>
        <w:rPr>
          <w:b/>
          <w:i/>
        </w:rPr>
        <w:t>of</w:t>
      </w:r>
      <w:r>
        <w:rPr>
          <w:b/>
          <w:i/>
          <w:spacing w:val="31"/>
        </w:rPr>
        <w:t> </w:t>
      </w:r>
      <w:r>
        <w:rPr>
          <w:b/>
          <w:i/>
        </w:rPr>
        <w:t>Applied</w:t>
      </w:r>
      <w:r>
        <w:rPr>
          <w:b/>
          <w:i/>
          <w:spacing w:val="31"/>
        </w:rPr>
        <w:t> </w:t>
      </w:r>
      <w:r>
        <w:rPr>
          <w:b/>
          <w:i/>
        </w:rPr>
        <w:t>Econometrics,</w:t>
      </w:r>
      <w:r>
        <w:rPr>
          <w:b/>
          <w:i/>
          <w:spacing w:val="31"/>
        </w:rPr>
        <w:t> </w:t>
      </w:r>
      <w:r>
        <w:rPr/>
        <w:t>27,</w:t>
      </w:r>
      <w:r>
        <w:rPr>
          <w:spacing w:val="31"/>
        </w:rPr>
        <w:t> </w:t>
      </w:r>
      <w:r>
        <w:rPr/>
        <w:t>(March</w:t>
      </w:r>
      <w:r>
        <w:rPr>
          <w:spacing w:val="31"/>
        </w:rPr>
        <w:t> </w:t>
      </w:r>
      <w:r>
        <w:rPr/>
        <w:t>2012),</w:t>
      </w:r>
      <w:r>
        <w:rPr>
          <w:spacing w:val="31"/>
        </w:rPr>
        <w:t> </w:t>
      </w:r>
      <w:r>
        <w:rPr/>
        <w:t>pp</w:t>
      </w:r>
      <w:r>
        <w:rPr>
          <w:spacing w:val="31"/>
        </w:rPr>
        <w:t> </w:t>
      </w:r>
      <w:r>
        <w:rPr/>
        <w:t>296-321,</w:t>
      </w:r>
      <w:r>
        <w:rPr>
          <w:spacing w:val="31"/>
        </w:rPr>
        <w:t> </w:t>
      </w:r>
      <w:r>
        <w:rPr/>
        <w:t>(with Christian Henn and Chris Papageorgiou) (</w:t>
      </w:r>
      <w:r>
        <w:rPr>
          <w:color w:val="800080"/>
          <w:u w:val="single" w:color="000000"/>
        </w:rPr>
        <w:t>Data/Do Files</w:t>
      </w:r>
      <w:r>
        <w:rPr/>
        <w:t>)</w:t>
      </w:r>
    </w:p>
    <w:p>
      <w:pPr>
        <w:pStyle w:val="BodyText"/>
        <w:spacing w:before="2"/>
      </w:pPr>
    </w:p>
    <w:p>
      <w:pPr>
        <w:pStyle w:val="BodyText"/>
        <w:spacing w:before="0"/>
        <w:ind w:left="242" w:right="552"/>
      </w:pPr>
      <w:r>
        <w:rPr>
          <w:color w:val="800080"/>
          <w:u w:val="single" w:color="000000"/>
        </w:rPr>
        <w:t>Robust FDI Determinants: Ba</w:t>
      </w:r>
      <w:r>
        <w:rPr>
          <w:color w:val="800080"/>
        </w:rPr>
        <w:t>y</w:t>
      </w:r>
      <w:r>
        <w:rPr>
          <w:color w:val="800080"/>
          <w:u w:val="single" w:color="000000"/>
        </w:rPr>
        <w:t>esian Model Avera</w:t>
      </w:r>
      <w:r>
        <w:rPr>
          <w:color w:val="800080"/>
        </w:rPr>
        <w:t>g</w:t>
      </w:r>
      <w:r>
        <w:rPr>
          <w:color w:val="800080"/>
          <w:u w:val="single" w:color="000000"/>
        </w:rPr>
        <w:t>ing in the Presence of Selection Bias</w:t>
      </w:r>
      <w:r>
        <w:rPr/>
        <w:t>, </w:t>
      </w:r>
      <w:r>
        <w:rPr>
          <w:b/>
          <w:i/>
        </w:rPr>
        <w:t>Journal of Macroeconomics,</w:t>
      </w:r>
      <w:r>
        <w:rPr>
          <w:b/>
          <w:i/>
          <w:spacing w:val="80"/>
        </w:rPr>
        <w:t> </w:t>
      </w:r>
      <w:r>
        <w:rPr/>
        <w:t>34 (September 2012), pp 637–651, (with Lindy Helfman and Alex Lenkoski) (</w:t>
      </w:r>
      <w:r>
        <w:rPr>
          <w:color w:val="800080"/>
          <w:u w:val="single" w:color="000000"/>
        </w:rPr>
        <w:t>Data/Do Files</w:t>
      </w:r>
      <w:r>
        <w:rPr/>
        <w:t>)</w:t>
      </w:r>
    </w:p>
    <w:p>
      <w:pPr>
        <w:pStyle w:val="BodyText"/>
        <w:spacing w:before="2"/>
      </w:pPr>
    </w:p>
    <w:p>
      <w:pPr>
        <w:spacing w:before="1"/>
        <w:ind w:left="242" w:right="0" w:firstLine="0"/>
        <w:jc w:val="left"/>
        <w:rPr>
          <w:i/>
          <w:sz w:val="25"/>
        </w:rPr>
      </w:pPr>
      <w:r>
        <w:rPr>
          <w:color w:val="800080"/>
          <w:sz w:val="25"/>
          <w:u w:val="single" w:color="000000"/>
        </w:rPr>
        <w:t>Intellectual</w:t>
      </w:r>
      <w:r>
        <w:rPr>
          <w:color w:val="800080"/>
          <w:spacing w:val="9"/>
          <w:sz w:val="25"/>
          <w:u w:val="single" w:color="000000"/>
        </w:rPr>
        <w:t> </w:t>
      </w:r>
      <w:r>
        <w:rPr>
          <w:color w:val="800080"/>
          <w:sz w:val="25"/>
          <w:u w:val="single" w:color="000000"/>
        </w:rPr>
        <w:t>Property</w:t>
      </w:r>
      <w:r>
        <w:rPr>
          <w:color w:val="800080"/>
          <w:spacing w:val="66"/>
          <w:sz w:val="25"/>
          <w:u w:val="single" w:color="000000"/>
        </w:rPr>
        <w:t> </w:t>
      </w:r>
      <w:r>
        <w:rPr>
          <w:color w:val="800080"/>
          <w:sz w:val="25"/>
          <w:u w:val="single" w:color="000000"/>
        </w:rPr>
        <w:t>Rights</w:t>
      </w:r>
      <w:r>
        <w:rPr>
          <w:color w:val="800080"/>
          <w:spacing w:val="10"/>
          <w:sz w:val="25"/>
          <w:u w:val="single" w:color="000000"/>
        </w:rPr>
        <w:t> </w:t>
      </w:r>
      <w:r>
        <w:rPr>
          <w:color w:val="800080"/>
          <w:sz w:val="25"/>
          <w:u w:val="single" w:color="000000"/>
        </w:rPr>
        <w:t>as</w:t>
      </w:r>
      <w:r>
        <w:rPr>
          <w:color w:val="800080"/>
          <w:spacing w:val="10"/>
          <w:sz w:val="25"/>
          <w:u w:val="single" w:color="000000"/>
        </w:rPr>
        <w:t> </w:t>
      </w:r>
      <w:r>
        <w:rPr>
          <w:color w:val="800080"/>
          <w:sz w:val="25"/>
          <w:u w:val="single" w:color="000000"/>
        </w:rPr>
        <w:t>Development</w:t>
      </w:r>
      <w:r>
        <w:rPr>
          <w:color w:val="800080"/>
          <w:spacing w:val="9"/>
          <w:sz w:val="25"/>
          <w:u w:val="single" w:color="000000"/>
        </w:rPr>
        <w:t> </w:t>
      </w:r>
      <w:r>
        <w:rPr>
          <w:color w:val="800080"/>
          <w:sz w:val="25"/>
          <w:u w:val="single" w:color="000000"/>
        </w:rPr>
        <w:t>Determinants</w:t>
      </w:r>
      <w:r>
        <w:rPr>
          <w:sz w:val="25"/>
        </w:rPr>
        <w:t>,</w:t>
      </w:r>
      <w:r>
        <w:rPr>
          <w:spacing w:val="10"/>
          <w:sz w:val="25"/>
        </w:rPr>
        <w:t> </w:t>
      </w:r>
      <w:r>
        <w:rPr>
          <w:b/>
          <w:i/>
          <w:sz w:val="25"/>
        </w:rPr>
        <w:t>Canadian</w:t>
      </w:r>
      <w:r>
        <w:rPr>
          <w:b/>
          <w:i/>
          <w:spacing w:val="9"/>
          <w:sz w:val="25"/>
        </w:rPr>
        <w:t> </w:t>
      </w:r>
      <w:r>
        <w:rPr>
          <w:b/>
          <w:i/>
          <w:sz w:val="25"/>
        </w:rPr>
        <w:t>Journal</w:t>
      </w:r>
      <w:r>
        <w:rPr>
          <w:b/>
          <w:i/>
          <w:spacing w:val="10"/>
          <w:sz w:val="25"/>
        </w:rPr>
        <w:t> </w:t>
      </w:r>
      <w:r>
        <w:rPr>
          <w:b/>
          <w:i/>
          <w:sz w:val="25"/>
        </w:rPr>
        <w:t>of</w:t>
      </w:r>
      <w:r>
        <w:rPr>
          <w:b/>
          <w:i/>
          <w:spacing w:val="9"/>
          <w:sz w:val="25"/>
        </w:rPr>
        <w:t> </w:t>
      </w:r>
      <w:r>
        <w:rPr>
          <w:b/>
          <w:i/>
          <w:spacing w:val="-2"/>
          <w:sz w:val="25"/>
        </w:rPr>
        <w:t>Economics</w:t>
      </w:r>
      <w:r>
        <w:rPr>
          <w:i/>
          <w:spacing w:val="-2"/>
          <w:sz w:val="25"/>
        </w:rPr>
        <w:t>,</w:t>
      </w:r>
    </w:p>
    <w:p>
      <w:pPr>
        <w:pStyle w:val="BodyText"/>
        <w:spacing w:before="0"/>
        <w:ind w:left="242"/>
      </w:pPr>
      <w:r>
        <w:rPr/>
        <w:t>46</w:t>
      </w:r>
      <w:r>
        <w:rPr>
          <w:spacing w:val="12"/>
        </w:rPr>
        <w:t> </w:t>
      </w:r>
      <w:r>
        <w:rPr/>
        <w:t>(February</w:t>
      </w:r>
      <w:r>
        <w:rPr>
          <w:spacing w:val="13"/>
        </w:rPr>
        <w:t> </w:t>
      </w:r>
      <w:r>
        <w:rPr/>
        <w:t>2013),</w:t>
      </w:r>
      <w:r>
        <w:rPr>
          <w:spacing w:val="12"/>
        </w:rPr>
        <w:t> </w:t>
      </w:r>
      <w:r>
        <w:rPr/>
        <w:t>pp</w:t>
      </w:r>
      <w:r>
        <w:rPr>
          <w:spacing w:val="13"/>
        </w:rPr>
        <w:t> </w:t>
      </w:r>
      <w:r>
        <w:rPr/>
        <w:t>4-22</w:t>
      </w:r>
      <w:r>
        <w:rPr>
          <w:spacing w:val="13"/>
        </w:rPr>
        <w:t> </w:t>
      </w:r>
      <w:r>
        <w:rPr/>
        <w:t>(with</w:t>
      </w:r>
      <w:r>
        <w:rPr>
          <w:spacing w:val="12"/>
        </w:rPr>
        <w:t> </w:t>
      </w:r>
      <w:r>
        <w:rPr/>
        <w:t>Monique</w:t>
      </w:r>
      <w:r>
        <w:rPr>
          <w:spacing w:val="13"/>
        </w:rPr>
        <w:t> </w:t>
      </w:r>
      <w:r>
        <w:rPr/>
        <w:t>Newiak)</w:t>
      </w:r>
      <w:r>
        <w:rPr>
          <w:spacing w:val="12"/>
        </w:rPr>
        <w:t> </w:t>
      </w:r>
      <w:r>
        <w:rPr/>
        <w:t>(</w:t>
      </w:r>
      <w:r>
        <w:rPr>
          <w:color w:val="800080"/>
          <w:u w:val="single" w:color="000000"/>
        </w:rPr>
        <w:t>Data/R</w:t>
      </w:r>
      <w:r>
        <w:rPr>
          <w:color w:val="800080"/>
          <w:spacing w:val="13"/>
          <w:u w:val="single" w:color="000000"/>
        </w:rPr>
        <w:t> </w:t>
      </w:r>
      <w:r>
        <w:rPr>
          <w:color w:val="800080"/>
          <w:spacing w:val="-2"/>
          <w:u w:val="single" w:color="000000"/>
        </w:rPr>
        <w:t>Scripts</w:t>
      </w:r>
      <w:r>
        <w:rPr>
          <w:spacing w:val="-2"/>
        </w:rPr>
        <w:t>)</w:t>
      </w:r>
    </w:p>
    <w:p>
      <w:pPr>
        <w:pStyle w:val="BodyText"/>
      </w:pPr>
    </w:p>
    <w:p>
      <w:pPr>
        <w:pStyle w:val="BodyText"/>
        <w:spacing w:before="0"/>
        <w:ind w:left="242"/>
      </w:pPr>
      <w:r>
        <w:rPr>
          <w:color w:val="800080"/>
          <w:u w:val="single" w:color="000000"/>
        </w:rPr>
        <w:t>Ba</w:t>
      </w:r>
      <w:r>
        <w:rPr>
          <w:color w:val="800080"/>
        </w:rPr>
        <w:t>y</w:t>
      </w:r>
      <w:r>
        <w:rPr>
          <w:color w:val="800080"/>
          <w:u w:val="single" w:color="000000"/>
        </w:rPr>
        <w:t>esian Model Avera</w:t>
      </w:r>
      <w:r>
        <w:rPr>
          <w:color w:val="800080"/>
        </w:rPr>
        <w:t>g</w:t>
      </w:r>
      <w:r>
        <w:rPr>
          <w:color w:val="800080"/>
          <w:u w:val="single" w:color="000000"/>
        </w:rPr>
        <w:t>ing and Endogeneity</w:t>
      </w:r>
      <w:r>
        <w:rPr>
          <w:color w:val="800080"/>
          <w:spacing w:val="40"/>
          <w:u w:val="single" w:color="000000"/>
        </w:rPr>
        <w:t> </w:t>
      </w:r>
      <w:r>
        <w:rPr>
          <w:color w:val="800080"/>
          <w:u w:val="single" w:color="000000"/>
        </w:rPr>
        <w:t>Under Model Uncertainty: An Application to</w:t>
      </w:r>
      <w:r>
        <w:rPr>
          <w:color w:val="800080"/>
        </w:rPr>
        <w:t> </w:t>
      </w:r>
      <w:r>
        <w:rPr>
          <w:color w:val="800080"/>
          <w:u w:val="single" w:color="000000"/>
        </w:rPr>
        <w:t>Development Determinants</w:t>
      </w:r>
      <w:r>
        <w:rPr/>
        <w:t>, </w:t>
      </w:r>
      <w:r>
        <w:rPr>
          <w:b/>
          <w:i/>
        </w:rPr>
        <w:t>Econometric Reviews</w:t>
      </w:r>
      <w:r>
        <w:rPr>
          <w:i/>
        </w:rPr>
        <w:t>, </w:t>
      </w:r>
      <w:r>
        <w:rPr/>
        <w:t>33, (February 2014), pp 122-51 (with Alex Lenkoski and Adrian Raftery) (</w:t>
      </w:r>
      <w:r>
        <w:rPr>
          <w:color w:val="0000FF"/>
          <w:u w:val="single" w:color="000000"/>
        </w:rPr>
        <w:t>R Script</w:t>
      </w:r>
      <w:r>
        <w:rPr/>
        <w:t>)</w:t>
      </w:r>
    </w:p>
    <w:p>
      <w:pPr>
        <w:pStyle w:val="BodyText"/>
        <w:spacing w:before="2"/>
      </w:pPr>
    </w:p>
    <w:p>
      <w:pPr>
        <w:pStyle w:val="BodyText"/>
        <w:spacing w:before="0"/>
        <w:ind w:left="242" w:right="552"/>
      </w:pPr>
      <w:r>
        <w:rPr>
          <w:u w:val="single"/>
        </w:rPr>
        <w:t>Did Established Early</w:t>
      </w:r>
      <w:r>
        <w:rPr>
          <w:spacing w:val="40"/>
          <w:u w:val="single"/>
        </w:rPr>
        <w:t> </w:t>
      </w:r>
      <w:r>
        <w:rPr>
          <w:u w:val="single"/>
        </w:rPr>
        <w:t>Warnin</w:t>
      </w:r>
      <w:r>
        <w:rPr/>
        <w:t>g</w:t>
      </w:r>
      <w:r>
        <w:rPr>
          <w:u w:val="single"/>
        </w:rPr>
        <w:t> Signals Predict the 2008 Crises?</w:t>
      </w:r>
      <w:r>
        <w:rPr/>
        <w:t> </w:t>
      </w:r>
      <w:r>
        <w:rPr>
          <w:b/>
          <w:i/>
        </w:rPr>
        <w:t>European Economic Review, </w:t>
      </w:r>
      <w:r>
        <w:rPr>
          <w:i/>
        </w:rPr>
        <w:t>90 </w:t>
      </w:r>
      <w:r>
        <w:rPr/>
        <w:t>(January 2016), pp 103-14 (with Charis Christofides and Chris Papageorgiou) (</w:t>
      </w:r>
      <w:r>
        <w:rPr>
          <w:color w:val="800080"/>
          <w:u w:val="single" w:color="000000"/>
        </w:rPr>
        <w:t>Data/R</w:t>
      </w:r>
      <w:r>
        <w:rPr>
          <w:color w:val="800080"/>
        </w:rPr>
        <w:t> </w:t>
      </w:r>
      <w:r>
        <w:rPr>
          <w:color w:val="800080"/>
          <w:spacing w:val="-2"/>
          <w:u w:val="single" w:color="000000"/>
        </w:rPr>
        <w:t>Scripts</w:t>
      </w:r>
      <w:r>
        <w:rPr>
          <w:spacing w:val="-2"/>
        </w:rPr>
        <w:t>)</w:t>
      </w:r>
    </w:p>
    <w:p>
      <w:pPr>
        <w:pStyle w:val="BodyText"/>
        <w:spacing w:before="2"/>
      </w:pPr>
    </w:p>
    <w:p>
      <w:pPr>
        <w:spacing w:before="0"/>
        <w:ind w:left="242" w:right="351" w:firstLine="0"/>
        <w:jc w:val="left"/>
        <w:rPr>
          <w:sz w:val="25"/>
        </w:rPr>
      </w:pPr>
      <w:r>
        <w:rPr>
          <w:sz w:val="25"/>
        </w:rPr>
        <mc:AlternateContent>
          <mc:Choice Requires="wps">
            <w:drawing>
              <wp:anchor distT="0" distB="0" distL="0" distR="0" allowOverlap="1" layoutInCell="1" locked="0" behindDoc="0" simplePos="0" relativeHeight="15732736">
                <wp:simplePos x="0" y="0"/>
                <wp:positionH relativeFrom="page">
                  <wp:posOffset>2976573</wp:posOffset>
                </wp:positionH>
                <wp:positionV relativeFrom="paragraph">
                  <wp:posOffset>158758</wp:posOffset>
                </wp:positionV>
                <wp:extent cx="36195" cy="1016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195" cy="10160"/>
                        </a:xfrm>
                        <a:custGeom>
                          <a:avLst/>
                          <a:gdLst/>
                          <a:ahLst/>
                          <a:cxnLst/>
                          <a:rect l="l" t="t" r="r" b="b"/>
                          <a:pathLst>
                            <a:path w="36195" h="10160">
                              <a:moveTo>
                                <a:pt x="35865" y="0"/>
                              </a:moveTo>
                              <a:lnTo>
                                <a:pt x="0" y="0"/>
                              </a:lnTo>
                              <a:lnTo>
                                <a:pt x="0" y="10160"/>
                              </a:lnTo>
                              <a:lnTo>
                                <a:pt x="35865" y="10160"/>
                              </a:lnTo>
                              <a:lnTo>
                                <a:pt x="35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4.3759pt;margin-top:12.500635pt;width:2.82408pt;height:.8pt;mso-position-horizontal-relative:page;mso-position-vertical-relative:paragraph;z-index:15732736" id="docshape13" filled="true" fillcolor="#000000" stroked="false">
                <v:fill type="solid"/>
                <w10:wrap type="none"/>
              </v:rect>
            </w:pict>
          </mc:Fallback>
        </mc:AlternateContent>
      </w:r>
      <w:r>
        <w:rPr>
          <w:color w:val="800080"/>
          <w:sz w:val="25"/>
          <w:u w:val="single" w:color="000000"/>
        </w:rPr>
        <w:t>The Elusive Effect of Trade on Growth</w:t>
      </w:r>
      <w:r>
        <w:rPr>
          <w:color w:val="666666"/>
          <w:sz w:val="25"/>
        </w:rPr>
        <w:t>, </w:t>
      </w:r>
      <w:r>
        <w:rPr>
          <w:b/>
          <w:i/>
          <w:sz w:val="25"/>
        </w:rPr>
        <w:t>Canadian Journal of Economics, </w:t>
      </w:r>
      <w:r>
        <w:rPr>
          <w:sz w:val="25"/>
        </w:rPr>
        <w:t>49, (February 2016), pp 264-95 (with David Kuenzel) (</w:t>
      </w:r>
      <w:r>
        <w:rPr>
          <w:color w:val="800080"/>
          <w:sz w:val="25"/>
          <w:u w:val="single" w:color="000000"/>
        </w:rPr>
        <w:t>Data/R Scripts</w:t>
      </w:r>
      <w:r>
        <w:rPr>
          <w:sz w:val="25"/>
        </w:rPr>
        <w:t>)</w:t>
      </w:r>
    </w:p>
    <w:p>
      <w:pPr>
        <w:pStyle w:val="BodyText"/>
        <w:spacing w:before="2"/>
      </w:pPr>
    </w:p>
    <w:p>
      <w:pPr>
        <w:pStyle w:val="BodyText"/>
        <w:spacing w:before="0"/>
        <w:ind w:left="242" w:right="552"/>
      </w:pPr>
      <w:r>
        <w:rPr/>
        <mc:AlternateContent>
          <mc:Choice Requires="wps">
            <w:drawing>
              <wp:anchor distT="0" distB="0" distL="0" distR="0" allowOverlap="1" layoutInCell="1" locked="0" behindDoc="0" simplePos="0" relativeHeight="15733248">
                <wp:simplePos x="0" y="0"/>
                <wp:positionH relativeFrom="page">
                  <wp:posOffset>3814773</wp:posOffset>
                </wp:positionH>
                <wp:positionV relativeFrom="paragraph">
                  <wp:posOffset>158487</wp:posOffset>
                </wp:positionV>
                <wp:extent cx="36195" cy="1016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6195" cy="10160"/>
                        </a:xfrm>
                        <a:custGeom>
                          <a:avLst/>
                          <a:gdLst/>
                          <a:ahLst/>
                          <a:cxnLst/>
                          <a:rect l="l" t="t" r="r" b="b"/>
                          <a:pathLst>
                            <a:path w="36195" h="10160">
                              <a:moveTo>
                                <a:pt x="35865" y="0"/>
                              </a:moveTo>
                              <a:lnTo>
                                <a:pt x="0" y="0"/>
                              </a:lnTo>
                              <a:lnTo>
                                <a:pt x="0" y="10160"/>
                              </a:lnTo>
                              <a:lnTo>
                                <a:pt x="35865" y="10160"/>
                              </a:lnTo>
                              <a:lnTo>
                                <a:pt x="35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0.375885pt;margin-top:12.479297pt;width:2.82408pt;height:.8pt;mso-position-horizontal-relative:page;mso-position-vertical-relative:paragraph;z-index:15733248" id="docshape14" filled="true" fillcolor="#000000" stroked="false">
                <v:fill type="solid"/>
                <w10:wrap type="none"/>
              </v:rect>
            </w:pict>
          </mc:Fallback>
        </mc:AlternateContent>
      </w:r>
      <w:r>
        <w:rPr>
          <w:color w:val="800080"/>
          <w:u w:val="single" w:color="000000"/>
        </w:rPr>
        <w:t>Constitutional Determinants of Social Infrastructure</w:t>
      </w:r>
      <w:r>
        <w:rPr>
          <w:color w:val="666666"/>
        </w:rPr>
        <w:t>, </w:t>
      </w:r>
      <w:r>
        <w:rPr>
          <w:b/>
          <w:i/>
        </w:rPr>
        <w:t>Journal of Macroeconomics, </w:t>
      </w:r>
      <w:r>
        <w:rPr/>
        <w:t>57, (Sept 2018), pp 182-209 (with Cecilia Garcia-Penalosa and David Kuenzel) (</w:t>
      </w:r>
      <w:r>
        <w:rPr>
          <w:color w:val="800080"/>
          <w:u w:val="single" w:color="000000"/>
        </w:rPr>
        <w:t>Data/R Scripts</w:t>
      </w:r>
      <w:r>
        <w:rPr/>
        <w:t>)</w:t>
      </w:r>
    </w:p>
    <w:p>
      <w:pPr>
        <w:pStyle w:val="BodyText"/>
      </w:pPr>
    </w:p>
    <w:p>
      <w:pPr>
        <w:spacing w:before="0"/>
        <w:ind w:left="242" w:right="552" w:firstLine="0"/>
        <w:jc w:val="left"/>
        <w:rPr>
          <w:sz w:val="25"/>
        </w:rPr>
      </w:pPr>
      <w:r>
        <w:rPr>
          <w:sz w:val="25"/>
        </w:rPr>
        <mc:AlternateContent>
          <mc:Choice Requires="wps">
            <w:drawing>
              <wp:anchor distT="0" distB="0" distL="0" distR="0" allowOverlap="1" layoutInCell="1" locked="0" behindDoc="0" simplePos="0" relativeHeight="15733760">
                <wp:simplePos x="0" y="0"/>
                <wp:positionH relativeFrom="page">
                  <wp:posOffset>3586173</wp:posOffset>
                </wp:positionH>
                <wp:positionV relativeFrom="paragraph">
                  <wp:posOffset>158851</wp:posOffset>
                </wp:positionV>
                <wp:extent cx="36195" cy="1016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6195" cy="10160"/>
                        </a:xfrm>
                        <a:custGeom>
                          <a:avLst/>
                          <a:gdLst/>
                          <a:ahLst/>
                          <a:cxnLst/>
                          <a:rect l="l" t="t" r="r" b="b"/>
                          <a:pathLst>
                            <a:path w="36195" h="10160">
                              <a:moveTo>
                                <a:pt x="35865" y="0"/>
                              </a:moveTo>
                              <a:lnTo>
                                <a:pt x="0" y="0"/>
                              </a:lnTo>
                              <a:lnTo>
                                <a:pt x="0" y="10160"/>
                              </a:lnTo>
                              <a:lnTo>
                                <a:pt x="35865" y="10160"/>
                              </a:lnTo>
                              <a:lnTo>
                                <a:pt x="35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375885pt;margin-top:12.507959pt;width:2.82408pt;height:.8pt;mso-position-horizontal-relative:page;mso-position-vertical-relative:paragraph;z-index:15733760" id="docshape15" filled="true" fillcolor="#000000" stroked="false">
                <v:fill type="solid"/>
                <w10:wrap type="none"/>
              </v:rect>
            </w:pict>
          </mc:Fallback>
        </mc:AlternateContent>
      </w:r>
      <w:r>
        <w:rPr>
          <w:color w:val="800080"/>
          <w:sz w:val="25"/>
          <w:u w:val="single" w:color="000000"/>
        </w:rPr>
        <w:t>European Influence and Economic Development</w:t>
      </w:r>
      <w:r>
        <w:rPr>
          <w:color w:val="666666"/>
          <w:sz w:val="25"/>
        </w:rPr>
        <w:t>, </w:t>
      </w:r>
      <w:r>
        <w:rPr>
          <w:b/>
          <w:i/>
          <w:sz w:val="25"/>
        </w:rPr>
        <w:t>Canadian Journal of Economics, </w:t>
      </w:r>
      <w:r>
        <w:rPr>
          <w:sz w:val="25"/>
        </w:rPr>
        <w:t>(May 2019), pp 667-734 (with David Kuenzel) (</w:t>
      </w:r>
      <w:r>
        <w:rPr>
          <w:color w:val="800080"/>
          <w:sz w:val="25"/>
          <w:u w:val="single" w:color="000000"/>
        </w:rPr>
        <w:t>Data/R Scripts</w:t>
      </w:r>
      <w:r>
        <w:rPr>
          <w:sz w:val="25"/>
        </w:rPr>
        <w:t>)</w:t>
      </w:r>
    </w:p>
    <w:p>
      <w:pPr>
        <w:pStyle w:val="BodyText"/>
        <w:spacing w:before="2"/>
      </w:pPr>
    </w:p>
    <w:p>
      <w:pPr>
        <w:spacing w:before="0"/>
        <w:ind w:left="242" w:right="456" w:firstLine="0"/>
        <w:jc w:val="left"/>
        <w:rPr>
          <w:sz w:val="25"/>
        </w:rPr>
      </w:pPr>
      <w:r>
        <w:rPr>
          <w:sz w:val="25"/>
        </w:rPr>
        <mc:AlternateContent>
          <mc:Choice Requires="wps">
            <w:drawing>
              <wp:anchor distT="0" distB="0" distL="0" distR="0" allowOverlap="1" layoutInCell="1" locked="0" behindDoc="0" simplePos="0" relativeHeight="15734272">
                <wp:simplePos x="0" y="0"/>
                <wp:positionH relativeFrom="page">
                  <wp:posOffset>2275533</wp:posOffset>
                </wp:positionH>
                <wp:positionV relativeFrom="paragraph">
                  <wp:posOffset>158580</wp:posOffset>
                </wp:positionV>
                <wp:extent cx="36195" cy="101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6195" cy="10160"/>
                        </a:xfrm>
                        <a:custGeom>
                          <a:avLst/>
                          <a:gdLst/>
                          <a:ahLst/>
                          <a:cxnLst/>
                          <a:rect l="l" t="t" r="r" b="b"/>
                          <a:pathLst>
                            <a:path w="36195" h="10160">
                              <a:moveTo>
                                <a:pt x="35865" y="0"/>
                              </a:moveTo>
                              <a:lnTo>
                                <a:pt x="0" y="0"/>
                              </a:lnTo>
                              <a:lnTo>
                                <a:pt x="0" y="10160"/>
                              </a:lnTo>
                              <a:lnTo>
                                <a:pt x="35865" y="10160"/>
                              </a:lnTo>
                              <a:lnTo>
                                <a:pt x="35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175903pt;margin-top:12.486621pt;width:2.82408pt;height:.8pt;mso-position-horizontal-relative:page;mso-position-vertical-relative:paragraph;z-index:15734272" id="docshape16" filled="true" fillcolor="#000000" stroked="false">
                <v:fill type="solid"/>
                <w10:wrap type="none"/>
              </v:rect>
            </w:pict>
          </mc:Fallback>
        </mc:AlternateContent>
      </w:r>
      <w:r>
        <w:rPr>
          <w:color w:val="800080"/>
          <w:sz w:val="25"/>
          <w:u w:val="single" w:color="000000"/>
        </w:rPr>
        <w:t>Forecasts in Times of Crises</w:t>
      </w:r>
      <w:r>
        <w:rPr>
          <w:color w:val="666666"/>
          <w:sz w:val="25"/>
        </w:rPr>
        <w:t>, </w:t>
      </w:r>
      <w:r>
        <w:rPr>
          <w:b/>
          <w:i/>
          <w:sz w:val="25"/>
        </w:rPr>
        <w:t>International Journal of Forecasting, </w:t>
      </w:r>
      <w:r>
        <w:rPr>
          <w:i/>
          <w:sz w:val="25"/>
        </w:rPr>
        <w:t>35, </w:t>
      </w:r>
      <w:r>
        <w:rPr>
          <w:sz w:val="25"/>
        </w:rPr>
        <w:t>(Jul-Sep 2019), pp 1143-1159</w:t>
      </w:r>
      <w:r>
        <w:rPr>
          <w:spacing w:val="9"/>
          <w:sz w:val="25"/>
        </w:rPr>
        <w:t> </w:t>
      </w:r>
      <w:r>
        <w:rPr>
          <w:sz w:val="25"/>
        </w:rPr>
        <w:t>(with</w:t>
      </w:r>
      <w:r>
        <w:rPr>
          <w:spacing w:val="12"/>
          <w:sz w:val="25"/>
        </w:rPr>
        <w:t> </w:t>
      </w:r>
      <w:r>
        <w:rPr>
          <w:sz w:val="25"/>
        </w:rPr>
        <w:t>David</w:t>
      </w:r>
      <w:r>
        <w:rPr>
          <w:spacing w:val="12"/>
          <w:sz w:val="25"/>
        </w:rPr>
        <w:t> </w:t>
      </w:r>
      <w:r>
        <w:rPr>
          <w:sz w:val="25"/>
        </w:rPr>
        <w:t>Kuenzel,</w:t>
      </w:r>
      <w:r>
        <w:rPr>
          <w:spacing w:val="12"/>
          <w:sz w:val="25"/>
        </w:rPr>
        <w:t> </w:t>
      </w:r>
      <w:r>
        <w:rPr>
          <w:sz w:val="25"/>
        </w:rPr>
        <w:t>Chris</w:t>
      </w:r>
      <w:r>
        <w:rPr>
          <w:spacing w:val="12"/>
          <w:sz w:val="25"/>
        </w:rPr>
        <w:t> </w:t>
      </w:r>
      <w:r>
        <w:rPr>
          <w:sz w:val="25"/>
        </w:rPr>
        <w:t>Papageorgiou</w:t>
      </w:r>
      <w:r>
        <w:rPr>
          <w:spacing w:val="11"/>
          <w:sz w:val="25"/>
        </w:rPr>
        <w:t> </w:t>
      </w:r>
      <w:r>
        <w:rPr>
          <w:sz w:val="25"/>
        </w:rPr>
        <w:t>and</w:t>
      </w:r>
      <w:r>
        <w:rPr>
          <w:spacing w:val="12"/>
          <w:sz w:val="25"/>
        </w:rPr>
        <w:t> </w:t>
      </w:r>
      <w:r>
        <w:rPr>
          <w:sz w:val="25"/>
        </w:rPr>
        <w:t>Charis</w:t>
      </w:r>
      <w:r>
        <w:rPr>
          <w:spacing w:val="12"/>
          <w:sz w:val="25"/>
        </w:rPr>
        <w:t> </w:t>
      </w:r>
      <w:r>
        <w:rPr>
          <w:sz w:val="25"/>
        </w:rPr>
        <w:t>Christofides)</w:t>
      </w:r>
      <w:r>
        <w:rPr>
          <w:spacing w:val="12"/>
          <w:sz w:val="25"/>
        </w:rPr>
        <w:t> </w:t>
      </w:r>
      <w:r>
        <w:rPr>
          <w:sz w:val="25"/>
        </w:rPr>
        <w:t>(</w:t>
      </w:r>
      <w:r>
        <w:rPr>
          <w:color w:val="800080"/>
          <w:sz w:val="25"/>
          <w:u w:val="single" w:color="000000"/>
        </w:rPr>
        <w:t>Data/R</w:t>
      </w:r>
      <w:r>
        <w:rPr>
          <w:color w:val="800080"/>
          <w:spacing w:val="12"/>
          <w:sz w:val="25"/>
          <w:u w:val="single" w:color="000000"/>
        </w:rPr>
        <w:t> </w:t>
      </w:r>
      <w:r>
        <w:rPr>
          <w:color w:val="800080"/>
          <w:spacing w:val="-2"/>
          <w:sz w:val="25"/>
          <w:u w:val="single" w:color="000000"/>
        </w:rPr>
        <w:t>Scripts</w:t>
      </w:r>
      <w:r>
        <w:rPr>
          <w:spacing w:val="-2"/>
          <w:sz w:val="25"/>
        </w:rPr>
        <w:t>)</w:t>
      </w:r>
    </w:p>
    <w:p>
      <w:pPr>
        <w:pStyle w:val="BodyText"/>
      </w:pPr>
    </w:p>
    <w:p>
      <w:pPr>
        <w:spacing w:before="1"/>
        <w:ind w:left="242" w:right="482" w:firstLine="0"/>
        <w:jc w:val="left"/>
        <w:rPr>
          <w:sz w:val="25"/>
        </w:rPr>
      </w:pPr>
      <w:r>
        <w:rPr>
          <w:sz w:val="25"/>
        </w:rPr>
        <mc:AlternateContent>
          <mc:Choice Requires="wps">
            <w:drawing>
              <wp:anchor distT="0" distB="0" distL="0" distR="0" allowOverlap="1" layoutInCell="1" locked="0" behindDoc="0" simplePos="0" relativeHeight="15734784">
                <wp:simplePos x="0" y="0"/>
                <wp:positionH relativeFrom="page">
                  <wp:posOffset>2524453</wp:posOffset>
                </wp:positionH>
                <wp:positionV relativeFrom="paragraph">
                  <wp:posOffset>158944</wp:posOffset>
                </wp:positionV>
                <wp:extent cx="36195" cy="1016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6195" cy="10160"/>
                        </a:xfrm>
                        <a:custGeom>
                          <a:avLst/>
                          <a:gdLst/>
                          <a:ahLst/>
                          <a:cxnLst/>
                          <a:rect l="l" t="t" r="r" b="b"/>
                          <a:pathLst>
                            <a:path w="36195" h="10160">
                              <a:moveTo>
                                <a:pt x="35865" y="0"/>
                              </a:moveTo>
                              <a:lnTo>
                                <a:pt x="0" y="0"/>
                              </a:lnTo>
                              <a:lnTo>
                                <a:pt x="0" y="10160"/>
                              </a:lnTo>
                              <a:lnTo>
                                <a:pt x="35865" y="10160"/>
                              </a:lnTo>
                              <a:lnTo>
                                <a:pt x="35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8.775894pt;margin-top:12.515284pt;width:2.82408pt;height:.8pt;mso-position-horizontal-relative:page;mso-position-vertical-relative:paragraph;z-index:15734784" id="docshape17" filled="true" fillcolor="#000000" stroked="false">
                <v:fill type="solid"/>
                <w10:wrap type="none"/>
              </v:rect>
            </w:pict>
          </mc:Fallback>
        </mc:AlternateContent>
      </w:r>
      <w:r>
        <w:rPr>
          <w:color w:val="800080"/>
          <w:sz w:val="25"/>
          <w:u w:val="single" w:color="000000"/>
        </w:rPr>
        <w:t>The Accuracy</w:t>
      </w:r>
      <w:r>
        <w:rPr>
          <w:color w:val="800080"/>
          <w:spacing w:val="40"/>
          <w:sz w:val="25"/>
          <w:u w:val="single" w:color="000000"/>
        </w:rPr>
        <w:t> </w:t>
      </w:r>
      <w:r>
        <w:rPr>
          <w:color w:val="800080"/>
          <w:sz w:val="25"/>
          <w:u w:val="single" w:color="000000"/>
        </w:rPr>
        <w:t>of IMF Nowcasts</w:t>
      </w:r>
      <w:r>
        <w:rPr>
          <w:color w:val="666666"/>
          <w:sz w:val="25"/>
        </w:rPr>
        <w:t>, </w:t>
      </w:r>
      <w:r>
        <w:rPr>
          <w:b/>
          <w:i/>
          <w:sz w:val="25"/>
        </w:rPr>
        <w:t>International Journal of Forecasting, </w:t>
      </w:r>
      <w:r>
        <w:rPr>
          <w:sz w:val="25"/>
        </w:rPr>
        <w:t>39, (Jan-Mar 2023)pp 431-449 (with Yuan Gao Rollinson) (</w:t>
      </w:r>
      <w:r>
        <w:rPr>
          <w:color w:val="800080"/>
          <w:sz w:val="25"/>
          <w:u w:val="single" w:color="000000"/>
        </w:rPr>
        <w:t>Data/R Scripts</w:t>
      </w:r>
      <w:r>
        <w:rPr>
          <w:sz w:val="25"/>
        </w:rPr>
        <w:t>)</w:t>
      </w:r>
    </w:p>
    <w:p>
      <w:pPr>
        <w:pStyle w:val="BodyText"/>
      </w:pPr>
    </w:p>
    <w:p>
      <w:pPr>
        <w:spacing w:before="0"/>
        <w:ind w:left="242" w:right="820" w:firstLine="0"/>
        <w:jc w:val="left"/>
        <w:rPr>
          <w:sz w:val="25"/>
        </w:rPr>
      </w:pPr>
      <w:r>
        <w:rPr>
          <w:color w:val="0000FF"/>
          <w:sz w:val="25"/>
          <w:u w:val="single" w:color="000000"/>
        </w:rPr>
        <w:t>IMF Trade Forecasts for Crisis Countries: Bias, Inef</w:t>
      </w:r>
      <w:r>
        <w:rPr>
          <w:color w:val="0000FF"/>
          <w:sz w:val="25"/>
        </w:rPr>
        <w:t>fi</w:t>
      </w:r>
      <w:r>
        <w:rPr>
          <w:color w:val="0000FF"/>
          <w:sz w:val="25"/>
          <w:u w:val="single" w:color="000000"/>
        </w:rPr>
        <w:t>ciency</w:t>
      </w:r>
      <w:r>
        <w:rPr>
          <w:color w:val="0000FF"/>
          <w:spacing w:val="40"/>
          <w:sz w:val="25"/>
          <w:u w:val="single" w:color="000000"/>
        </w:rPr>
        <w:t> </w:t>
      </w:r>
      <w:r>
        <w:rPr>
          <w:color w:val="0000FF"/>
          <w:sz w:val="25"/>
          <w:u w:val="single" w:color="000000"/>
        </w:rPr>
        <w:t>and their Ori</w:t>
      </w:r>
      <w:r>
        <w:rPr>
          <w:color w:val="0000FF"/>
          <w:sz w:val="25"/>
        </w:rPr>
        <w:t>g</w:t>
      </w:r>
      <w:r>
        <w:rPr>
          <w:color w:val="0000FF"/>
          <w:sz w:val="25"/>
          <w:u w:val="single" w:color="000000"/>
        </w:rPr>
        <w:t>ins</w:t>
      </w:r>
      <w:r>
        <w:rPr>
          <w:color w:val="0000FF"/>
          <w:sz w:val="25"/>
        </w:rPr>
        <w:t> </w:t>
      </w:r>
      <w:r>
        <w:rPr>
          <w:b/>
          <w:i/>
          <w:sz w:val="25"/>
        </w:rPr>
        <w:t>International Journal of Forecasting, </w:t>
      </w:r>
      <w:r>
        <w:rPr>
          <w:sz w:val="25"/>
        </w:rPr>
        <w:t>39, (Oct-Dec 2023), pp 1615-1639 (with Reina Kawai) (</w:t>
      </w:r>
      <w:r>
        <w:rPr>
          <w:color w:val="800080"/>
          <w:sz w:val="25"/>
          <w:u w:val="single" w:color="000000"/>
        </w:rPr>
        <w:t>Data/R</w:t>
      </w:r>
      <w:r>
        <w:rPr>
          <w:color w:val="800080"/>
          <w:sz w:val="25"/>
        </w:rPr>
        <w:t> </w:t>
      </w:r>
      <w:r>
        <w:rPr>
          <w:color w:val="800080"/>
          <w:spacing w:val="-2"/>
          <w:sz w:val="25"/>
          <w:u w:val="single" w:color="000000"/>
        </w:rPr>
        <w:t>Scripts</w:t>
      </w:r>
      <w:r>
        <w:rPr>
          <w:spacing w:val="-2"/>
          <w:sz w:val="25"/>
        </w:rPr>
        <w:t>)</w:t>
      </w:r>
    </w:p>
    <w:p>
      <w:pPr>
        <w:pStyle w:val="BodyText"/>
        <w:spacing w:before="2"/>
      </w:pPr>
    </w:p>
    <w:p>
      <w:pPr>
        <w:spacing w:before="0"/>
        <w:ind w:left="242" w:right="552" w:firstLine="0"/>
        <w:jc w:val="left"/>
        <w:rPr>
          <w:sz w:val="25"/>
        </w:rPr>
      </w:pPr>
      <w:r>
        <w:rPr>
          <w:color w:val="800080"/>
          <w:sz w:val="25"/>
          <w:u w:val="single" w:color="000000"/>
        </w:rPr>
        <w:t>Housing Prices and Land-Use Regulations: A</w:t>
      </w:r>
      <w:r>
        <w:rPr>
          <w:color w:val="800080"/>
          <w:spacing w:val="-7"/>
          <w:sz w:val="25"/>
          <w:u w:val="single" w:color="000000"/>
        </w:rPr>
        <w:t> </w:t>
      </w:r>
      <w:r>
        <w:rPr>
          <w:color w:val="800080"/>
          <w:sz w:val="25"/>
          <w:u w:val="single" w:color="000000"/>
        </w:rPr>
        <w:t>Stud</w:t>
      </w:r>
      <w:r>
        <w:rPr>
          <w:color w:val="800080"/>
          <w:sz w:val="25"/>
        </w:rPr>
        <w:t>y</w:t>
      </w:r>
      <w:r>
        <w:rPr>
          <w:color w:val="800080"/>
          <w:spacing w:val="40"/>
          <w:sz w:val="25"/>
          <w:u w:val="single" w:color="000000"/>
        </w:rPr>
        <w:t> </w:t>
      </w:r>
      <w:r>
        <w:rPr>
          <w:color w:val="800080"/>
          <w:sz w:val="25"/>
          <w:u w:val="single" w:color="000000"/>
        </w:rPr>
        <w:t>of 250 Ma</w:t>
      </w:r>
      <w:r>
        <w:rPr>
          <w:color w:val="800080"/>
          <w:sz w:val="25"/>
        </w:rPr>
        <w:t>j</w:t>
      </w:r>
      <w:r>
        <w:rPr>
          <w:color w:val="800080"/>
          <w:sz w:val="25"/>
          <w:u w:val="single" w:color="000000"/>
        </w:rPr>
        <w:t>or US Cities</w:t>
      </w:r>
      <w:r>
        <w:rPr>
          <w:sz w:val="25"/>
        </w:rPr>
        <w:t>, </w:t>
      </w:r>
      <w:r>
        <w:rPr>
          <w:b/>
          <w:i/>
          <w:sz w:val="25"/>
        </w:rPr>
        <w:t>Journal of Economic Analysis, </w:t>
      </w:r>
      <w:r>
        <w:rPr>
          <w:sz w:val="25"/>
        </w:rPr>
        <w:t>2024 3(1), pp 27-57</w:t>
      </w:r>
    </w:p>
    <w:p>
      <w:pPr>
        <w:pStyle w:val="BodyText"/>
        <w:spacing w:before="2"/>
      </w:pPr>
    </w:p>
    <w:p>
      <w:pPr>
        <w:spacing w:before="0"/>
        <w:ind w:left="242" w:right="351" w:firstLine="0"/>
        <w:jc w:val="left"/>
        <w:rPr>
          <w:sz w:val="25"/>
        </w:rPr>
      </w:pPr>
      <w:r>
        <w:rPr>
          <w:color w:val="0000FF"/>
          <w:sz w:val="25"/>
          <w:u w:val="single" w:color="000000"/>
        </w:rPr>
        <w:t>S</w:t>
      </w:r>
      <w:r>
        <w:rPr>
          <w:color w:val="0000FF"/>
          <w:sz w:val="25"/>
        </w:rPr>
        <w:t>y</w:t>
      </w:r>
      <w:r>
        <w:rPr>
          <w:color w:val="0000FF"/>
          <w:sz w:val="25"/>
          <w:u w:val="single" w:color="000000"/>
        </w:rPr>
        <w:t>stemic Bias of IMF Reserve and Debt Forecasts for Program Countries</w:t>
      </w:r>
      <w:r>
        <w:rPr>
          <w:color w:val="0000FF"/>
          <w:sz w:val="25"/>
        </w:rPr>
        <w:t> </w:t>
      </w:r>
      <w:r>
        <w:rPr>
          <w:b/>
          <w:i/>
          <w:sz w:val="25"/>
        </w:rPr>
        <w:t>International Journal</w:t>
      </w:r>
      <w:r>
        <w:rPr>
          <w:b/>
          <w:i/>
          <w:spacing w:val="40"/>
          <w:sz w:val="25"/>
        </w:rPr>
        <w:t> </w:t>
      </w:r>
      <w:r>
        <w:rPr>
          <w:b/>
          <w:i/>
          <w:sz w:val="25"/>
        </w:rPr>
        <w:t>of Forecasting, </w:t>
      </w:r>
      <w:r>
        <w:rPr>
          <w:sz w:val="25"/>
        </w:rPr>
        <w:t>40, (July-Sept. 2024), pp. 985- 1001 (with Reina Kawai) (</w:t>
      </w:r>
      <w:r>
        <w:rPr>
          <w:color w:val="800080"/>
          <w:sz w:val="25"/>
          <w:u w:val="single" w:color="000000"/>
        </w:rPr>
        <w:t>Data/R Scripts</w:t>
      </w:r>
      <w:r>
        <w:rPr>
          <w:sz w:val="25"/>
        </w:rPr>
        <w:t>)</w:t>
      </w:r>
    </w:p>
    <w:p>
      <w:pPr>
        <w:pStyle w:val="BodyText"/>
      </w:pPr>
    </w:p>
    <w:p>
      <w:pPr>
        <w:spacing w:before="0"/>
        <w:ind w:left="242" w:right="948" w:firstLine="0"/>
        <w:jc w:val="both"/>
        <w:rPr>
          <w:sz w:val="25"/>
        </w:rPr>
      </w:pPr>
      <w:r>
        <w:rPr>
          <w:sz w:val="25"/>
        </w:rPr>
        <mc:AlternateContent>
          <mc:Choice Requires="wps">
            <w:drawing>
              <wp:anchor distT="0" distB="0" distL="0" distR="0" allowOverlap="1" layoutInCell="1" locked="0" behindDoc="0" simplePos="0" relativeHeight="15735296">
                <wp:simplePos x="0" y="0"/>
                <wp:positionH relativeFrom="page">
                  <wp:posOffset>4121932</wp:posOffset>
                </wp:positionH>
                <wp:positionV relativeFrom="paragraph">
                  <wp:posOffset>158828</wp:posOffset>
                </wp:positionV>
                <wp:extent cx="33655" cy="1016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3655" cy="10160"/>
                        </a:xfrm>
                        <a:custGeom>
                          <a:avLst/>
                          <a:gdLst/>
                          <a:ahLst/>
                          <a:cxnLst/>
                          <a:rect l="l" t="t" r="r" b="b"/>
                          <a:pathLst>
                            <a:path w="33655" h="10160">
                              <a:moveTo>
                                <a:pt x="33507" y="0"/>
                              </a:moveTo>
                              <a:lnTo>
                                <a:pt x="0" y="0"/>
                              </a:lnTo>
                              <a:lnTo>
                                <a:pt x="0" y="10160"/>
                              </a:lnTo>
                              <a:lnTo>
                                <a:pt x="33507" y="10160"/>
                              </a:lnTo>
                              <a:lnTo>
                                <a:pt x="335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561615pt;margin-top:12.506163pt;width:2.6384pt;height:.8pt;mso-position-horizontal-relative:page;mso-position-vertical-relative:paragraph;z-index:15735296" id="docshape18" filled="true" fillcolor="#000000" stroked="false">
                <v:fill type="solid"/>
                <w10:wrap type="none"/>
              </v:rect>
            </w:pict>
          </mc:Fallback>
        </mc:AlternateContent>
      </w:r>
      <w:r>
        <w:rPr>
          <w:color w:val="0000FF"/>
          <w:sz w:val="25"/>
          <w:u w:val="single" w:color="000000"/>
        </w:rPr>
        <w:t>Effects of IMF-Supported Programs on Gender Inequality</w:t>
      </w:r>
      <w:r>
        <w:rPr>
          <w:sz w:val="25"/>
        </w:rPr>
        <w:t>, </w:t>
      </w:r>
      <w:r>
        <w:rPr>
          <w:b/>
          <w:i/>
          <w:sz w:val="25"/>
        </w:rPr>
        <w:t>European Journal of Political Economy, </w:t>
      </w:r>
      <w:r>
        <w:rPr>
          <w:sz w:val="25"/>
        </w:rPr>
        <w:t>90, (December 2025), pp. 1027-40 (with Reina Eskimez and Monique Newiak) (</w:t>
      </w:r>
      <w:r>
        <w:rPr>
          <w:color w:val="800080"/>
          <w:sz w:val="25"/>
          <w:u w:val="single" w:color="000000"/>
        </w:rPr>
        <w:t>Data/R Scripts</w:t>
      </w:r>
      <w:r>
        <w:rPr>
          <w:sz w:val="25"/>
        </w:rPr>
        <w:t>)</w:t>
      </w:r>
    </w:p>
    <w:p>
      <w:pPr>
        <w:spacing w:after="0"/>
        <w:jc w:val="both"/>
        <w:rPr>
          <w:sz w:val="25"/>
        </w:rPr>
        <w:sectPr>
          <w:pgSz w:w="12240" w:h="15840"/>
          <w:pgMar w:top="340" w:bottom="280" w:left="360" w:right="1440"/>
        </w:sectPr>
      </w:pPr>
    </w:p>
    <w:p>
      <w:pPr>
        <w:pStyle w:val="Heading1"/>
        <w:spacing w:before="17"/>
        <w:ind w:left="242"/>
      </w:pPr>
      <w:r>
        <w:rPr/>
        <w:t>Contributions</w:t>
      </w:r>
      <w:r>
        <w:rPr>
          <w:spacing w:val="8"/>
        </w:rPr>
        <w:t> </w:t>
      </w:r>
      <w:r>
        <w:rPr/>
        <w:t>to</w:t>
      </w:r>
      <w:r>
        <w:rPr>
          <w:spacing w:val="8"/>
        </w:rPr>
        <w:t> </w:t>
      </w:r>
      <w:r>
        <w:rPr/>
        <w:t>Books</w:t>
      </w:r>
      <w:r>
        <w:rPr>
          <w:spacing w:val="9"/>
        </w:rPr>
        <w:t> </w:t>
      </w:r>
      <w:r>
        <w:rPr/>
        <w:t>/</w:t>
      </w:r>
      <w:r>
        <w:rPr>
          <w:spacing w:val="7"/>
        </w:rPr>
        <w:t> </w:t>
      </w:r>
      <w:r>
        <w:rPr/>
        <w:t>Journals</w:t>
      </w:r>
      <w:r>
        <w:rPr>
          <w:spacing w:val="9"/>
        </w:rPr>
        <w:t> </w:t>
      </w:r>
      <w:r>
        <w:rPr/>
        <w:t>(not</w:t>
      </w:r>
      <w:r>
        <w:rPr>
          <w:spacing w:val="8"/>
        </w:rPr>
        <w:t> </w:t>
      </w:r>
      <w:r>
        <w:rPr>
          <w:spacing w:val="-2"/>
        </w:rPr>
        <w:t>refereed)</w:t>
      </w:r>
    </w:p>
    <w:p>
      <w:pPr>
        <w:spacing w:before="4"/>
        <w:ind w:left="242" w:right="480" w:firstLine="0"/>
        <w:jc w:val="left"/>
        <w:rPr>
          <w:sz w:val="25"/>
        </w:rPr>
      </w:pPr>
      <w:r>
        <w:rPr>
          <w:sz w:val="25"/>
        </w:rPr>
        <mc:AlternateContent>
          <mc:Choice Requires="wps">
            <w:drawing>
              <wp:anchor distT="0" distB="0" distL="0" distR="0" allowOverlap="1" layoutInCell="1" locked="0" behindDoc="1" simplePos="0" relativeHeight="487235072">
                <wp:simplePos x="0" y="0"/>
                <wp:positionH relativeFrom="page">
                  <wp:posOffset>5205718</wp:posOffset>
                </wp:positionH>
                <wp:positionV relativeFrom="paragraph">
                  <wp:posOffset>161313</wp:posOffset>
                </wp:positionV>
                <wp:extent cx="27305" cy="1016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7305" cy="10160"/>
                        </a:xfrm>
                        <a:custGeom>
                          <a:avLst/>
                          <a:gdLst/>
                          <a:ahLst/>
                          <a:cxnLst/>
                          <a:rect l="l" t="t" r="r" b="b"/>
                          <a:pathLst>
                            <a:path w="27305" h="10160">
                              <a:moveTo>
                                <a:pt x="26681" y="0"/>
                              </a:moveTo>
                              <a:lnTo>
                                <a:pt x="0" y="0"/>
                              </a:lnTo>
                              <a:lnTo>
                                <a:pt x="0" y="10160"/>
                              </a:lnTo>
                              <a:lnTo>
                                <a:pt x="26681" y="10160"/>
                              </a:lnTo>
                              <a:lnTo>
                                <a:pt x="26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899109pt;margin-top:12.701856pt;width:2.100900pt;height:.8pt;mso-position-horizontal-relative:page;mso-position-vertical-relative:paragraph;z-index:-16081408" id="docshape19" filled="true" fillcolor="#000000" stroked="false">
                <v:fill type="solid"/>
                <w10:wrap type="none"/>
              </v:rect>
            </w:pict>
          </mc:Fallback>
        </mc:AlternateContent>
      </w:r>
      <w:r>
        <w:rPr>
          <w:color w:val="800080"/>
          <w:sz w:val="25"/>
          <w:u w:val="single" w:color="000000"/>
        </w:rPr>
        <w:t>The North American Free Trade Agreement and the U.S. Apparel Industr</w:t>
      </w:r>
      <w:r>
        <w:rPr>
          <w:color w:val="800080"/>
          <w:sz w:val="25"/>
        </w:rPr>
        <w:t>y</w:t>
      </w:r>
      <w:r>
        <w:rPr>
          <w:color w:val="0000FF"/>
          <w:sz w:val="25"/>
        </w:rPr>
        <w:t>, </w:t>
      </w:r>
      <w:r>
        <w:rPr>
          <w:sz w:val="25"/>
        </w:rPr>
        <w:t>in </w:t>
      </w:r>
      <w:r>
        <w:rPr>
          <w:i/>
          <w:sz w:val="25"/>
        </w:rPr>
        <w:t>U.S.-Mexico Trade: Pulling Together or Pulling Apart?, </w:t>
      </w:r>
      <w:r>
        <w:rPr>
          <w:sz w:val="25"/>
        </w:rPr>
        <w:t>US Congress, Office of Technological Assessment, ITE-545 (Washington, DC, GPO: October 1992), (with Thomas Bailey).</w:t>
      </w:r>
    </w:p>
    <w:p>
      <w:pPr>
        <w:pStyle w:val="BodyText"/>
        <w:spacing w:before="2"/>
      </w:pPr>
    </w:p>
    <w:p>
      <w:pPr>
        <w:spacing w:before="0"/>
        <w:ind w:left="242" w:right="0" w:firstLine="0"/>
        <w:jc w:val="left"/>
        <w:rPr>
          <w:sz w:val="25"/>
        </w:rPr>
      </w:pPr>
      <w:r>
        <w:rPr>
          <w:color w:val="0000FF"/>
          <w:sz w:val="25"/>
        </w:rPr>
        <w:t>Review</w:t>
      </w:r>
      <w:r>
        <w:rPr>
          <w:color w:val="0000FF"/>
          <w:spacing w:val="14"/>
          <w:sz w:val="25"/>
        </w:rPr>
        <w:t> </w:t>
      </w:r>
      <w:r>
        <w:rPr>
          <w:color w:val="0000FF"/>
          <w:sz w:val="25"/>
        </w:rPr>
        <w:t>of</w:t>
      </w:r>
      <w:r>
        <w:rPr>
          <w:color w:val="0000FF"/>
          <w:spacing w:val="14"/>
          <w:sz w:val="25"/>
        </w:rPr>
        <w:t> </w:t>
      </w:r>
      <w:r>
        <w:rPr>
          <w:color w:val="0000FF"/>
          <w:sz w:val="25"/>
        </w:rPr>
        <w:t>D.</w:t>
      </w:r>
      <w:r>
        <w:rPr>
          <w:color w:val="0000FF"/>
          <w:spacing w:val="14"/>
          <w:sz w:val="25"/>
        </w:rPr>
        <w:t> </w:t>
      </w:r>
      <w:r>
        <w:rPr>
          <w:color w:val="0000FF"/>
          <w:sz w:val="25"/>
        </w:rPr>
        <w:t>Jorgenson,</w:t>
      </w:r>
      <w:r>
        <w:rPr>
          <w:color w:val="0000FF"/>
          <w:spacing w:val="15"/>
          <w:sz w:val="25"/>
        </w:rPr>
        <w:t> </w:t>
      </w:r>
      <w:r>
        <w:rPr>
          <w:color w:val="0000FF"/>
          <w:sz w:val="25"/>
        </w:rPr>
        <w:t>`Productivity',</w:t>
      </w:r>
      <w:r>
        <w:rPr>
          <w:color w:val="0000FF"/>
          <w:spacing w:val="14"/>
          <w:sz w:val="25"/>
        </w:rPr>
        <w:t> </w:t>
      </w:r>
      <w:r>
        <w:rPr>
          <w:b/>
          <w:i/>
          <w:sz w:val="25"/>
        </w:rPr>
        <w:t>Review</w:t>
      </w:r>
      <w:r>
        <w:rPr>
          <w:b/>
          <w:i/>
          <w:spacing w:val="14"/>
          <w:sz w:val="25"/>
        </w:rPr>
        <w:t> </w:t>
      </w:r>
      <w:r>
        <w:rPr>
          <w:b/>
          <w:i/>
          <w:sz w:val="25"/>
        </w:rPr>
        <w:t>of</w:t>
      </w:r>
      <w:r>
        <w:rPr>
          <w:b/>
          <w:i/>
          <w:spacing w:val="14"/>
          <w:sz w:val="25"/>
        </w:rPr>
        <w:t> </w:t>
      </w:r>
      <w:r>
        <w:rPr>
          <w:b/>
          <w:i/>
          <w:sz w:val="25"/>
        </w:rPr>
        <w:t>International</w:t>
      </w:r>
      <w:r>
        <w:rPr>
          <w:b/>
          <w:i/>
          <w:spacing w:val="15"/>
          <w:sz w:val="25"/>
        </w:rPr>
        <w:t> </w:t>
      </w:r>
      <w:r>
        <w:rPr>
          <w:b/>
          <w:i/>
          <w:sz w:val="25"/>
        </w:rPr>
        <w:t>Economics</w:t>
      </w:r>
      <w:r>
        <w:rPr>
          <w:i/>
          <w:sz w:val="25"/>
        </w:rPr>
        <w:t>,</w:t>
      </w:r>
      <w:r>
        <w:rPr>
          <w:i/>
          <w:spacing w:val="14"/>
          <w:sz w:val="25"/>
        </w:rPr>
        <w:t> </w:t>
      </w:r>
      <w:r>
        <w:rPr>
          <w:sz w:val="25"/>
        </w:rPr>
        <w:t>(May</w:t>
      </w:r>
      <w:r>
        <w:rPr>
          <w:spacing w:val="14"/>
          <w:sz w:val="25"/>
        </w:rPr>
        <w:t> </w:t>
      </w:r>
      <w:r>
        <w:rPr>
          <w:spacing w:val="-2"/>
          <w:sz w:val="25"/>
        </w:rPr>
        <w:t>1998)</w:t>
      </w:r>
    </w:p>
    <w:p>
      <w:pPr>
        <w:pStyle w:val="BodyText"/>
      </w:pPr>
    </w:p>
    <w:p>
      <w:pPr>
        <w:spacing w:before="0"/>
        <w:ind w:left="242" w:right="0" w:firstLine="0"/>
        <w:jc w:val="left"/>
        <w:rPr>
          <w:sz w:val="25"/>
        </w:rPr>
      </w:pPr>
      <w:r>
        <w:rPr>
          <w:color w:val="0000FF"/>
          <w:sz w:val="25"/>
        </w:rPr>
        <w:t>Comments On The Management of Financial Crisis,” </w:t>
      </w:r>
      <w:r>
        <w:rPr>
          <w:sz w:val="25"/>
        </w:rPr>
        <w:t>in </w:t>
      </w:r>
      <w:r>
        <w:rPr>
          <w:i/>
          <w:sz w:val="25"/>
        </w:rPr>
        <w:t>The World's New Financial Landscape: Challenges for Economic Policy</w:t>
      </w:r>
      <w:r>
        <w:rPr>
          <w:sz w:val="25"/>
        </w:rPr>
        <w:t>, H. Siebert ed., Springer Verlag, Heidelberg, 2001.</w:t>
      </w:r>
    </w:p>
    <w:p>
      <w:pPr>
        <w:pStyle w:val="BodyText"/>
        <w:spacing w:before="2"/>
      </w:pPr>
    </w:p>
    <w:p>
      <w:pPr>
        <w:pStyle w:val="BodyText"/>
        <w:spacing w:before="0"/>
        <w:ind w:left="242"/>
      </w:pPr>
      <w:r>
        <w:rPr>
          <w:color w:val="800080"/>
          <w:u w:val="single" w:color="000000"/>
        </w:rPr>
        <w:t>An</w:t>
      </w:r>
      <w:r>
        <w:rPr>
          <w:color w:val="800080"/>
          <w:spacing w:val="12"/>
          <w:u w:val="single" w:color="000000"/>
        </w:rPr>
        <w:t> </w:t>
      </w:r>
      <w:r>
        <w:rPr>
          <w:color w:val="800080"/>
          <w:u w:val="single" w:color="000000"/>
        </w:rPr>
        <w:t>Economic</w:t>
      </w:r>
      <w:r>
        <w:rPr>
          <w:color w:val="800080"/>
          <w:spacing w:val="12"/>
          <w:u w:val="single" w:color="000000"/>
        </w:rPr>
        <w:t> </w:t>
      </w:r>
      <w:r>
        <w:rPr>
          <w:color w:val="800080"/>
          <w:u w:val="single" w:color="000000"/>
        </w:rPr>
        <w:t>Framework</w:t>
      </w:r>
      <w:r>
        <w:rPr>
          <w:color w:val="800080"/>
          <w:spacing w:val="13"/>
          <w:u w:val="single" w:color="000000"/>
        </w:rPr>
        <w:t> </w:t>
      </w:r>
      <w:r>
        <w:rPr>
          <w:color w:val="800080"/>
          <w:u w:val="single" w:color="000000"/>
        </w:rPr>
        <w:t>for</w:t>
      </w:r>
      <w:r>
        <w:rPr>
          <w:color w:val="800080"/>
          <w:spacing w:val="12"/>
          <w:u w:val="single" w:color="000000"/>
        </w:rPr>
        <w:t> </w:t>
      </w:r>
      <w:r>
        <w:rPr>
          <w:color w:val="800080"/>
          <w:u w:val="single" w:color="000000"/>
        </w:rPr>
        <w:t>Teleconsultation</w:t>
      </w:r>
      <w:r>
        <w:rPr/>
        <w:t>,</w:t>
      </w:r>
      <w:r>
        <w:rPr>
          <w:spacing w:val="12"/>
        </w:rPr>
        <w:t> </w:t>
      </w:r>
      <w:r>
        <w:rPr/>
        <w:t>(with</w:t>
      </w:r>
      <w:r>
        <w:rPr>
          <w:spacing w:val="13"/>
        </w:rPr>
        <w:t> </w:t>
      </w:r>
      <w:r>
        <w:rPr/>
        <w:t>L</w:t>
      </w:r>
      <w:r>
        <w:rPr>
          <w:spacing w:val="2"/>
        </w:rPr>
        <w:t> </w:t>
      </w:r>
      <w:r>
        <w:rPr/>
        <w:t>Clark</w:t>
      </w:r>
      <w:r>
        <w:rPr>
          <w:spacing w:val="12"/>
        </w:rPr>
        <w:t> </w:t>
      </w:r>
      <w:r>
        <w:rPr/>
        <w:t>Johnson),</w:t>
      </w:r>
      <w:r>
        <w:rPr>
          <w:spacing w:val="12"/>
        </w:rPr>
        <w:t> </w:t>
      </w:r>
      <w:r>
        <w:rPr>
          <w:spacing w:val="-4"/>
        </w:rPr>
        <w:t>2004</w:t>
      </w:r>
    </w:p>
    <w:p>
      <w:pPr>
        <w:pStyle w:val="BodyText"/>
      </w:pPr>
    </w:p>
    <w:p>
      <w:pPr>
        <w:spacing w:before="0"/>
        <w:ind w:left="242" w:right="552" w:firstLine="0"/>
        <w:jc w:val="left"/>
        <w:rPr>
          <w:sz w:val="25"/>
        </w:rPr>
      </w:pPr>
      <w:r>
        <w:rPr>
          <w:color w:val="800080"/>
          <w:sz w:val="25"/>
          <w:u w:val="single" w:color="000000"/>
        </w:rPr>
        <w:t>Washington Port Investment To Capture Future Trade</w:t>
      </w:r>
      <w:r>
        <w:rPr>
          <w:sz w:val="25"/>
        </w:rPr>
        <w:t>, </w:t>
      </w:r>
      <w:r>
        <w:rPr>
          <w:b/>
          <w:i/>
          <w:sz w:val="25"/>
        </w:rPr>
        <w:t>Washington Business Magazine (OpED)</w:t>
      </w:r>
      <w:r>
        <w:rPr>
          <w:sz w:val="25"/>
        </w:rPr>
        <w:t>, April 2004</w:t>
      </w:r>
    </w:p>
    <w:p>
      <w:pPr>
        <w:pStyle w:val="BodyText"/>
      </w:pPr>
    </w:p>
    <w:p>
      <w:pPr>
        <w:spacing w:before="1"/>
        <w:ind w:left="242" w:right="0" w:firstLine="0"/>
        <w:jc w:val="left"/>
        <w:rPr>
          <w:sz w:val="25"/>
        </w:rPr>
      </w:pPr>
      <w:r>
        <w:rPr>
          <w:color w:val="800080"/>
          <w:sz w:val="25"/>
          <w:u w:val="single" w:color="000000"/>
        </w:rPr>
        <w:t>Intellectual</w:t>
      </w:r>
      <w:r>
        <w:rPr>
          <w:color w:val="800080"/>
          <w:spacing w:val="13"/>
          <w:sz w:val="25"/>
          <w:u w:val="single" w:color="000000"/>
        </w:rPr>
        <w:t> </w:t>
      </w:r>
      <w:r>
        <w:rPr>
          <w:color w:val="800080"/>
          <w:sz w:val="25"/>
          <w:u w:val="single" w:color="000000"/>
        </w:rPr>
        <w:t>Imports</w:t>
      </w:r>
      <w:r>
        <w:rPr>
          <w:sz w:val="25"/>
        </w:rPr>
        <w:t>,</w:t>
      </w:r>
      <w:r>
        <w:rPr>
          <w:spacing w:val="14"/>
          <w:sz w:val="25"/>
        </w:rPr>
        <w:t> </w:t>
      </w:r>
      <w:r>
        <w:rPr>
          <w:b/>
          <w:i/>
          <w:sz w:val="25"/>
        </w:rPr>
        <w:t>Seattle</w:t>
      </w:r>
      <w:r>
        <w:rPr>
          <w:b/>
          <w:i/>
          <w:spacing w:val="14"/>
          <w:sz w:val="25"/>
        </w:rPr>
        <w:t> </w:t>
      </w:r>
      <w:r>
        <w:rPr>
          <w:b/>
          <w:i/>
          <w:sz w:val="25"/>
        </w:rPr>
        <w:t>Times</w:t>
      </w:r>
      <w:r>
        <w:rPr>
          <w:b/>
          <w:i/>
          <w:spacing w:val="14"/>
          <w:sz w:val="25"/>
        </w:rPr>
        <w:t> </w:t>
      </w:r>
      <w:r>
        <w:rPr>
          <w:b/>
          <w:i/>
          <w:sz w:val="25"/>
        </w:rPr>
        <w:t>(OpEd)</w:t>
      </w:r>
      <w:r>
        <w:rPr>
          <w:sz w:val="25"/>
        </w:rPr>
        <w:t>,</w:t>
      </w:r>
      <w:r>
        <w:rPr>
          <w:spacing w:val="14"/>
          <w:sz w:val="25"/>
        </w:rPr>
        <w:t> </w:t>
      </w:r>
      <w:r>
        <w:rPr>
          <w:spacing w:val="-4"/>
          <w:sz w:val="25"/>
        </w:rPr>
        <w:t>2005</w:t>
      </w:r>
    </w:p>
    <w:p>
      <w:pPr>
        <w:pStyle w:val="BodyText"/>
      </w:pPr>
    </w:p>
    <w:p>
      <w:pPr>
        <w:spacing w:before="0"/>
        <w:ind w:left="242" w:right="0" w:firstLine="0"/>
        <w:jc w:val="left"/>
        <w:rPr>
          <w:sz w:val="25"/>
        </w:rPr>
      </w:pPr>
      <w:r>
        <w:rPr>
          <w:color w:val="800080"/>
          <w:sz w:val="25"/>
          <w:u w:val="single" w:color="000000"/>
        </w:rPr>
        <w:t>Employment</w:t>
      </w:r>
      <w:r>
        <w:rPr>
          <w:color w:val="800080"/>
          <w:spacing w:val="8"/>
          <w:sz w:val="25"/>
          <w:u w:val="single" w:color="000000"/>
        </w:rPr>
        <w:t> </w:t>
      </w:r>
      <w:r>
        <w:rPr>
          <w:color w:val="800080"/>
          <w:sz w:val="25"/>
          <w:u w:val="single" w:color="000000"/>
        </w:rPr>
        <w:t>Trends</w:t>
      </w:r>
      <w:r>
        <w:rPr>
          <w:color w:val="800080"/>
          <w:spacing w:val="8"/>
          <w:sz w:val="25"/>
          <w:u w:val="single" w:color="000000"/>
        </w:rPr>
        <w:t> </w:t>
      </w:r>
      <w:r>
        <w:rPr>
          <w:color w:val="800080"/>
          <w:sz w:val="25"/>
          <w:u w:val="single" w:color="000000"/>
        </w:rPr>
        <w:t>in</w:t>
      </w:r>
      <w:r>
        <w:rPr>
          <w:color w:val="800080"/>
          <w:spacing w:val="8"/>
          <w:sz w:val="25"/>
          <w:u w:val="single" w:color="000000"/>
        </w:rPr>
        <w:t> </w:t>
      </w:r>
      <w:r>
        <w:rPr>
          <w:color w:val="800080"/>
          <w:sz w:val="25"/>
          <w:u w:val="single" w:color="000000"/>
        </w:rPr>
        <w:t>Washington</w:t>
      </w:r>
      <w:r>
        <w:rPr>
          <w:color w:val="800080"/>
          <w:spacing w:val="8"/>
          <w:sz w:val="25"/>
          <w:u w:val="single" w:color="000000"/>
        </w:rPr>
        <w:t> </w:t>
      </w:r>
      <w:r>
        <w:rPr>
          <w:color w:val="800080"/>
          <w:sz w:val="25"/>
          <w:u w:val="single" w:color="000000"/>
        </w:rPr>
        <w:t>State</w:t>
      </w:r>
      <w:r>
        <w:rPr>
          <w:sz w:val="25"/>
        </w:rPr>
        <w:t>,</w:t>
      </w:r>
      <w:r>
        <w:rPr>
          <w:spacing w:val="9"/>
          <w:sz w:val="25"/>
        </w:rPr>
        <w:t> </w:t>
      </w:r>
      <w:r>
        <w:rPr>
          <w:b/>
          <w:i/>
          <w:sz w:val="25"/>
        </w:rPr>
        <w:t>Testimony</w:t>
      </w:r>
      <w:r>
        <w:rPr>
          <w:b/>
          <w:i/>
          <w:spacing w:val="8"/>
          <w:sz w:val="25"/>
        </w:rPr>
        <w:t> </w:t>
      </w:r>
      <w:r>
        <w:rPr>
          <w:b/>
          <w:i/>
          <w:sz w:val="25"/>
        </w:rPr>
        <w:t>to</w:t>
      </w:r>
      <w:r>
        <w:rPr>
          <w:b/>
          <w:i/>
          <w:spacing w:val="8"/>
          <w:sz w:val="25"/>
        </w:rPr>
        <w:t> </w:t>
      </w:r>
      <w:r>
        <w:rPr>
          <w:b/>
          <w:i/>
          <w:sz w:val="25"/>
        </w:rPr>
        <w:t>the</w:t>
      </w:r>
      <w:r>
        <w:rPr>
          <w:b/>
          <w:i/>
          <w:spacing w:val="8"/>
          <w:sz w:val="25"/>
        </w:rPr>
        <w:t> </w:t>
      </w:r>
      <w:r>
        <w:rPr>
          <w:b/>
          <w:i/>
          <w:sz w:val="25"/>
        </w:rPr>
        <w:t>Washington</w:t>
      </w:r>
      <w:r>
        <w:rPr>
          <w:b/>
          <w:i/>
          <w:spacing w:val="9"/>
          <w:sz w:val="25"/>
        </w:rPr>
        <w:t> </w:t>
      </w:r>
      <w:r>
        <w:rPr>
          <w:b/>
          <w:i/>
          <w:sz w:val="25"/>
        </w:rPr>
        <w:t>Legislature,</w:t>
      </w:r>
      <w:r>
        <w:rPr>
          <w:b/>
          <w:i/>
          <w:spacing w:val="8"/>
          <w:sz w:val="25"/>
        </w:rPr>
        <w:t> </w:t>
      </w:r>
      <w:r>
        <w:rPr>
          <w:i/>
          <w:spacing w:val="-2"/>
          <w:sz w:val="25"/>
        </w:rPr>
        <w:t>1/</w:t>
      </w:r>
      <w:r>
        <w:rPr>
          <w:spacing w:val="-2"/>
          <w:sz w:val="25"/>
        </w:rPr>
        <w:t>2005</w:t>
      </w:r>
    </w:p>
    <w:p>
      <w:pPr>
        <w:pStyle w:val="BodyText"/>
      </w:pPr>
    </w:p>
    <w:p>
      <w:pPr>
        <w:spacing w:before="0"/>
        <w:ind w:left="242" w:right="552" w:firstLine="0"/>
        <w:jc w:val="left"/>
        <w:rPr>
          <w:sz w:val="25"/>
        </w:rPr>
      </w:pPr>
      <w:r>
        <w:rPr>
          <w:color w:val="800080"/>
          <w:sz w:val="25"/>
          <w:u w:val="single" w:color="000000"/>
        </w:rPr>
        <w:t>Institutional Determinants of Economic Performance in OECD Countries –An Institutions</w:t>
      </w:r>
      <w:r>
        <w:rPr>
          <w:color w:val="800080"/>
          <w:sz w:val="25"/>
        </w:rPr>
        <w:t> </w:t>
      </w:r>
      <w:r>
        <w:rPr>
          <w:color w:val="800080"/>
          <w:sz w:val="25"/>
          <w:u w:val="single" w:color="000000"/>
        </w:rPr>
        <w:t>Climate Index</w:t>
      </w:r>
      <w:r>
        <w:rPr>
          <w:sz w:val="25"/>
        </w:rPr>
        <w:t>, </w:t>
      </w:r>
      <w:r>
        <w:rPr>
          <w:b/>
          <w:i/>
          <w:sz w:val="25"/>
        </w:rPr>
        <w:t>Journal for Institutional Comparisons, </w:t>
      </w:r>
      <w:r>
        <w:rPr>
          <w:sz w:val="25"/>
        </w:rPr>
        <w:t>5, 1, (Spring 2007): 39-49, (with Oliver </w:t>
      </w:r>
      <w:r>
        <w:rPr>
          <w:spacing w:val="-2"/>
          <w:sz w:val="25"/>
        </w:rPr>
        <w:t>Roehn)</w:t>
      </w:r>
    </w:p>
    <w:p>
      <w:pPr>
        <w:pStyle w:val="BodyText"/>
        <w:spacing w:before="2"/>
      </w:pPr>
    </w:p>
    <w:p>
      <w:pPr>
        <w:spacing w:before="0"/>
        <w:ind w:left="242" w:right="552" w:firstLine="0"/>
        <w:jc w:val="left"/>
        <w:rPr>
          <w:sz w:val="25"/>
        </w:rPr>
      </w:pPr>
      <w:r>
        <w:rPr>
          <w:color w:val="0000FF"/>
          <w:sz w:val="25"/>
        </w:rPr>
        <w:t>Guest Editorial: Special Issue on Productivity Growth, </w:t>
      </w:r>
      <w:r>
        <w:rPr>
          <w:b/>
          <w:i/>
          <w:sz w:val="25"/>
        </w:rPr>
        <w:t>German Economic Review</w:t>
      </w:r>
      <w:r>
        <w:rPr>
          <w:sz w:val="25"/>
        </w:rPr>
        <w:t>, 8, (May 2007), pp 123-4</w:t>
      </w:r>
    </w:p>
    <w:p>
      <w:pPr>
        <w:pStyle w:val="BodyText"/>
      </w:pPr>
    </w:p>
    <w:p>
      <w:pPr>
        <w:spacing w:before="0"/>
        <w:ind w:left="242" w:right="552" w:firstLine="0"/>
        <w:jc w:val="left"/>
        <w:rPr>
          <w:sz w:val="25"/>
        </w:rPr>
      </w:pPr>
      <w:r>
        <w:rPr>
          <w:sz w:val="25"/>
        </w:rPr>
        <mc:AlternateContent>
          <mc:Choice Requires="wps">
            <w:drawing>
              <wp:anchor distT="0" distB="0" distL="0" distR="0" allowOverlap="1" layoutInCell="1" locked="0" behindDoc="1" simplePos="0" relativeHeight="487235584">
                <wp:simplePos x="0" y="0"/>
                <wp:positionH relativeFrom="page">
                  <wp:posOffset>5080941</wp:posOffset>
                </wp:positionH>
                <wp:positionV relativeFrom="paragraph">
                  <wp:posOffset>158843</wp:posOffset>
                </wp:positionV>
                <wp:extent cx="29845" cy="1016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9845" cy="10160"/>
                        </a:xfrm>
                        <a:custGeom>
                          <a:avLst/>
                          <a:gdLst/>
                          <a:ahLst/>
                          <a:cxnLst/>
                          <a:rect l="l" t="t" r="r" b="b"/>
                          <a:pathLst>
                            <a:path w="29845" h="10160">
                              <a:moveTo>
                                <a:pt x="29538" y="0"/>
                              </a:moveTo>
                              <a:lnTo>
                                <a:pt x="0" y="0"/>
                              </a:lnTo>
                              <a:lnTo>
                                <a:pt x="0" y="10160"/>
                              </a:lnTo>
                              <a:lnTo>
                                <a:pt x="29538" y="10160"/>
                              </a:lnTo>
                              <a:lnTo>
                                <a:pt x="295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0.074097pt;margin-top:12.507373pt;width:2.3259pt;height:.8pt;mso-position-horizontal-relative:page;mso-position-vertical-relative:paragraph;z-index:-16080896" id="docshape20" filled="true" fillcolor="#000000" stroked="false">
                <v:fill type="solid"/>
                <w10:wrap type="none"/>
              </v:rect>
            </w:pict>
          </mc:Fallback>
        </mc:AlternateContent>
      </w:r>
      <w:r>
        <w:rPr>
          <w:color w:val="800080"/>
          <w:sz w:val="25"/>
          <w:u w:val="single" w:color="000000"/>
        </w:rPr>
        <w:t>Outsourcing and Productivity</w:t>
      </w:r>
      <w:r>
        <w:rPr>
          <w:color w:val="800080"/>
          <w:spacing w:val="40"/>
          <w:sz w:val="25"/>
          <w:u w:val="single" w:color="000000"/>
        </w:rPr>
        <w:t> </w:t>
      </w:r>
      <w:r>
        <w:rPr>
          <w:color w:val="800080"/>
          <w:sz w:val="25"/>
          <w:u w:val="single" w:color="000000"/>
        </w:rPr>
        <w:t>Growth: Sectoral Evidence from German</w:t>
      </w:r>
      <w:r>
        <w:rPr>
          <w:color w:val="800080"/>
          <w:sz w:val="25"/>
        </w:rPr>
        <w:t>y</w:t>
      </w:r>
      <w:r>
        <w:rPr>
          <w:b/>
          <w:sz w:val="25"/>
        </w:rPr>
        <w:t>, </w:t>
      </w:r>
      <w:r>
        <w:rPr>
          <w:sz w:val="25"/>
        </w:rPr>
        <w:t>in G. Cette, M. Fouquin and H.-W. Sinn eds, </w:t>
      </w:r>
      <w:r>
        <w:rPr>
          <w:b/>
          <w:i/>
          <w:sz w:val="25"/>
        </w:rPr>
        <w:t>Divergences in Productivity Between Europe and the United States</w:t>
      </w:r>
      <w:r>
        <w:rPr>
          <w:sz w:val="25"/>
        </w:rPr>
        <w:t>,</w:t>
      </w:r>
      <w:r>
        <w:rPr>
          <w:spacing w:val="13"/>
          <w:sz w:val="25"/>
        </w:rPr>
        <w:t> </w:t>
      </w:r>
      <w:r>
        <w:rPr>
          <w:sz w:val="25"/>
        </w:rPr>
        <w:t>Edward</w:t>
      </w:r>
      <w:r>
        <w:rPr>
          <w:spacing w:val="13"/>
          <w:sz w:val="25"/>
        </w:rPr>
        <w:t> </w:t>
      </w:r>
      <w:r>
        <w:rPr>
          <w:sz w:val="25"/>
        </w:rPr>
        <w:t>Elgar,</w:t>
      </w:r>
      <w:r>
        <w:rPr>
          <w:spacing w:val="13"/>
          <w:sz w:val="25"/>
        </w:rPr>
        <w:t> </w:t>
      </w:r>
      <w:r>
        <w:rPr>
          <w:sz w:val="25"/>
        </w:rPr>
        <w:t>Cheltenham,</w:t>
      </w:r>
      <w:r>
        <w:rPr>
          <w:spacing w:val="13"/>
          <w:sz w:val="25"/>
        </w:rPr>
        <w:t> </w:t>
      </w:r>
      <w:r>
        <w:rPr>
          <w:sz w:val="25"/>
        </w:rPr>
        <w:t>2007,</w:t>
      </w:r>
      <w:r>
        <w:rPr>
          <w:spacing w:val="14"/>
          <w:sz w:val="25"/>
        </w:rPr>
        <w:t> </w:t>
      </w:r>
      <w:r>
        <w:rPr>
          <w:sz w:val="25"/>
        </w:rPr>
        <w:t>(with</w:t>
      </w:r>
      <w:r>
        <w:rPr>
          <w:spacing w:val="13"/>
          <w:sz w:val="25"/>
        </w:rPr>
        <w:t> </w:t>
      </w:r>
      <w:r>
        <w:rPr>
          <w:sz w:val="25"/>
        </w:rPr>
        <w:t>Thomas</w:t>
      </w:r>
      <w:r>
        <w:rPr>
          <w:spacing w:val="13"/>
          <w:sz w:val="25"/>
        </w:rPr>
        <w:t> </w:t>
      </w:r>
      <w:r>
        <w:rPr>
          <w:sz w:val="25"/>
        </w:rPr>
        <w:t>Fuchs</w:t>
      </w:r>
      <w:r>
        <w:rPr>
          <w:spacing w:val="13"/>
          <w:sz w:val="25"/>
        </w:rPr>
        <w:t> </w:t>
      </w:r>
      <w:r>
        <w:rPr>
          <w:sz w:val="25"/>
        </w:rPr>
        <w:t>and</w:t>
      </w:r>
      <w:r>
        <w:rPr>
          <w:spacing w:val="13"/>
          <w:sz w:val="25"/>
        </w:rPr>
        <w:t> </w:t>
      </w:r>
      <w:r>
        <w:rPr>
          <w:sz w:val="25"/>
        </w:rPr>
        <w:t>Hans-Guenther</w:t>
      </w:r>
      <w:r>
        <w:rPr>
          <w:spacing w:val="14"/>
          <w:sz w:val="25"/>
        </w:rPr>
        <w:t> </w:t>
      </w:r>
      <w:r>
        <w:rPr>
          <w:spacing w:val="-2"/>
          <w:sz w:val="25"/>
        </w:rPr>
        <w:t>Vieweg)</w:t>
      </w:r>
    </w:p>
    <w:p>
      <w:pPr>
        <w:pStyle w:val="BodyText"/>
        <w:spacing w:before="2"/>
      </w:pPr>
    </w:p>
    <w:p>
      <w:pPr>
        <w:spacing w:before="1"/>
        <w:ind w:left="242" w:right="552" w:firstLine="0"/>
        <w:jc w:val="left"/>
        <w:rPr>
          <w:sz w:val="25"/>
        </w:rPr>
      </w:pPr>
      <w:r>
        <w:rPr>
          <w:color w:val="800080"/>
          <w:sz w:val="25"/>
          <w:u w:val="single" w:color="000000"/>
        </w:rPr>
        <w:t>Institutions and Growth in OECD Countries</w:t>
      </w:r>
      <w:r>
        <w:rPr>
          <w:sz w:val="25"/>
        </w:rPr>
        <w:t>, </w:t>
      </w:r>
      <w:r>
        <w:rPr>
          <w:b/>
          <w:i/>
          <w:sz w:val="25"/>
        </w:rPr>
        <w:t>Journal for Institutional Comparisons, </w:t>
      </w:r>
      <w:r>
        <w:rPr>
          <w:sz w:val="25"/>
        </w:rPr>
        <w:t>7, 2, (Summer 2009), pp 24-29, (with Wolfgang Ochel, Oliver Roehn, and Anja Rohwer)</w:t>
      </w:r>
    </w:p>
    <w:p>
      <w:pPr>
        <w:pStyle w:val="BodyText"/>
      </w:pPr>
    </w:p>
    <w:p>
      <w:pPr>
        <w:pStyle w:val="BodyText"/>
        <w:spacing w:before="0"/>
        <w:ind w:left="242"/>
      </w:pPr>
      <w:r>
        <w:rPr>
          <w:color w:val="800080"/>
          <w:u w:val="single" w:color="000000"/>
        </w:rPr>
        <w:t>Commercializing</w:t>
      </w:r>
      <w:r>
        <w:rPr>
          <w:color w:val="800080"/>
          <w:spacing w:val="14"/>
          <w:u w:val="single" w:color="000000"/>
        </w:rPr>
        <w:t> </w:t>
      </w:r>
      <w:r>
        <w:rPr>
          <w:color w:val="800080"/>
          <w:u w:val="single" w:color="000000"/>
        </w:rPr>
        <w:t>Tacit</w:t>
      </w:r>
      <w:r>
        <w:rPr>
          <w:color w:val="800080"/>
          <w:spacing w:val="15"/>
          <w:u w:val="single" w:color="000000"/>
        </w:rPr>
        <w:t> </w:t>
      </w:r>
      <w:r>
        <w:rPr>
          <w:color w:val="800080"/>
          <w:u w:val="single" w:color="000000"/>
        </w:rPr>
        <w:t>Knowledge</w:t>
      </w:r>
      <w:r>
        <w:rPr/>
        <w:t>,</w:t>
      </w:r>
      <w:r>
        <w:rPr>
          <w:spacing w:val="15"/>
        </w:rPr>
        <w:t> </w:t>
      </w:r>
      <w:r>
        <w:rPr>
          <w:spacing w:val="-2"/>
        </w:rPr>
        <w:t>(2009)</w:t>
      </w:r>
    </w:p>
    <w:p>
      <w:pPr>
        <w:pStyle w:val="BodyText"/>
      </w:pPr>
    </w:p>
    <w:p>
      <w:pPr>
        <w:pStyle w:val="BodyText"/>
        <w:spacing w:before="0"/>
        <w:ind w:left="242" w:right="552"/>
      </w:pPr>
      <w:r>
        <w:rPr>
          <w:u w:val="single"/>
        </w:rPr>
        <w:t>Sustaining Long-Run Growth and Macroeconomic Stability</w:t>
      </w:r>
      <w:r>
        <w:rPr>
          <w:spacing w:val="40"/>
          <w:u w:val="single"/>
        </w:rPr>
        <w:t> </w:t>
      </w:r>
      <w:r>
        <w:rPr>
          <w:u w:val="single"/>
        </w:rPr>
        <w:t>In Low-Income Countries – The</w:t>
      </w:r>
      <w:r>
        <w:rPr/>
        <w:t> </w:t>
      </w:r>
      <w:r>
        <w:rPr>
          <w:u w:val="single"/>
        </w:rPr>
        <w:t>Role of Structural Transformation and Diversification</w:t>
      </w:r>
      <w:r>
        <w:rPr/>
        <w:t>, </w:t>
      </w:r>
      <w:r>
        <w:rPr>
          <w:b/>
          <w:i/>
        </w:rPr>
        <w:t>IMF Policy Papers</w:t>
      </w:r>
      <w:r>
        <w:rPr>
          <w:i/>
        </w:rPr>
        <w:t>, </w:t>
      </w:r>
      <w:r>
        <w:rPr/>
        <w:t>37, (March 2014) (with T.S. Choi, N.D. Duma, C. Henn, N. Gigineishvili, G. Ho, D. Kuenzel, A. Pitt, C. Papageorgiou, S. Rosa, K. Wang)</w:t>
      </w:r>
    </w:p>
    <w:p>
      <w:pPr>
        <w:spacing w:before="274"/>
        <w:ind w:left="242" w:right="0" w:firstLine="0"/>
        <w:jc w:val="left"/>
        <w:rPr>
          <w:b/>
          <w:sz w:val="25"/>
        </w:rPr>
      </w:pPr>
      <w:r>
        <w:rPr>
          <w:b/>
          <w:sz w:val="25"/>
        </w:rPr>
        <mc:AlternateContent>
          <mc:Choice Requires="wps">
            <w:drawing>
              <wp:anchor distT="0" distB="0" distL="0" distR="0" allowOverlap="1" layoutInCell="1" locked="0" behindDoc="0" simplePos="0" relativeHeight="15736832">
                <wp:simplePos x="0" y="0"/>
                <wp:positionH relativeFrom="page">
                  <wp:posOffset>3250741</wp:posOffset>
                </wp:positionH>
                <wp:positionV relativeFrom="paragraph">
                  <wp:posOffset>332717</wp:posOffset>
                </wp:positionV>
                <wp:extent cx="254635" cy="1016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54635" cy="10160"/>
                        </a:xfrm>
                        <a:custGeom>
                          <a:avLst/>
                          <a:gdLst/>
                          <a:ahLst/>
                          <a:cxnLst/>
                          <a:rect l="l" t="t" r="r" b="b"/>
                          <a:pathLst>
                            <a:path w="254635" h="10160">
                              <a:moveTo>
                                <a:pt x="254458" y="0"/>
                              </a:moveTo>
                              <a:lnTo>
                                <a:pt x="0" y="0"/>
                              </a:lnTo>
                              <a:lnTo>
                                <a:pt x="0" y="10159"/>
                              </a:lnTo>
                              <a:lnTo>
                                <a:pt x="254458" y="10159"/>
                              </a:lnTo>
                              <a:lnTo>
                                <a:pt x="2544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5.963898pt;margin-top:26.198242pt;width:20.0361pt;height:.8pt;mso-position-horizontal-relative:page;mso-position-vertical-relative:paragraph;z-index:15736832" id="docshape21" filled="true" fillcolor="#000000" stroked="false">
                <v:fill type="solid"/>
                <w10:wrap type="none"/>
              </v:rect>
            </w:pict>
          </mc:Fallback>
        </mc:AlternateContent>
      </w:r>
      <w:r>
        <w:rPr>
          <w:b/>
          <w:sz w:val="25"/>
        </w:rPr>
        <w:t>(</w:t>
      </w:r>
      <w:r>
        <w:rPr>
          <w:rFonts w:ascii="Arial MT"/>
          <w:color w:val="800080"/>
          <w:sz w:val="23"/>
          <w:u w:val="single" w:color="000000"/>
        </w:rPr>
        <w:t>P</w:t>
      </w:r>
      <w:r>
        <w:rPr>
          <w:b/>
          <w:color w:val="800080"/>
          <w:sz w:val="25"/>
          <w:u w:val="single" w:color="000000"/>
        </w:rPr>
        <w:t>lease</w:t>
      </w:r>
      <w:r>
        <w:rPr>
          <w:b/>
          <w:color w:val="800080"/>
          <w:spacing w:val="12"/>
          <w:sz w:val="25"/>
          <w:u w:val="single" w:color="000000"/>
        </w:rPr>
        <w:t> </w:t>
      </w:r>
      <w:r>
        <w:rPr>
          <w:b/>
          <w:color w:val="800080"/>
          <w:sz w:val="25"/>
          <w:u w:val="single" w:color="000000"/>
        </w:rPr>
        <w:t>follow</w:t>
      </w:r>
      <w:r>
        <w:rPr>
          <w:b/>
          <w:color w:val="800080"/>
          <w:spacing w:val="12"/>
          <w:sz w:val="25"/>
          <w:u w:val="single" w:color="000000"/>
        </w:rPr>
        <w:t> </w:t>
      </w:r>
      <w:r>
        <w:rPr>
          <w:b/>
          <w:color w:val="800080"/>
          <w:sz w:val="25"/>
          <w:u w:val="single" w:color="000000"/>
        </w:rPr>
        <w:t>this</w:t>
      </w:r>
      <w:r>
        <w:rPr>
          <w:b/>
          <w:color w:val="800080"/>
          <w:spacing w:val="12"/>
          <w:sz w:val="25"/>
          <w:u w:val="single" w:color="000000"/>
        </w:rPr>
        <w:t> </w:t>
      </w:r>
      <w:r>
        <w:rPr>
          <w:b/>
          <w:color w:val="800080"/>
          <w:sz w:val="25"/>
          <w:u w:val="single" w:color="000000"/>
        </w:rPr>
        <w:t>link</w:t>
      </w:r>
      <w:r>
        <w:rPr>
          <w:b/>
          <w:color w:val="800080"/>
          <w:spacing w:val="12"/>
          <w:sz w:val="25"/>
          <w:u w:val="single" w:color="000000"/>
        </w:rPr>
        <w:t> </w:t>
      </w:r>
      <w:r>
        <w:rPr>
          <w:b/>
          <w:color w:val="800080"/>
          <w:sz w:val="25"/>
          <w:u w:val="single" w:color="000000"/>
        </w:rPr>
        <w:t>to</w:t>
      </w:r>
      <w:r>
        <w:rPr>
          <w:b/>
          <w:color w:val="800080"/>
          <w:spacing w:val="12"/>
          <w:sz w:val="25"/>
          <w:u w:val="single" w:color="000000"/>
        </w:rPr>
        <w:t> </w:t>
      </w:r>
      <w:r>
        <w:rPr>
          <w:b/>
          <w:color w:val="800080"/>
          <w:sz w:val="25"/>
          <w:u w:val="single" w:color="000000"/>
        </w:rPr>
        <w:t>my</w:t>
      </w:r>
      <w:r>
        <w:rPr>
          <w:b/>
          <w:color w:val="800080"/>
          <w:spacing w:val="12"/>
          <w:sz w:val="25"/>
          <w:u w:val="single" w:color="000000"/>
        </w:rPr>
        <w:t> </w:t>
      </w:r>
      <w:r>
        <w:rPr>
          <w:b/>
          <w:color w:val="800080"/>
          <w:sz w:val="25"/>
          <w:u w:val="single" w:color="000000"/>
        </w:rPr>
        <w:t>working</w:t>
      </w:r>
      <w:r>
        <w:rPr>
          <w:b/>
          <w:color w:val="800080"/>
          <w:spacing w:val="2"/>
          <w:sz w:val="25"/>
          <w:u w:val="single" w:color="000000"/>
        </w:rPr>
        <w:t> </w:t>
      </w:r>
      <w:r>
        <w:rPr>
          <w:b/>
          <w:color w:val="800080"/>
          <w:spacing w:val="-2"/>
          <w:sz w:val="25"/>
          <w:u w:val="single" w:color="000000"/>
        </w:rPr>
        <w:t>pa</w:t>
      </w:r>
      <w:r>
        <w:rPr>
          <w:b/>
          <w:color w:val="800080"/>
          <w:spacing w:val="-2"/>
          <w:sz w:val="25"/>
        </w:rPr>
        <w:t>pers</w:t>
      </w:r>
      <w:r>
        <w:rPr>
          <w:b/>
          <w:spacing w:val="-2"/>
          <w:sz w:val="25"/>
        </w:rPr>
        <w:t>)</w:t>
      </w:r>
    </w:p>
    <w:p>
      <w:pPr>
        <w:pStyle w:val="Heading1"/>
        <w:spacing w:line="700" w:lineRule="atLeast" w:before="32"/>
        <w:ind w:right="4158"/>
      </w:pPr>
      <w:r>
        <w:rPr/>
        <w:t>Invited Presentations Keynote/Plenary Lectures</w:t>
      </w:r>
    </w:p>
    <w:p>
      <w:pPr>
        <w:spacing w:before="9"/>
        <w:ind w:left="136" w:right="552" w:firstLine="0"/>
        <w:jc w:val="left"/>
        <w:rPr>
          <w:sz w:val="25"/>
        </w:rPr>
      </w:pPr>
      <w:r>
        <w:rPr>
          <w:sz w:val="25"/>
        </w:rPr>
        <w:t>Keynote Speaker, </w:t>
      </w:r>
      <w:r>
        <w:rPr>
          <w:i/>
          <w:sz w:val="25"/>
        </w:rPr>
        <w:t>"Macro-Prudential Policies" Conference, </w:t>
      </w:r>
      <w:r>
        <w:rPr>
          <w:sz w:val="25"/>
        </w:rPr>
        <w:t>Nanjing School of Finance &amp; Economics (2016)</w:t>
      </w:r>
    </w:p>
    <w:p>
      <w:pPr>
        <w:spacing w:before="1"/>
        <w:ind w:left="136" w:right="0" w:firstLine="0"/>
        <w:jc w:val="left"/>
        <w:rPr>
          <w:sz w:val="25"/>
        </w:rPr>
      </w:pPr>
      <w:r>
        <w:rPr>
          <w:sz w:val="25"/>
        </w:rPr>
        <w:t>Keynote Speaker, </w:t>
      </w:r>
      <w:r>
        <w:rPr>
          <w:i/>
          <w:sz w:val="25"/>
        </w:rPr>
        <w:t>Dynamics, Economic Growth, and International Trade Conference. </w:t>
      </w:r>
      <w:r>
        <w:rPr>
          <w:sz w:val="25"/>
        </w:rPr>
        <w:t>Geneva Graduate Institute of International and Development Studies (2015, invited)</w:t>
      </w:r>
    </w:p>
    <w:p>
      <w:pPr>
        <w:spacing w:after="0"/>
        <w:jc w:val="left"/>
        <w:rPr>
          <w:sz w:val="25"/>
        </w:rPr>
        <w:sectPr>
          <w:pgSz w:w="12240" w:h="15840"/>
          <w:pgMar w:top="360" w:bottom="280" w:left="360" w:right="1440"/>
        </w:sectPr>
      </w:pPr>
    </w:p>
    <w:p>
      <w:pPr>
        <w:spacing w:before="30"/>
        <w:ind w:left="136" w:right="0" w:firstLine="0"/>
        <w:jc w:val="left"/>
        <w:rPr>
          <w:sz w:val="25"/>
        </w:rPr>
      </w:pPr>
      <w:r>
        <w:rPr>
          <w:sz w:val="25"/>
        </w:rPr>
        <w:t>Keynote Speaker, </w:t>
      </w:r>
      <w:r>
        <w:rPr>
          <w:i/>
          <w:sz w:val="25"/>
        </w:rPr>
        <w:t>Sustainable Resource Use and Economic Dynamics Conference, </w:t>
      </w:r>
      <w:r>
        <w:rPr>
          <w:sz w:val="25"/>
        </w:rPr>
        <w:t>University of Zurich (2006)</w:t>
      </w:r>
    </w:p>
    <w:p>
      <w:pPr>
        <w:spacing w:before="1"/>
        <w:ind w:left="136" w:right="552" w:firstLine="0"/>
        <w:jc w:val="left"/>
        <w:rPr>
          <w:sz w:val="25"/>
        </w:rPr>
      </w:pPr>
      <w:r>
        <w:rPr>
          <w:sz w:val="25"/>
        </w:rPr>
        <w:t>Keynote Speaker, </w:t>
      </w:r>
      <w:r>
        <w:rPr>
          <w:i/>
          <w:sz w:val="25"/>
        </w:rPr>
        <w:t>Economic Growth and Institutions Conference</w:t>
      </w:r>
      <w:r>
        <w:rPr>
          <w:sz w:val="25"/>
        </w:rPr>
        <w:t>, University of Copenhagen </w:t>
      </w:r>
      <w:r>
        <w:rPr>
          <w:spacing w:val="-2"/>
          <w:sz w:val="25"/>
        </w:rPr>
        <w:t>(2005)</w:t>
      </w:r>
    </w:p>
    <w:p>
      <w:pPr>
        <w:spacing w:before="1"/>
        <w:ind w:left="136" w:right="552" w:firstLine="0"/>
        <w:jc w:val="left"/>
        <w:rPr>
          <w:sz w:val="25"/>
        </w:rPr>
      </w:pPr>
      <w:r>
        <w:rPr>
          <w:sz w:val="25"/>
        </w:rPr>
        <w:t>Keynote Speaker, </w:t>
      </w:r>
      <w:r>
        <w:rPr>
          <w:i/>
          <w:sz w:val="25"/>
        </w:rPr>
        <w:t>Structural Change and Labor Markets Conference, </w:t>
      </w:r>
      <w:r>
        <w:rPr>
          <w:sz w:val="25"/>
        </w:rPr>
        <w:t>IZA University of Bonn </w:t>
      </w:r>
      <w:r>
        <w:rPr>
          <w:spacing w:val="-2"/>
          <w:sz w:val="25"/>
        </w:rPr>
        <w:t>(2005)</w:t>
      </w:r>
    </w:p>
    <w:p>
      <w:pPr>
        <w:spacing w:before="1"/>
        <w:ind w:left="136" w:right="0" w:firstLine="0"/>
        <w:jc w:val="left"/>
        <w:rPr>
          <w:i/>
          <w:sz w:val="25"/>
        </w:rPr>
      </w:pPr>
      <w:r>
        <w:rPr>
          <w:sz w:val="25"/>
        </w:rPr>
        <w:t>Plenary</w:t>
      </w:r>
      <w:r>
        <w:rPr>
          <w:spacing w:val="12"/>
          <w:sz w:val="25"/>
        </w:rPr>
        <w:t> </w:t>
      </w:r>
      <w:r>
        <w:rPr>
          <w:sz w:val="25"/>
        </w:rPr>
        <w:t>Lecture,</w:t>
      </w:r>
      <w:r>
        <w:rPr>
          <w:spacing w:val="12"/>
          <w:sz w:val="25"/>
        </w:rPr>
        <w:t> </w:t>
      </w:r>
      <w:r>
        <w:rPr>
          <w:sz w:val="25"/>
        </w:rPr>
        <w:t>Pisa</w:t>
      </w:r>
      <w:r>
        <w:rPr>
          <w:spacing w:val="12"/>
          <w:sz w:val="25"/>
        </w:rPr>
        <w:t> </w:t>
      </w:r>
      <w:r>
        <w:rPr>
          <w:sz w:val="25"/>
        </w:rPr>
        <w:t>University</w:t>
      </w:r>
      <w:r>
        <w:rPr>
          <w:spacing w:val="12"/>
          <w:sz w:val="25"/>
        </w:rPr>
        <w:t> </w:t>
      </w:r>
      <w:r>
        <w:rPr>
          <w:sz w:val="25"/>
        </w:rPr>
        <w:t>(October</w:t>
      </w:r>
      <w:r>
        <w:rPr>
          <w:spacing w:val="13"/>
          <w:sz w:val="25"/>
        </w:rPr>
        <w:t> </w:t>
      </w:r>
      <w:r>
        <w:rPr>
          <w:sz w:val="25"/>
        </w:rPr>
        <w:t>2001).</w:t>
      </w:r>
      <w:r>
        <w:rPr>
          <w:spacing w:val="12"/>
          <w:sz w:val="25"/>
        </w:rPr>
        <w:t> </w:t>
      </w:r>
      <w:r>
        <w:rPr>
          <w:i/>
          <w:sz w:val="25"/>
        </w:rPr>
        <w:t>Old</w:t>
      </w:r>
      <w:r>
        <w:rPr>
          <w:i/>
          <w:spacing w:val="12"/>
          <w:sz w:val="25"/>
        </w:rPr>
        <w:t> </w:t>
      </w:r>
      <w:r>
        <w:rPr>
          <w:i/>
          <w:sz w:val="25"/>
        </w:rPr>
        <w:t>and</w:t>
      </w:r>
      <w:r>
        <w:rPr>
          <w:i/>
          <w:spacing w:val="12"/>
          <w:sz w:val="25"/>
        </w:rPr>
        <w:t> </w:t>
      </w:r>
      <w:r>
        <w:rPr>
          <w:i/>
          <w:sz w:val="25"/>
        </w:rPr>
        <w:t>New</w:t>
      </w:r>
      <w:r>
        <w:rPr>
          <w:i/>
          <w:spacing w:val="13"/>
          <w:sz w:val="25"/>
        </w:rPr>
        <w:t> </w:t>
      </w:r>
      <w:r>
        <w:rPr>
          <w:i/>
          <w:sz w:val="25"/>
        </w:rPr>
        <w:t>Growth</w:t>
      </w:r>
      <w:r>
        <w:rPr>
          <w:i/>
          <w:spacing w:val="12"/>
          <w:sz w:val="25"/>
        </w:rPr>
        <w:t> </w:t>
      </w:r>
      <w:r>
        <w:rPr>
          <w:i/>
          <w:sz w:val="25"/>
        </w:rPr>
        <w:t>Theories</w:t>
      </w:r>
      <w:r>
        <w:rPr>
          <w:i/>
          <w:spacing w:val="12"/>
          <w:sz w:val="25"/>
        </w:rPr>
        <w:t> </w:t>
      </w:r>
      <w:r>
        <w:rPr>
          <w:i/>
          <w:spacing w:val="-2"/>
          <w:sz w:val="25"/>
        </w:rPr>
        <w:t>Conference</w:t>
      </w:r>
    </w:p>
    <w:p>
      <w:pPr>
        <w:pStyle w:val="BodyText"/>
        <w:ind w:left="136"/>
      </w:pPr>
      <w:r>
        <w:rPr>
          <w:spacing w:val="-2"/>
        </w:rPr>
        <w:t>(2001)</w:t>
      </w:r>
    </w:p>
    <w:p>
      <w:pPr>
        <w:pStyle w:val="BodyText"/>
        <w:spacing w:before="7"/>
      </w:pPr>
    </w:p>
    <w:p>
      <w:pPr>
        <w:pStyle w:val="Heading1"/>
        <w:spacing w:before="1"/>
      </w:pPr>
      <w:r>
        <w:rPr/>
        <w:t>Lectures</w:t>
      </w:r>
      <w:r>
        <w:rPr>
          <w:spacing w:val="4"/>
        </w:rPr>
        <w:t> </w:t>
      </w:r>
      <w:r>
        <w:rPr>
          <w:spacing w:val="-2"/>
        </w:rPr>
        <w:t>Series</w:t>
      </w:r>
    </w:p>
    <w:p>
      <w:pPr>
        <w:spacing w:before="4"/>
        <w:ind w:left="127" w:right="0" w:firstLine="0"/>
        <w:jc w:val="left"/>
        <w:rPr>
          <w:i/>
          <w:sz w:val="25"/>
        </w:rPr>
      </w:pPr>
      <w:r>
        <w:rPr>
          <w:sz w:val="25"/>
        </w:rPr>
        <w:t>Universidad de Costa Rica, </w:t>
      </w:r>
      <w:r>
        <w:rPr>
          <w:b/>
          <w:sz w:val="25"/>
        </w:rPr>
        <w:t>(</w:t>
      </w:r>
      <w:r>
        <w:rPr>
          <w:sz w:val="25"/>
        </w:rPr>
        <w:t>May/June 2012). </w:t>
      </w:r>
      <w:r>
        <w:rPr>
          <w:i/>
          <w:sz w:val="25"/>
        </w:rPr>
        <w:t>Crisis Early Warning Signals and Economic Growth </w:t>
      </w:r>
      <w:r>
        <w:rPr>
          <w:sz w:val="25"/>
        </w:rPr>
        <w:t>University of Munich, (March 2009). </w:t>
      </w:r>
      <w:r>
        <w:rPr>
          <w:i/>
          <w:sz w:val="25"/>
        </w:rPr>
        <w:t>Advanced Topics in Economics Growth: Model Uncertainty </w:t>
      </w:r>
      <w:r>
        <w:rPr>
          <w:sz w:val="25"/>
        </w:rPr>
        <w:t>University of Leipzig, (April 2008). </w:t>
      </w:r>
      <w:r>
        <w:rPr>
          <w:i/>
          <w:sz w:val="25"/>
        </w:rPr>
        <w:t>Frontiers of Macroeconomics and Growth</w:t>
      </w:r>
    </w:p>
    <w:p>
      <w:pPr>
        <w:spacing w:before="2"/>
        <w:ind w:left="127" w:right="0" w:firstLine="0"/>
        <w:jc w:val="left"/>
        <w:rPr>
          <w:i/>
          <w:sz w:val="25"/>
        </w:rPr>
      </w:pPr>
      <w:r>
        <w:rPr>
          <w:sz w:val="25"/>
        </w:rPr>
        <w:t>Vienna</w:t>
      </w:r>
      <w:r>
        <w:rPr>
          <w:spacing w:val="13"/>
          <w:sz w:val="25"/>
        </w:rPr>
        <w:t> </w:t>
      </w:r>
      <w:r>
        <w:rPr>
          <w:sz w:val="25"/>
        </w:rPr>
        <w:t>Institute</w:t>
      </w:r>
      <w:r>
        <w:rPr>
          <w:spacing w:val="13"/>
          <w:sz w:val="25"/>
        </w:rPr>
        <w:t> </w:t>
      </w:r>
      <w:r>
        <w:rPr>
          <w:sz w:val="25"/>
        </w:rPr>
        <w:t>of</w:t>
      </w:r>
      <w:r>
        <w:rPr>
          <w:spacing w:val="13"/>
          <w:sz w:val="25"/>
        </w:rPr>
        <w:t> </w:t>
      </w:r>
      <w:r>
        <w:rPr>
          <w:sz w:val="25"/>
        </w:rPr>
        <w:t>Advanced</w:t>
      </w:r>
      <w:r>
        <w:rPr>
          <w:spacing w:val="13"/>
          <w:sz w:val="25"/>
        </w:rPr>
        <w:t> </w:t>
      </w:r>
      <w:r>
        <w:rPr>
          <w:sz w:val="25"/>
        </w:rPr>
        <w:t>Studies,</w:t>
      </w:r>
      <w:r>
        <w:rPr>
          <w:spacing w:val="13"/>
          <w:sz w:val="25"/>
        </w:rPr>
        <w:t> </w:t>
      </w:r>
      <w:r>
        <w:rPr>
          <w:sz w:val="25"/>
        </w:rPr>
        <w:t>(September</w:t>
      </w:r>
      <w:r>
        <w:rPr>
          <w:spacing w:val="13"/>
          <w:sz w:val="25"/>
        </w:rPr>
        <w:t> </w:t>
      </w:r>
      <w:r>
        <w:rPr>
          <w:sz w:val="25"/>
        </w:rPr>
        <w:t>2006).</w:t>
      </w:r>
      <w:r>
        <w:rPr>
          <w:spacing w:val="13"/>
          <w:sz w:val="25"/>
        </w:rPr>
        <w:t> </w:t>
      </w:r>
      <w:r>
        <w:rPr>
          <w:i/>
          <w:sz w:val="25"/>
        </w:rPr>
        <w:t>Innovation</w:t>
      </w:r>
      <w:r>
        <w:rPr>
          <w:i/>
          <w:spacing w:val="13"/>
          <w:sz w:val="25"/>
        </w:rPr>
        <w:t> </w:t>
      </w:r>
      <w:r>
        <w:rPr>
          <w:i/>
          <w:sz w:val="25"/>
        </w:rPr>
        <w:t>and</w:t>
      </w:r>
      <w:r>
        <w:rPr>
          <w:i/>
          <w:spacing w:val="13"/>
          <w:sz w:val="25"/>
        </w:rPr>
        <w:t> </w:t>
      </w:r>
      <w:r>
        <w:rPr>
          <w:i/>
          <w:spacing w:val="-2"/>
          <w:sz w:val="25"/>
        </w:rPr>
        <w:t>Growth</w:t>
      </w:r>
    </w:p>
    <w:p>
      <w:pPr>
        <w:spacing w:before="0"/>
        <w:ind w:left="127" w:right="0" w:firstLine="0"/>
        <w:jc w:val="left"/>
        <w:rPr>
          <w:i/>
          <w:sz w:val="25"/>
        </w:rPr>
      </w:pPr>
      <w:r>
        <w:rPr>
          <w:sz w:val="25"/>
        </w:rPr>
        <w:t>University</w:t>
      </w:r>
      <w:r>
        <w:rPr>
          <w:spacing w:val="8"/>
          <w:sz w:val="25"/>
        </w:rPr>
        <w:t> </w:t>
      </w:r>
      <w:r>
        <w:rPr>
          <w:sz w:val="25"/>
        </w:rPr>
        <w:t>of</w:t>
      </w:r>
      <w:r>
        <w:rPr>
          <w:spacing w:val="9"/>
          <w:sz w:val="25"/>
        </w:rPr>
        <w:t> </w:t>
      </w:r>
      <w:r>
        <w:rPr>
          <w:sz w:val="25"/>
        </w:rPr>
        <w:t>Munich,</w:t>
      </w:r>
      <w:r>
        <w:rPr>
          <w:spacing w:val="9"/>
          <w:sz w:val="25"/>
        </w:rPr>
        <w:t> </w:t>
      </w:r>
      <w:r>
        <w:rPr>
          <w:sz w:val="25"/>
        </w:rPr>
        <w:t>München</w:t>
      </w:r>
      <w:r>
        <w:rPr>
          <w:spacing w:val="9"/>
          <w:sz w:val="25"/>
        </w:rPr>
        <w:t> </w:t>
      </w:r>
      <w:r>
        <w:rPr>
          <w:sz w:val="25"/>
        </w:rPr>
        <w:t>(May</w:t>
      </w:r>
      <w:r>
        <w:rPr>
          <w:spacing w:val="9"/>
          <w:sz w:val="25"/>
        </w:rPr>
        <w:t> </w:t>
      </w:r>
      <w:r>
        <w:rPr>
          <w:sz w:val="25"/>
        </w:rPr>
        <w:t>2006).</w:t>
      </w:r>
      <w:r>
        <w:rPr>
          <w:spacing w:val="8"/>
          <w:sz w:val="25"/>
        </w:rPr>
        <w:t> </w:t>
      </w:r>
      <w:r>
        <w:rPr>
          <w:i/>
          <w:sz w:val="25"/>
        </w:rPr>
        <w:t>Adv.</w:t>
      </w:r>
      <w:r>
        <w:rPr>
          <w:i/>
          <w:spacing w:val="9"/>
          <w:sz w:val="25"/>
        </w:rPr>
        <w:t> </w:t>
      </w:r>
      <w:r>
        <w:rPr>
          <w:i/>
          <w:sz w:val="25"/>
        </w:rPr>
        <w:t>Topics</w:t>
      </w:r>
      <w:r>
        <w:rPr>
          <w:i/>
          <w:spacing w:val="9"/>
          <w:sz w:val="25"/>
        </w:rPr>
        <w:t> </w:t>
      </w:r>
      <w:r>
        <w:rPr>
          <w:i/>
          <w:sz w:val="25"/>
        </w:rPr>
        <w:t>in</w:t>
      </w:r>
      <w:r>
        <w:rPr>
          <w:i/>
          <w:spacing w:val="9"/>
          <w:sz w:val="25"/>
        </w:rPr>
        <w:t> </w:t>
      </w:r>
      <w:r>
        <w:rPr>
          <w:i/>
          <w:sz w:val="25"/>
        </w:rPr>
        <w:t>Economics</w:t>
      </w:r>
      <w:r>
        <w:rPr>
          <w:i/>
          <w:spacing w:val="9"/>
          <w:sz w:val="25"/>
        </w:rPr>
        <w:t> </w:t>
      </w:r>
      <w:r>
        <w:rPr>
          <w:i/>
          <w:sz w:val="25"/>
        </w:rPr>
        <w:t>Growth:</w:t>
      </w:r>
      <w:r>
        <w:rPr>
          <w:i/>
          <w:spacing w:val="8"/>
          <w:sz w:val="25"/>
        </w:rPr>
        <w:t> </w:t>
      </w:r>
      <w:r>
        <w:rPr>
          <w:i/>
          <w:sz w:val="25"/>
        </w:rPr>
        <w:t>Model</w:t>
      </w:r>
      <w:r>
        <w:rPr>
          <w:i/>
          <w:spacing w:val="9"/>
          <w:sz w:val="25"/>
        </w:rPr>
        <w:t> </w:t>
      </w:r>
      <w:r>
        <w:rPr>
          <w:i/>
          <w:spacing w:val="-2"/>
          <w:sz w:val="25"/>
        </w:rPr>
        <w:t>Selection</w:t>
      </w:r>
    </w:p>
    <w:p>
      <w:pPr>
        <w:spacing w:before="1"/>
        <w:ind w:left="127" w:right="0" w:firstLine="0"/>
        <w:jc w:val="left"/>
        <w:rPr>
          <w:i/>
          <w:sz w:val="25"/>
        </w:rPr>
      </w:pPr>
      <w:r>
        <w:rPr>
          <w:sz w:val="25"/>
        </w:rPr>
        <w:t>Universidad</w:t>
      </w:r>
      <w:r>
        <w:rPr>
          <w:spacing w:val="14"/>
          <w:sz w:val="25"/>
        </w:rPr>
        <w:t> </w:t>
      </w:r>
      <w:r>
        <w:rPr>
          <w:sz w:val="25"/>
        </w:rPr>
        <w:t>de</w:t>
      </w:r>
      <w:r>
        <w:rPr>
          <w:spacing w:val="14"/>
          <w:sz w:val="25"/>
        </w:rPr>
        <w:t> </w:t>
      </w:r>
      <w:r>
        <w:rPr>
          <w:sz w:val="25"/>
        </w:rPr>
        <w:t>Barcelona,</w:t>
      </w:r>
      <w:r>
        <w:rPr>
          <w:spacing w:val="15"/>
          <w:sz w:val="25"/>
        </w:rPr>
        <w:t> </w:t>
      </w:r>
      <w:r>
        <w:rPr>
          <w:sz w:val="25"/>
        </w:rPr>
        <w:t>(April</w:t>
      </w:r>
      <w:r>
        <w:rPr>
          <w:spacing w:val="14"/>
          <w:sz w:val="25"/>
        </w:rPr>
        <w:t> </w:t>
      </w:r>
      <w:r>
        <w:rPr>
          <w:sz w:val="25"/>
        </w:rPr>
        <w:t>2004).</w:t>
      </w:r>
      <w:r>
        <w:rPr>
          <w:spacing w:val="15"/>
          <w:sz w:val="25"/>
        </w:rPr>
        <w:t> </w:t>
      </w:r>
      <w:r>
        <w:rPr>
          <w:i/>
          <w:sz w:val="25"/>
        </w:rPr>
        <w:t>Institutions</w:t>
      </w:r>
      <w:r>
        <w:rPr>
          <w:i/>
          <w:spacing w:val="14"/>
          <w:sz w:val="25"/>
        </w:rPr>
        <w:t> </w:t>
      </w:r>
      <w:r>
        <w:rPr>
          <w:i/>
          <w:sz w:val="25"/>
        </w:rPr>
        <w:t>and</w:t>
      </w:r>
      <w:r>
        <w:rPr>
          <w:i/>
          <w:spacing w:val="14"/>
          <w:sz w:val="25"/>
        </w:rPr>
        <w:t> </w:t>
      </w:r>
      <w:r>
        <w:rPr>
          <w:i/>
          <w:spacing w:val="-2"/>
          <w:sz w:val="25"/>
        </w:rPr>
        <w:t>Growth</w:t>
      </w:r>
    </w:p>
    <w:p>
      <w:pPr>
        <w:spacing w:before="0"/>
        <w:ind w:left="127" w:right="2501" w:firstLine="0"/>
        <w:jc w:val="left"/>
        <w:rPr>
          <w:i/>
          <w:sz w:val="25"/>
        </w:rPr>
      </w:pPr>
      <w:r>
        <w:rPr>
          <w:sz w:val="25"/>
        </w:rPr>
        <w:t>ETH Technical University of Zurich, (January 2004). </w:t>
      </w:r>
      <w:r>
        <w:rPr>
          <w:i/>
          <w:sz w:val="25"/>
        </w:rPr>
        <w:t>Endogenous Institution </w:t>
      </w:r>
      <w:r>
        <w:rPr>
          <w:sz w:val="25"/>
        </w:rPr>
        <w:t>University of Munich, (January 2000). </w:t>
      </w:r>
      <w:r>
        <w:rPr>
          <w:i/>
          <w:sz w:val="25"/>
        </w:rPr>
        <w:t>Endogenous Growth Theory</w:t>
      </w:r>
      <w:r>
        <w:rPr>
          <w:i/>
          <w:spacing w:val="80"/>
          <w:sz w:val="25"/>
        </w:rPr>
        <w:t> </w:t>
      </w:r>
      <w:r>
        <w:rPr>
          <w:sz w:val="25"/>
        </w:rPr>
        <w:t>University of Tübingen, (February 2000). </w:t>
      </w:r>
      <w:r>
        <w:rPr>
          <w:i/>
          <w:sz w:val="25"/>
        </w:rPr>
        <w:t>Non-Scale Growth</w:t>
      </w:r>
    </w:p>
    <w:p>
      <w:pPr>
        <w:spacing w:before="2"/>
        <w:ind w:left="127" w:right="0" w:firstLine="0"/>
        <w:jc w:val="left"/>
        <w:rPr>
          <w:i/>
          <w:sz w:val="25"/>
        </w:rPr>
      </w:pPr>
      <w:r>
        <w:rPr>
          <w:sz w:val="25"/>
        </w:rPr>
        <w:t>University</w:t>
      </w:r>
      <w:r>
        <w:rPr>
          <w:spacing w:val="12"/>
          <w:sz w:val="25"/>
        </w:rPr>
        <w:t> </w:t>
      </w:r>
      <w:r>
        <w:rPr>
          <w:sz w:val="25"/>
        </w:rPr>
        <w:t>of</w:t>
      </w:r>
      <w:r>
        <w:rPr>
          <w:spacing w:val="13"/>
          <w:sz w:val="25"/>
        </w:rPr>
        <w:t> </w:t>
      </w:r>
      <w:r>
        <w:rPr>
          <w:sz w:val="25"/>
        </w:rPr>
        <w:t>Tübingen,</w:t>
      </w:r>
      <w:r>
        <w:rPr>
          <w:spacing w:val="13"/>
          <w:sz w:val="25"/>
        </w:rPr>
        <w:t> </w:t>
      </w:r>
      <w:r>
        <w:rPr>
          <w:sz w:val="25"/>
        </w:rPr>
        <w:t>(May</w:t>
      </w:r>
      <w:r>
        <w:rPr>
          <w:spacing w:val="13"/>
          <w:sz w:val="25"/>
        </w:rPr>
        <w:t> </w:t>
      </w:r>
      <w:r>
        <w:rPr>
          <w:sz w:val="25"/>
        </w:rPr>
        <w:t>2001).</w:t>
      </w:r>
      <w:r>
        <w:rPr>
          <w:spacing w:val="12"/>
          <w:sz w:val="25"/>
        </w:rPr>
        <w:t> </w:t>
      </w:r>
      <w:r>
        <w:rPr>
          <w:i/>
          <w:sz w:val="25"/>
        </w:rPr>
        <w:t>Empirics</w:t>
      </w:r>
      <w:r>
        <w:rPr>
          <w:i/>
          <w:spacing w:val="13"/>
          <w:sz w:val="25"/>
        </w:rPr>
        <w:t> </w:t>
      </w:r>
      <w:r>
        <w:rPr>
          <w:i/>
          <w:sz w:val="25"/>
        </w:rPr>
        <w:t>of</w:t>
      </w:r>
      <w:r>
        <w:rPr>
          <w:i/>
          <w:spacing w:val="13"/>
          <w:sz w:val="25"/>
        </w:rPr>
        <w:t> </w:t>
      </w:r>
      <w:r>
        <w:rPr>
          <w:i/>
          <w:sz w:val="25"/>
        </w:rPr>
        <w:t>Commercial</w:t>
      </w:r>
      <w:r>
        <w:rPr>
          <w:i/>
          <w:spacing w:val="13"/>
          <w:sz w:val="25"/>
        </w:rPr>
        <w:t> </w:t>
      </w:r>
      <w:r>
        <w:rPr>
          <w:i/>
          <w:spacing w:val="-2"/>
          <w:sz w:val="25"/>
        </w:rPr>
        <w:t>Policy</w:t>
      </w:r>
    </w:p>
    <w:p>
      <w:pPr>
        <w:spacing w:before="0"/>
        <w:ind w:left="127" w:right="0" w:firstLine="0"/>
        <w:jc w:val="left"/>
        <w:rPr>
          <w:i/>
          <w:sz w:val="25"/>
        </w:rPr>
      </w:pPr>
      <w:r>
        <w:rPr>
          <w:sz w:val="25"/>
        </w:rPr>
        <w:t>University</w:t>
      </w:r>
      <w:r>
        <w:rPr>
          <w:spacing w:val="11"/>
          <w:sz w:val="25"/>
        </w:rPr>
        <w:t> </w:t>
      </w:r>
      <w:r>
        <w:rPr>
          <w:sz w:val="25"/>
        </w:rPr>
        <w:t>of</w:t>
      </w:r>
      <w:r>
        <w:rPr>
          <w:spacing w:val="12"/>
          <w:sz w:val="25"/>
        </w:rPr>
        <w:t> </w:t>
      </w:r>
      <w:r>
        <w:rPr>
          <w:sz w:val="25"/>
        </w:rPr>
        <w:t>Munich,</w:t>
      </w:r>
      <w:r>
        <w:rPr>
          <w:spacing w:val="12"/>
          <w:sz w:val="25"/>
        </w:rPr>
        <w:t> </w:t>
      </w:r>
      <w:r>
        <w:rPr>
          <w:sz w:val="25"/>
        </w:rPr>
        <w:t>(December</w:t>
      </w:r>
      <w:r>
        <w:rPr>
          <w:spacing w:val="12"/>
          <w:sz w:val="25"/>
        </w:rPr>
        <w:t> </w:t>
      </w:r>
      <w:r>
        <w:rPr>
          <w:sz w:val="25"/>
        </w:rPr>
        <w:t>2001).</w:t>
      </w:r>
      <w:r>
        <w:rPr>
          <w:spacing w:val="11"/>
          <w:sz w:val="25"/>
        </w:rPr>
        <w:t> </w:t>
      </w:r>
      <w:r>
        <w:rPr>
          <w:i/>
          <w:sz w:val="25"/>
        </w:rPr>
        <w:t>Endogenous</w:t>
      </w:r>
      <w:r>
        <w:rPr>
          <w:i/>
          <w:spacing w:val="12"/>
          <w:sz w:val="25"/>
        </w:rPr>
        <w:t> </w:t>
      </w:r>
      <w:r>
        <w:rPr>
          <w:i/>
          <w:sz w:val="25"/>
        </w:rPr>
        <w:t>Tariff</w:t>
      </w:r>
      <w:r>
        <w:rPr>
          <w:i/>
          <w:spacing w:val="12"/>
          <w:sz w:val="25"/>
        </w:rPr>
        <w:t> </w:t>
      </w:r>
      <w:r>
        <w:rPr>
          <w:i/>
          <w:spacing w:val="-2"/>
          <w:sz w:val="25"/>
        </w:rPr>
        <w:t>Protection</w:t>
      </w:r>
    </w:p>
    <w:p>
      <w:pPr>
        <w:pStyle w:val="Heading1"/>
        <w:spacing w:before="247"/>
      </w:pPr>
      <w:r>
        <w:rPr/>
        <w:t>Conferences</w:t>
      </w:r>
      <w:r>
        <w:rPr>
          <w:spacing w:val="9"/>
        </w:rPr>
        <w:t> </w:t>
      </w:r>
      <w:r>
        <w:rPr>
          <w:spacing w:val="-2"/>
        </w:rPr>
        <w:t>Organized</w:t>
      </w:r>
    </w:p>
    <w:p>
      <w:pPr>
        <w:spacing w:before="5"/>
        <w:ind w:left="136" w:right="552" w:firstLine="0"/>
        <w:jc w:val="left"/>
        <w:rPr>
          <w:sz w:val="25"/>
        </w:rPr>
      </w:pPr>
      <w:r>
        <w:rPr>
          <w:i/>
          <w:sz w:val="25"/>
        </w:rPr>
        <w:t>European Workshop in Macroeconomics </w:t>
      </w:r>
      <w:r>
        <w:rPr>
          <w:sz w:val="25"/>
        </w:rPr>
        <w:t>(Munich, July 2010) (co-organizer with M. Doepke, G. Illing, M. Piazzesi, and M. Schneider).</w:t>
      </w:r>
    </w:p>
    <w:p>
      <w:pPr>
        <w:spacing w:before="1"/>
        <w:ind w:left="136" w:right="0" w:firstLine="0"/>
        <w:jc w:val="left"/>
        <w:rPr>
          <w:sz w:val="25"/>
        </w:rPr>
      </w:pPr>
      <w:r>
        <w:rPr>
          <w:i/>
          <w:sz w:val="25"/>
        </w:rPr>
        <w:t>Determinants</w:t>
      </w:r>
      <w:r>
        <w:rPr>
          <w:i/>
          <w:spacing w:val="11"/>
          <w:sz w:val="25"/>
        </w:rPr>
        <w:t> </w:t>
      </w:r>
      <w:r>
        <w:rPr>
          <w:i/>
          <w:sz w:val="25"/>
        </w:rPr>
        <w:t>of</w:t>
      </w:r>
      <w:r>
        <w:rPr>
          <w:i/>
          <w:spacing w:val="11"/>
          <w:sz w:val="25"/>
        </w:rPr>
        <w:t> </w:t>
      </w:r>
      <w:r>
        <w:rPr>
          <w:i/>
          <w:sz w:val="25"/>
        </w:rPr>
        <w:t>Productivity</w:t>
      </w:r>
      <w:r>
        <w:rPr>
          <w:i/>
          <w:spacing w:val="12"/>
          <w:sz w:val="25"/>
        </w:rPr>
        <w:t> </w:t>
      </w:r>
      <w:r>
        <w:rPr>
          <w:i/>
          <w:sz w:val="25"/>
        </w:rPr>
        <w:t>Growth</w:t>
      </w:r>
      <w:r>
        <w:rPr>
          <w:i/>
          <w:spacing w:val="11"/>
          <w:sz w:val="25"/>
        </w:rPr>
        <w:t> </w:t>
      </w:r>
      <w:r>
        <w:rPr>
          <w:sz w:val="25"/>
        </w:rPr>
        <w:t>(Vienna,</w:t>
      </w:r>
      <w:r>
        <w:rPr>
          <w:spacing w:val="12"/>
          <w:sz w:val="25"/>
        </w:rPr>
        <w:t> </w:t>
      </w:r>
      <w:r>
        <w:rPr>
          <w:sz w:val="25"/>
        </w:rPr>
        <w:t>September</w:t>
      </w:r>
      <w:r>
        <w:rPr>
          <w:spacing w:val="11"/>
          <w:sz w:val="25"/>
        </w:rPr>
        <w:t> </w:t>
      </w:r>
      <w:r>
        <w:rPr>
          <w:spacing w:val="-2"/>
          <w:sz w:val="25"/>
        </w:rPr>
        <w:t>2006)</w:t>
      </w:r>
    </w:p>
    <w:p>
      <w:pPr>
        <w:spacing w:before="0"/>
        <w:ind w:left="136" w:right="1486" w:firstLine="0"/>
        <w:jc w:val="left"/>
        <w:rPr>
          <w:sz w:val="25"/>
        </w:rPr>
      </w:pPr>
      <w:r>
        <w:rPr>
          <w:i/>
          <w:sz w:val="25"/>
        </w:rPr>
        <w:t>Education and the 21st Century Workforce </w:t>
      </w:r>
      <w:r>
        <w:rPr>
          <w:sz w:val="25"/>
        </w:rPr>
        <w:t>(Seattle, July 2005, co-organizer) </w:t>
      </w:r>
      <w:r>
        <w:rPr>
          <w:i/>
          <w:sz w:val="25"/>
        </w:rPr>
        <w:t>Intellectual Property Rights and Innovation </w:t>
      </w:r>
      <w:r>
        <w:rPr>
          <w:sz w:val="25"/>
        </w:rPr>
        <w:t>( Seattle, February 2005, co-organizer) </w:t>
      </w:r>
      <w:r>
        <w:rPr>
          <w:i/>
          <w:sz w:val="25"/>
        </w:rPr>
        <w:t>Institutions and Growth </w:t>
      </w:r>
      <w:r>
        <w:rPr>
          <w:sz w:val="25"/>
        </w:rPr>
        <w:t>(Venice, July 2004, co-organizer)</w:t>
      </w:r>
    </w:p>
    <w:p>
      <w:pPr>
        <w:spacing w:before="2"/>
        <w:ind w:left="136" w:right="0" w:firstLine="0"/>
        <w:jc w:val="left"/>
        <w:rPr>
          <w:sz w:val="25"/>
        </w:rPr>
      </w:pPr>
      <w:r>
        <w:rPr>
          <w:i/>
          <w:sz w:val="25"/>
        </w:rPr>
        <w:t>Growth</w:t>
      </w:r>
      <w:r>
        <w:rPr>
          <w:i/>
          <w:spacing w:val="13"/>
          <w:sz w:val="25"/>
        </w:rPr>
        <w:t> </w:t>
      </w:r>
      <w:r>
        <w:rPr>
          <w:i/>
          <w:sz w:val="25"/>
        </w:rPr>
        <w:t>and</w:t>
      </w:r>
      <w:r>
        <w:rPr>
          <w:i/>
          <w:spacing w:val="13"/>
          <w:sz w:val="25"/>
        </w:rPr>
        <w:t> </w:t>
      </w:r>
      <w:r>
        <w:rPr>
          <w:i/>
          <w:sz w:val="25"/>
        </w:rPr>
        <w:t>Inequality</w:t>
      </w:r>
      <w:r>
        <w:rPr>
          <w:i/>
          <w:spacing w:val="13"/>
          <w:sz w:val="25"/>
        </w:rPr>
        <w:t> </w:t>
      </w:r>
      <w:r>
        <w:rPr>
          <w:sz w:val="25"/>
        </w:rPr>
        <w:t>(Munich,</w:t>
      </w:r>
      <w:r>
        <w:rPr>
          <w:spacing w:val="13"/>
          <w:sz w:val="25"/>
        </w:rPr>
        <w:t> </w:t>
      </w:r>
      <w:r>
        <w:rPr>
          <w:sz w:val="25"/>
        </w:rPr>
        <w:t>May</w:t>
      </w:r>
      <w:r>
        <w:rPr>
          <w:spacing w:val="14"/>
          <w:sz w:val="25"/>
        </w:rPr>
        <w:t> </w:t>
      </w:r>
      <w:r>
        <w:rPr>
          <w:sz w:val="25"/>
        </w:rPr>
        <w:t>2001,</w:t>
      </w:r>
      <w:r>
        <w:rPr>
          <w:spacing w:val="13"/>
          <w:sz w:val="25"/>
        </w:rPr>
        <w:t> </w:t>
      </w:r>
      <w:r>
        <w:rPr>
          <w:sz w:val="25"/>
        </w:rPr>
        <w:t>co-</w:t>
      </w:r>
      <w:r>
        <w:rPr>
          <w:spacing w:val="-2"/>
          <w:sz w:val="25"/>
        </w:rPr>
        <w:t>organizer)</w:t>
      </w:r>
    </w:p>
    <w:p>
      <w:pPr>
        <w:spacing w:before="1"/>
        <w:ind w:left="136" w:right="2159" w:firstLine="0"/>
        <w:jc w:val="left"/>
        <w:rPr>
          <w:sz w:val="25"/>
        </w:rPr>
      </w:pPr>
      <w:r>
        <w:rPr>
          <w:i/>
          <w:sz w:val="25"/>
        </w:rPr>
        <w:t>Old and New Growth Theories </w:t>
      </w:r>
      <w:r>
        <w:rPr>
          <w:sz w:val="25"/>
        </w:rPr>
        <w:t>(Pisa, October 2001, scientific committee)</w:t>
      </w:r>
      <w:r>
        <w:rPr>
          <w:spacing w:val="40"/>
          <w:sz w:val="25"/>
        </w:rPr>
        <w:t> </w:t>
      </w:r>
      <w:r>
        <w:rPr>
          <w:i/>
          <w:sz w:val="25"/>
        </w:rPr>
        <w:t>Growth and Inequality Policy Implications </w:t>
      </w:r>
      <w:r>
        <w:rPr>
          <w:sz w:val="25"/>
        </w:rPr>
        <w:t>(Elmau, January 2002, co-organizer) </w:t>
      </w:r>
      <w:r>
        <w:rPr>
          <w:i/>
          <w:sz w:val="25"/>
        </w:rPr>
        <w:t>WTO and World Trade III </w:t>
      </w:r>
      <w:r>
        <w:rPr>
          <w:sz w:val="25"/>
        </w:rPr>
        <w:t>( Duisburg, June 2002, program committee)</w:t>
      </w:r>
    </w:p>
    <w:p>
      <w:pPr>
        <w:spacing w:before="1"/>
        <w:ind w:left="136" w:right="0" w:firstLine="0"/>
        <w:jc w:val="left"/>
        <w:rPr>
          <w:sz w:val="25"/>
        </w:rPr>
      </w:pPr>
      <w:r>
        <w:rPr>
          <w:i/>
          <w:sz w:val="25"/>
        </w:rPr>
        <w:t>WTO</w:t>
      </w:r>
      <w:r>
        <w:rPr>
          <w:i/>
          <w:spacing w:val="7"/>
          <w:sz w:val="25"/>
        </w:rPr>
        <w:t> </w:t>
      </w:r>
      <w:r>
        <w:rPr>
          <w:i/>
          <w:sz w:val="25"/>
        </w:rPr>
        <w:t>and</w:t>
      </w:r>
      <w:r>
        <w:rPr>
          <w:i/>
          <w:spacing w:val="8"/>
          <w:sz w:val="25"/>
        </w:rPr>
        <w:t> </w:t>
      </w:r>
      <w:r>
        <w:rPr>
          <w:i/>
          <w:sz w:val="25"/>
        </w:rPr>
        <w:t>World</w:t>
      </w:r>
      <w:r>
        <w:rPr>
          <w:i/>
          <w:spacing w:val="8"/>
          <w:sz w:val="25"/>
        </w:rPr>
        <w:t> </w:t>
      </w:r>
      <w:r>
        <w:rPr>
          <w:i/>
          <w:sz w:val="25"/>
        </w:rPr>
        <w:t>Trade</w:t>
      </w:r>
      <w:r>
        <w:rPr>
          <w:i/>
          <w:spacing w:val="7"/>
          <w:sz w:val="25"/>
        </w:rPr>
        <w:t> </w:t>
      </w:r>
      <w:r>
        <w:rPr>
          <w:i/>
          <w:sz w:val="25"/>
        </w:rPr>
        <w:t>IV</w:t>
      </w:r>
      <w:r>
        <w:rPr>
          <w:i/>
          <w:spacing w:val="8"/>
          <w:sz w:val="25"/>
        </w:rPr>
        <w:t> </w:t>
      </w:r>
      <w:r>
        <w:rPr>
          <w:sz w:val="25"/>
        </w:rPr>
        <w:t>(Seattle,</w:t>
      </w:r>
      <w:r>
        <w:rPr>
          <w:spacing w:val="8"/>
          <w:sz w:val="25"/>
        </w:rPr>
        <w:t> </w:t>
      </w:r>
      <w:r>
        <w:rPr>
          <w:sz w:val="25"/>
        </w:rPr>
        <w:t>September</w:t>
      </w:r>
      <w:r>
        <w:rPr>
          <w:spacing w:val="7"/>
          <w:sz w:val="25"/>
        </w:rPr>
        <w:t> </w:t>
      </w:r>
      <w:r>
        <w:rPr>
          <w:sz w:val="25"/>
        </w:rPr>
        <w:t>2002,</w:t>
      </w:r>
      <w:r>
        <w:rPr>
          <w:spacing w:val="8"/>
          <w:sz w:val="25"/>
        </w:rPr>
        <w:t> </w:t>
      </w:r>
      <w:r>
        <w:rPr>
          <w:sz w:val="25"/>
        </w:rPr>
        <w:t>program</w:t>
      </w:r>
      <w:r>
        <w:rPr>
          <w:spacing w:val="8"/>
          <w:sz w:val="25"/>
        </w:rPr>
        <w:t> </w:t>
      </w:r>
      <w:r>
        <w:rPr>
          <w:spacing w:val="-2"/>
          <w:sz w:val="25"/>
        </w:rPr>
        <w:t>committee)</w:t>
      </w:r>
    </w:p>
    <w:p>
      <w:pPr>
        <w:spacing w:before="1"/>
        <w:ind w:left="136" w:right="0" w:firstLine="0"/>
        <w:jc w:val="left"/>
        <w:rPr>
          <w:sz w:val="25"/>
        </w:rPr>
      </w:pPr>
      <w:r>
        <w:rPr>
          <w:i/>
          <w:sz w:val="25"/>
        </w:rPr>
        <w:t>Society</w:t>
      </w:r>
      <w:r>
        <w:rPr>
          <w:i/>
          <w:spacing w:val="15"/>
          <w:sz w:val="25"/>
        </w:rPr>
        <w:t> </w:t>
      </w:r>
      <w:r>
        <w:rPr>
          <w:i/>
          <w:sz w:val="25"/>
        </w:rPr>
        <w:t>for</w:t>
      </w:r>
      <w:r>
        <w:rPr>
          <w:i/>
          <w:spacing w:val="15"/>
          <w:sz w:val="25"/>
        </w:rPr>
        <w:t> </w:t>
      </w:r>
      <w:r>
        <w:rPr>
          <w:i/>
          <w:sz w:val="25"/>
        </w:rPr>
        <w:t>Computational</w:t>
      </w:r>
      <w:r>
        <w:rPr>
          <w:i/>
          <w:spacing w:val="15"/>
          <w:sz w:val="25"/>
        </w:rPr>
        <w:t> </w:t>
      </w:r>
      <w:r>
        <w:rPr>
          <w:i/>
          <w:sz w:val="25"/>
        </w:rPr>
        <w:t>Economics</w:t>
      </w:r>
      <w:r>
        <w:rPr>
          <w:i/>
          <w:spacing w:val="15"/>
          <w:sz w:val="25"/>
        </w:rPr>
        <w:t> </w:t>
      </w:r>
      <w:r>
        <w:rPr>
          <w:i/>
          <w:sz w:val="25"/>
        </w:rPr>
        <w:t>Annual</w:t>
      </w:r>
      <w:r>
        <w:rPr>
          <w:i/>
          <w:spacing w:val="16"/>
          <w:sz w:val="25"/>
        </w:rPr>
        <w:t> </w:t>
      </w:r>
      <w:r>
        <w:rPr>
          <w:i/>
          <w:sz w:val="25"/>
        </w:rPr>
        <w:t>Meeting</w:t>
      </w:r>
      <w:r>
        <w:rPr>
          <w:i/>
          <w:spacing w:val="15"/>
          <w:sz w:val="25"/>
        </w:rPr>
        <w:t> </w:t>
      </w:r>
      <w:r>
        <w:rPr>
          <w:sz w:val="25"/>
        </w:rPr>
        <w:t>(Seattle,</w:t>
      </w:r>
      <w:r>
        <w:rPr>
          <w:spacing w:val="15"/>
          <w:sz w:val="25"/>
        </w:rPr>
        <w:t> </w:t>
      </w:r>
      <w:r>
        <w:rPr>
          <w:sz w:val="25"/>
        </w:rPr>
        <w:t>July</w:t>
      </w:r>
      <w:r>
        <w:rPr>
          <w:spacing w:val="15"/>
          <w:sz w:val="25"/>
        </w:rPr>
        <w:t> </w:t>
      </w:r>
      <w:r>
        <w:rPr>
          <w:sz w:val="25"/>
        </w:rPr>
        <w:t>2003,</w:t>
      </w:r>
      <w:r>
        <w:rPr>
          <w:spacing w:val="16"/>
          <w:sz w:val="25"/>
        </w:rPr>
        <w:t> </w:t>
      </w:r>
      <w:r>
        <w:rPr>
          <w:sz w:val="25"/>
        </w:rPr>
        <w:t>program</w:t>
      </w:r>
      <w:r>
        <w:rPr>
          <w:spacing w:val="15"/>
          <w:sz w:val="25"/>
        </w:rPr>
        <w:t> </w:t>
      </w:r>
      <w:r>
        <w:rPr>
          <w:sz w:val="25"/>
        </w:rPr>
        <w:t>co-</w:t>
      </w:r>
      <w:r>
        <w:rPr>
          <w:spacing w:val="-2"/>
          <w:sz w:val="25"/>
        </w:rPr>
        <w:t>chair)</w:t>
      </w:r>
    </w:p>
    <w:p>
      <w:pPr>
        <w:spacing w:before="0"/>
        <w:ind w:left="136" w:right="0" w:firstLine="0"/>
        <w:jc w:val="left"/>
        <w:rPr>
          <w:sz w:val="25"/>
        </w:rPr>
      </w:pPr>
      <w:r>
        <w:rPr>
          <w:i/>
          <w:sz w:val="25"/>
        </w:rPr>
        <w:t>Institutions</w:t>
      </w:r>
      <w:r>
        <w:rPr>
          <w:i/>
          <w:spacing w:val="11"/>
          <w:sz w:val="25"/>
        </w:rPr>
        <w:t> </w:t>
      </w:r>
      <w:r>
        <w:rPr>
          <w:i/>
          <w:sz w:val="25"/>
        </w:rPr>
        <w:t>and</w:t>
      </w:r>
      <w:r>
        <w:rPr>
          <w:i/>
          <w:spacing w:val="11"/>
          <w:sz w:val="25"/>
        </w:rPr>
        <w:t> </w:t>
      </w:r>
      <w:r>
        <w:rPr>
          <w:i/>
          <w:sz w:val="25"/>
        </w:rPr>
        <w:t>Growth</w:t>
      </w:r>
      <w:r>
        <w:rPr>
          <w:i/>
          <w:spacing w:val="11"/>
          <w:sz w:val="25"/>
        </w:rPr>
        <w:t> </w:t>
      </w:r>
      <w:r>
        <w:rPr>
          <w:sz w:val="25"/>
        </w:rPr>
        <w:t>(Venice,</w:t>
      </w:r>
      <w:r>
        <w:rPr>
          <w:spacing w:val="11"/>
          <w:sz w:val="25"/>
        </w:rPr>
        <w:t> </w:t>
      </w:r>
      <w:r>
        <w:rPr>
          <w:sz w:val="25"/>
        </w:rPr>
        <w:t>CESifo</w:t>
      </w:r>
      <w:r>
        <w:rPr>
          <w:spacing w:val="11"/>
          <w:sz w:val="25"/>
        </w:rPr>
        <w:t> </w:t>
      </w:r>
      <w:r>
        <w:rPr>
          <w:sz w:val="25"/>
        </w:rPr>
        <w:t>Summer</w:t>
      </w:r>
      <w:r>
        <w:rPr>
          <w:spacing w:val="11"/>
          <w:sz w:val="25"/>
        </w:rPr>
        <w:t> </w:t>
      </w:r>
      <w:r>
        <w:rPr>
          <w:sz w:val="25"/>
        </w:rPr>
        <w:t>Institute,</w:t>
      </w:r>
      <w:r>
        <w:rPr>
          <w:spacing w:val="11"/>
          <w:sz w:val="25"/>
        </w:rPr>
        <w:t> </w:t>
      </w:r>
      <w:r>
        <w:rPr>
          <w:sz w:val="25"/>
        </w:rPr>
        <w:t>July</w:t>
      </w:r>
      <w:r>
        <w:rPr>
          <w:spacing w:val="11"/>
          <w:sz w:val="25"/>
        </w:rPr>
        <w:t> </w:t>
      </w:r>
      <w:r>
        <w:rPr>
          <w:sz w:val="25"/>
        </w:rPr>
        <w:t>2004,</w:t>
      </w:r>
      <w:r>
        <w:rPr>
          <w:spacing w:val="11"/>
          <w:sz w:val="25"/>
        </w:rPr>
        <w:t> </w:t>
      </w:r>
      <w:r>
        <w:rPr>
          <w:sz w:val="25"/>
        </w:rPr>
        <w:t>program</w:t>
      </w:r>
      <w:r>
        <w:rPr>
          <w:spacing w:val="11"/>
          <w:sz w:val="25"/>
        </w:rPr>
        <w:t> </w:t>
      </w:r>
      <w:r>
        <w:rPr>
          <w:sz w:val="25"/>
        </w:rPr>
        <w:t>co-</w:t>
      </w:r>
      <w:r>
        <w:rPr>
          <w:spacing w:val="-2"/>
          <w:sz w:val="25"/>
        </w:rPr>
        <w:t>chair)</w:t>
      </w:r>
    </w:p>
    <w:p>
      <w:pPr>
        <w:pStyle w:val="BodyText"/>
        <w:spacing w:before="8"/>
      </w:pPr>
    </w:p>
    <w:p>
      <w:pPr>
        <w:pStyle w:val="Heading1"/>
      </w:pPr>
      <w:r>
        <w:rPr/>
        <w:t>Conference</w:t>
      </w:r>
      <w:r>
        <w:rPr>
          <w:spacing w:val="8"/>
        </w:rPr>
        <w:t> </w:t>
      </w:r>
      <w:r>
        <w:rPr/>
        <w:t>Sessions</w:t>
      </w:r>
      <w:r>
        <w:rPr>
          <w:spacing w:val="10"/>
        </w:rPr>
        <w:t> </w:t>
      </w:r>
      <w:r>
        <w:rPr>
          <w:spacing w:val="-2"/>
        </w:rPr>
        <w:t>Organized</w:t>
      </w:r>
    </w:p>
    <w:p>
      <w:pPr>
        <w:spacing w:before="4"/>
        <w:ind w:left="136" w:right="0" w:firstLine="0"/>
        <w:jc w:val="left"/>
        <w:rPr>
          <w:sz w:val="25"/>
        </w:rPr>
      </w:pPr>
      <w:r>
        <w:rPr>
          <w:i/>
          <w:sz w:val="25"/>
        </w:rPr>
        <w:t>Trade</w:t>
      </w:r>
      <w:r>
        <w:rPr>
          <w:i/>
          <w:spacing w:val="12"/>
          <w:sz w:val="25"/>
        </w:rPr>
        <w:t> </w:t>
      </w:r>
      <w:r>
        <w:rPr>
          <w:i/>
          <w:sz w:val="25"/>
        </w:rPr>
        <w:t>and</w:t>
      </w:r>
      <w:r>
        <w:rPr>
          <w:i/>
          <w:spacing w:val="13"/>
          <w:sz w:val="25"/>
        </w:rPr>
        <w:t> </w:t>
      </w:r>
      <w:r>
        <w:rPr>
          <w:i/>
          <w:sz w:val="25"/>
        </w:rPr>
        <w:t>Growth</w:t>
      </w:r>
      <w:r>
        <w:rPr>
          <w:i/>
          <w:spacing w:val="13"/>
          <w:sz w:val="25"/>
        </w:rPr>
        <w:t> </w:t>
      </w:r>
      <w:r>
        <w:rPr>
          <w:i/>
          <w:sz w:val="25"/>
        </w:rPr>
        <w:t>Sessions,</w:t>
      </w:r>
      <w:r>
        <w:rPr>
          <w:i/>
          <w:spacing w:val="12"/>
          <w:sz w:val="25"/>
        </w:rPr>
        <w:t> </w:t>
      </w:r>
      <w:r>
        <w:rPr>
          <w:i/>
          <w:sz w:val="25"/>
        </w:rPr>
        <w:t>Society</w:t>
      </w:r>
      <w:r>
        <w:rPr>
          <w:i/>
          <w:spacing w:val="13"/>
          <w:sz w:val="25"/>
        </w:rPr>
        <w:t> </w:t>
      </w:r>
      <w:r>
        <w:rPr>
          <w:i/>
          <w:sz w:val="25"/>
        </w:rPr>
        <w:t>for</w:t>
      </w:r>
      <w:r>
        <w:rPr>
          <w:i/>
          <w:spacing w:val="13"/>
          <w:sz w:val="25"/>
        </w:rPr>
        <w:t> </w:t>
      </w:r>
      <w:r>
        <w:rPr>
          <w:i/>
          <w:sz w:val="25"/>
        </w:rPr>
        <w:t>Computational</w:t>
      </w:r>
      <w:r>
        <w:rPr>
          <w:i/>
          <w:spacing w:val="12"/>
          <w:sz w:val="25"/>
        </w:rPr>
        <w:t> </w:t>
      </w:r>
      <w:r>
        <w:rPr>
          <w:i/>
          <w:sz w:val="25"/>
        </w:rPr>
        <w:t>Economics,</w:t>
      </w:r>
      <w:r>
        <w:rPr>
          <w:i/>
          <w:spacing w:val="13"/>
          <w:sz w:val="25"/>
        </w:rPr>
        <w:t> </w:t>
      </w:r>
      <w:r>
        <w:rPr>
          <w:sz w:val="25"/>
        </w:rPr>
        <w:t>(Cambridge,</w:t>
      </w:r>
      <w:r>
        <w:rPr>
          <w:spacing w:val="13"/>
          <w:sz w:val="25"/>
        </w:rPr>
        <w:t> </w:t>
      </w:r>
      <w:r>
        <w:rPr>
          <w:sz w:val="25"/>
        </w:rPr>
        <w:t>UK,</w:t>
      </w:r>
      <w:r>
        <w:rPr>
          <w:spacing w:val="12"/>
          <w:sz w:val="25"/>
        </w:rPr>
        <w:t> </w:t>
      </w:r>
      <w:r>
        <w:rPr>
          <w:sz w:val="25"/>
        </w:rPr>
        <w:t>July</w:t>
      </w:r>
      <w:r>
        <w:rPr>
          <w:spacing w:val="13"/>
          <w:sz w:val="25"/>
        </w:rPr>
        <w:t> </w:t>
      </w:r>
      <w:r>
        <w:rPr>
          <w:spacing w:val="-2"/>
          <w:sz w:val="25"/>
        </w:rPr>
        <w:t>1998)</w:t>
      </w:r>
    </w:p>
    <w:p>
      <w:pPr>
        <w:spacing w:before="1"/>
        <w:ind w:left="136" w:right="0" w:firstLine="0"/>
        <w:jc w:val="left"/>
        <w:rPr>
          <w:sz w:val="25"/>
        </w:rPr>
      </w:pPr>
      <w:r>
        <w:rPr>
          <w:i/>
          <w:sz w:val="25"/>
        </w:rPr>
        <w:t>Technology,</w:t>
      </w:r>
      <w:r>
        <w:rPr>
          <w:i/>
          <w:spacing w:val="5"/>
          <w:sz w:val="25"/>
        </w:rPr>
        <w:t> </w:t>
      </w:r>
      <w:r>
        <w:rPr>
          <w:i/>
          <w:sz w:val="25"/>
        </w:rPr>
        <w:t>Infrastructure</w:t>
      </w:r>
      <w:r>
        <w:rPr>
          <w:i/>
          <w:spacing w:val="5"/>
          <w:sz w:val="25"/>
        </w:rPr>
        <w:t> </w:t>
      </w:r>
      <w:r>
        <w:rPr>
          <w:i/>
          <w:sz w:val="25"/>
        </w:rPr>
        <w:t>and</w:t>
      </w:r>
      <w:r>
        <w:rPr>
          <w:i/>
          <w:spacing w:val="5"/>
          <w:sz w:val="25"/>
        </w:rPr>
        <w:t> </w:t>
      </w:r>
      <w:r>
        <w:rPr>
          <w:i/>
          <w:sz w:val="25"/>
        </w:rPr>
        <w:t>Credit</w:t>
      </w:r>
      <w:r>
        <w:rPr>
          <w:i/>
          <w:spacing w:val="6"/>
          <w:sz w:val="25"/>
        </w:rPr>
        <w:t> </w:t>
      </w:r>
      <w:r>
        <w:rPr>
          <w:i/>
          <w:sz w:val="25"/>
        </w:rPr>
        <w:t>in</w:t>
      </w:r>
      <w:r>
        <w:rPr>
          <w:i/>
          <w:spacing w:val="5"/>
          <w:sz w:val="25"/>
        </w:rPr>
        <w:t> </w:t>
      </w:r>
      <w:r>
        <w:rPr>
          <w:i/>
          <w:sz w:val="25"/>
        </w:rPr>
        <w:t>Development,</w:t>
      </w:r>
      <w:r>
        <w:rPr>
          <w:i/>
          <w:spacing w:val="5"/>
          <w:sz w:val="25"/>
        </w:rPr>
        <w:t> </w:t>
      </w:r>
      <w:r>
        <w:rPr>
          <w:sz w:val="25"/>
        </w:rPr>
        <w:t>AEA</w:t>
      </w:r>
      <w:r>
        <w:rPr>
          <w:spacing w:val="-10"/>
          <w:sz w:val="25"/>
        </w:rPr>
        <w:t> </w:t>
      </w:r>
      <w:r>
        <w:rPr>
          <w:sz w:val="25"/>
        </w:rPr>
        <w:t>(New</w:t>
      </w:r>
      <w:r>
        <w:rPr>
          <w:spacing w:val="6"/>
          <w:sz w:val="25"/>
        </w:rPr>
        <w:t> </w:t>
      </w:r>
      <w:r>
        <w:rPr>
          <w:sz w:val="25"/>
        </w:rPr>
        <w:t>York,</w:t>
      </w:r>
      <w:r>
        <w:rPr>
          <w:spacing w:val="5"/>
          <w:sz w:val="25"/>
        </w:rPr>
        <w:t> </w:t>
      </w:r>
      <w:r>
        <w:rPr>
          <w:spacing w:val="-2"/>
          <w:sz w:val="25"/>
        </w:rPr>
        <w:t>1999)</w:t>
      </w:r>
    </w:p>
    <w:p>
      <w:pPr>
        <w:spacing w:before="0"/>
        <w:ind w:left="136" w:right="0" w:firstLine="0"/>
        <w:jc w:val="left"/>
        <w:rPr>
          <w:sz w:val="25"/>
        </w:rPr>
      </w:pPr>
      <w:r>
        <w:rPr>
          <w:i/>
          <w:sz w:val="25"/>
        </w:rPr>
        <w:t>Trade</w:t>
      </w:r>
      <w:r>
        <w:rPr>
          <w:i/>
          <w:spacing w:val="12"/>
          <w:sz w:val="25"/>
        </w:rPr>
        <w:t> </w:t>
      </w:r>
      <w:r>
        <w:rPr>
          <w:i/>
          <w:sz w:val="25"/>
        </w:rPr>
        <w:t>and</w:t>
      </w:r>
      <w:r>
        <w:rPr>
          <w:i/>
          <w:spacing w:val="12"/>
          <w:sz w:val="25"/>
        </w:rPr>
        <w:t> </w:t>
      </w:r>
      <w:r>
        <w:rPr>
          <w:i/>
          <w:sz w:val="25"/>
        </w:rPr>
        <w:t>Growth</w:t>
      </w:r>
      <w:r>
        <w:rPr>
          <w:i/>
          <w:spacing w:val="12"/>
          <w:sz w:val="25"/>
        </w:rPr>
        <w:t> </w:t>
      </w:r>
      <w:r>
        <w:rPr>
          <w:i/>
          <w:sz w:val="25"/>
        </w:rPr>
        <w:t>Sessions,</w:t>
      </w:r>
      <w:r>
        <w:rPr>
          <w:i/>
          <w:spacing w:val="12"/>
          <w:sz w:val="25"/>
        </w:rPr>
        <w:t> </w:t>
      </w:r>
      <w:r>
        <w:rPr>
          <w:i/>
          <w:sz w:val="25"/>
        </w:rPr>
        <w:t>Society</w:t>
      </w:r>
      <w:r>
        <w:rPr>
          <w:i/>
          <w:spacing w:val="12"/>
          <w:sz w:val="25"/>
        </w:rPr>
        <w:t> </w:t>
      </w:r>
      <w:r>
        <w:rPr>
          <w:i/>
          <w:sz w:val="25"/>
        </w:rPr>
        <w:t>for</w:t>
      </w:r>
      <w:r>
        <w:rPr>
          <w:i/>
          <w:spacing w:val="12"/>
          <w:sz w:val="25"/>
        </w:rPr>
        <w:t> </w:t>
      </w:r>
      <w:r>
        <w:rPr>
          <w:i/>
          <w:sz w:val="25"/>
        </w:rPr>
        <w:t>Computational</w:t>
      </w:r>
      <w:r>
        <w:rPr>
          <w:i/>
          <w:spacing w:val="12"/>
          <w:sz w:val="25"/>
        </w:rPr>
        <w:t> </w:t>
      </w:r>
      <w:r>
        <w:rPr>
          <w:i/>
          <w:sz w:val="25"/>
        </w:rPr>
        <w:t>Economics,</w:t>
      </w:r>
      <w:r>
        <w:rPr>
          <w:i/>
          <w:spacing w:val="12"/>
          <w:sz w:val="25"/>
        </w:rPr>
        <w:t> </w:t>
      </w:r>
      <w:r>
        <w:rPr>
          <w:sz w:val="25"/>
        </w:rPr>
        <w:t>(Boston,</w:t>
      </w:r>
      <w:r>
        <w:rPr>
          <w:spacing w:val="12"/>
          <w:sz w:val="25"/>
        </w:rPr>
        <w:t> </w:t>
      </w:r>
      <w:r>
        <w:rPr>
          <w:sz w:val="25"/>
        </w:rPr>
        <w:t>July</w:t>
      </w:r>
      <w:r>
        <w:rPr>
          <w:spacing w:val="12"/>
          <w:sz w:val="25"/>
        </w:rPr>
        <w:t> </w:t>
      </w:r>
      <w:r>
        <w:rPr>
          <w:spacing w:val="-2"/>
          <w:sz w:val="25"/>
        </w:rPr>
        <w:t>1999)</w:t>
      </w:r>
    </w:p>
    <w:p>
      <w:pPr>
        <w:spacing w:before="1"/>
        <w:ind w:left="136" w:right="552" w:firstLine="0"/>
        <w:jc w:val="left"/>
        <w:rPr>
          <w:sz w:val="25"/>
        </w:rPr>
      </w:pPr>
      <w:r>
        <w:rPr>
          <w:i/>
          <w:sz w:val="25"/>
        </w:rPr>
        <w:t>Trade and Convergence Sessions Society for Computational Economics, </w:t>
      </w:r>
      <w:r>
        <w:rPr>
          <w:sz w:val="25"/>
        </w:rPr>
        <w:t>(Aix-en-Provence, June </w:t>
      </w:r>
      <w:r>
        <w:rPr>
          <w:spacing w:val="-2"/>
          <w:sz w:val="25"/>
        </w:rPr>
        <w:t>2002)</w:t>
      </w:r>
    </w:p>
    <w:p>
      <w:pPr>
        <w:pStyle w:val="BodyText"/>
        <w:spacing w:before="8"/>
      </w:pPr>
    </w:p>
    <w:p>
      <w:pPr>
        <w:pStyle w:val="Heading1"/>
      </w:pPr>
      <w:r>
        <w:rPr/>
        <w:t>Referee</w:t>
      </w:r>
      <w:r>
        <w:rPr>
          <w:spacing w:val="2"/>
        </w:rPr>
        <w:t> </w:t>
      </w:r>
      <w:r>
        <w:rPr>
          <w:spacing w:val="-2"/>
        </w:rPr>
        <w:t>Activity</w:t>
      </w:r>
    </w:p>
    <w:p>
      <w:pPr>
        <w:pStyle w:val="BodyText"/>
        <w:spacing w:before="4"/>
        <w:ind w:left="136" w:right="820"/>
      </w:pPr>
      <w:r>
        <w:rPr/>
        <w:t>American Economic Review, Canadian Journal of Economics, Economic Inquiry, Econometrica, Economica, Economic Journal, European Economic Review, German Economic Review, International Economic Review, International Review of</w:t>
      </w:r>
    </w:p>
    <w:p>
      <w:pPr>
        <w:pStyle w:val="BodyText"/>
        <w:spacing w:after="0"/>
        <w:sectPr>
          <w:pgSz w:w="12240" w:h="15840"/>
          <w:pgMar w:top="340" w:bottom="280" w:left="360" w:right="1440"/>
        </w:sectPr>
      </w:pPr>
    </w:p>
    <w:p>
      <w:pPr>
        <w:pStyle w:val="BodyText"/>
        <w:spacing w:before="30"/>
        <w:ind w:left="136" w:right="1195"/>
      </w:pPr>
      <w:r>
        <w:rPr/>
        <w:t>Economics/Metroeconomica, Japanese Economic Review, Journal of Development Economics, Journal of Economic Behavior and Organization, Journal of Economic Dynamics and Control, Journal of Economic Growth, Journal of Economic Integration, Journal of Economics, Journal of Empirical Economics, Journal of International</w:t>
      </w:r>
      <w:r>
        <w:rPr>
          <w:spacing w:val="40"/>
        </w:rPr>
        <w:t> </w:t>
      </w:r>
      <w:r>
        <w:rPr/>
        <w:t>Economics, Journal of International Money and Finance, Journal of International Trade</w:t>
      </w:r>
      <w:r>
        <w:rPr>
          <w:spacing w:val="80"/>
        </w:rPr>
        <w:t> </w:t>
      </w:r>
      <w:r>
        <w:rPr/>
        <w:t>and Economic Development, Journal of Macroeconomics, Journal of Macroeconomic Dynamics,</w:t>
      </w:r>
      <w:r>
        <w:rPr>
          <w:spacing w:val="35"/>
        </w:rPr>
        <w:t> </w:t>
      </w:r>
      <w:r>
        <w:rPr/>
        <w:t>Journal</w:t>
      </w:r>
      <w:r>
        <w:rPr>
          <w:spacing w:val="35"/>
        </w:rPr>
        <w:t> </w:t>
      </w:r>
      <w:r>
        <w:rPr/>
        <w:t>of</w:t>
      </w:r>
      <w:r>
        <w:rPr>
          <w:spacing w:val="35"/>
        </w:rPr>
        <w:t> </w:t>
      </w:r>
      <w:r>
        <w:rPr/>
        <w:t>Public</w:t>
      </w:r>
      <w:r>
        <w:rPr>
          <w:spacing w:val="35"/>
        </w:rPr>
        <w:t> </w:t>
      </w:r>
      <w:r>
        <w:rPr/>
        <w:t>Economics,</w:t>
      </w:r>
      <w:r>
        <w:rPr>
          <w:spacing w:val="35"/>
        </w:rPr>
        <w:t> </w:t>
      </w:r>
      <w:r>
        <w:rPr/>
        <w:t>Journal</w:t>
      </w:r>
      <w:r>
        <w:rPr>
          <w:spacing w:val="35"/>
        </w:rPr>
        <w:t> </w:t>
      </w:r>
      <w:r>
        <w:rPr/>
        <w:t>of</w:t>
      </w:r>
      <w:r>
        <w:rPr>
          <w:spacing w:val="35"/>
        </w:rPr>
        <w:t> </w:t>
      </w:r>
      <w:r>
        <w:rPr/>
        <w:t>Political</w:t>
      </w:r>
      <w:r>
        <w:rPr>
          <w:spacing w:val="35"/>
        </w:rPr>
        <w:t> </w:t>
      </w:r>
      <w:r>
        <w:rPr/>
        <w:t>Economy,</w:t>
      </w:r>
      <w:r>
        <w:rPr>
          <w:spacing w:val="35"/>
        </w:rPr>
        <w:t> </w:t>
      </w:r>
      <w:r>
        <w:rPr/>
        <w:t>Louvain Economic Review, National Science Foundation, Oxford Economic Papers, Review of Economic Studies, Review of International Economics, Royalty Research Fund, Southern Economic Journal, Verein Für Sozialpolitik.</w:t>
      </w:r>
    </w:p>
    <w:p>
      <w:pPr>
        <w:pStyle w:val="BodyText"/>
        <w:spacing w:before="13"/>
      </w:pPr>
    </w:p>
    <w:p>
      <w:pPr>
        <w:pStyle w:val="Heading1"/>
      </w:pPr>
      <w:r>
        <w:rPr/>
        <w:t>Teaching</w:t>
      </w:r>
      <w:r>
        <w:rPr>
          <w:spacing w:val="-25"/>
        </w:rPr>
        <w:t> </w:t>
      </w:r>
      <w:r>
        <w:rPr>
          <w:spacing w:val="-2"/>
        </w:rPr>
        <w:t>Experience</w:t>
      </w:r>
    </w:p>
    <w:p>
      <w:pPr>
        <w:spacing w:before="4"/>
        <w:ind w:left="136" w:right="0" w:firstLine="0"/>
        <w:jc w:val="left"/>
        <w:rPr>
          <w:i/>
          <w:sz w:val="25"/>
        </w:rPr>
      </w:pPr>
      <w:r>
        <w:rPr>
          <w:i/>
          <w:spacing w:val="-2"/>
          <w:sz w:val="25"/>
        </w:rPr>
        <w:t>Undergraduate:</w:t>
      </w:r>
    </w:p>
    <w:p>
      <w:pPr>
        <w:pStyle w:val="BodyText"/>
        <w:ind w:left="511"/>
      </w:pPr>
      <w:r>
        <w:rPr/>
        <w:t>International</w:t>
      </w:r>
      <w:r>
        <w:rPr>
          <w:spacing w:val="23"/>
        </w:rPr>
        <w:t> </w:t>
      </w:r>
      <w:r>
        <w:rPr>
          <w:spacing w:val="-2"/>
        </w:rPr>
        <w:t>Trade;</w:t>
      </w:r>
    </w:p>
    <w:p>
      <w:pPr>
        <w:pStyle w:val="BodyText"/>
        <w:spacing w:before="0"/>
        <w:ind w:left="511" w:right="2896"/>
      </w:pPr>
      <w:r>
        <w:rPr/>
        <w:t>Macroeconomics (Introduction, Intermediate, Advanced), International Macroeconomics,</w:t>
      </w:r>
    </w:p>
    <w:p>
      <w:pPr>
        <w:pStyle w:val="BodyText"/>
        <w:ind w:left="511" w:right="6972"/>
      </w:pPr>
      <w:r>
        <w:rPr/>
        <w:t>International Finance,</w:t>
      </w:r>
      <w:r>
        <w:rPr>
          <w:spacing w:val="80"/>
        </w:rPr>
        <w:t> </w:t>
      </w:r>
      <w:r>
        <w:rPr/>
        <w:t>Topics in Economic </w:t>
      </w:r>
      <w:r>
        <w:rPr/>
        <w:t>Growth, Urban Economics,</w:t>
      </w:r>
    </w:p>
    <w:p>
      <w:pPr>
        <w:pStyle w:val="BodyText"/>
        <w:spacing w:before="2"/>
        <w:ind w:left="511"/>
      </w:pPr>
      <w:r>
        <w:rPr/>
        <w:t>Sustainable</w:t>
      </w:r>
      <w:r>
        <w:rPr>
          <w:spacing w:val="17"/>
        </w:rPr>
        <w:t> </w:t>
      </w:r>
      <w:r>
        <w:rPr/>
        <w:t>Development</w:t>
      </w:r>
      <w:r>
        <w:rPr>
          <w:spacing w:val="18"/>
        </w:rPr>
        <w:t> </w:t>
      </w:r>
      <w:r>
        <w:rPr/>
        <w:t>and</w:t>
      </w:r>
      <w:r>
        <w:rPr>
          <w:spacing w:val="18"/>
        </w:rPr>
        <w:t> </w:t>
      </w:r>
      <w:r>
        <w:rPr>
          <w:spacing w:val="-2"/>
        </w:rPr>
        <w:t>Growth</w:t>
      </w:r>
    </w:p>
    <w:p>
      <w:pPr>
        <w:pStyle w:val="BodyText"/>
        <w:spacing w:before="65"/>
      </w:pPr>
    </w:p>
    <w:p>
      <w:pPr>
        <w:spacing w:before="0"/>
        <w:ind w:left="136" w:right="0" w:firstLine="0"/>
        <w:jc w:val="left"/>
        <w:rPr>
          <w:i/>
          <w:sz w:val="25"/>
        </w:rPr>
      </w:pPr>
      <w:r>
        <w:rPr>
          <w:i/>
          <w:sz w:val="25"/>
        </w:rPr>
        <w:t>Graduate</w:t>
      </w:r>
      <w:r>
        <w:rPr>
          <w:i/>
          <w:spacing w:val="11"/>
          <w:sz w:val="25"/>
        </w:rPr>
        <w:t> </w:t>
      </w:r>
      <w:r>
        <w:rPr>
          <w:i/>
          <w:sz w:val="25"/>
        </w:rPr>
        <w:t>/</w:t>
      </w:r>
      <w:r>
        <w:rPr>
          <w:i/>
          <w:spacing w:val="11"/>
          <w:sz w:val="25"/>
        </w:rPr>
        <w:t> </w:t>
      </w:r>
      <w:r>
        <w:rPr>
          <w:i/>
          <w:spacing w:val="-4"/>
          <w:sz w:val="25"/>
        </w:rPr>
        <w:t>PhD:</w:t>
      </w:r>
    </w:p>
    <w:p>
      <w:pPr>
        <w:pStyle w:val="BodyText"/>
        <w:spacing w:before="0"/>
        <w:ind w:left="511" w:right="7191"/>
      </w:pPr>
      <w:r>
        <w:rPr/>
        <w:t>Trade Theory;</w:t>
      </w:r>
      <w:r>
        <w:rPr>
          <w:spacing w:val="80"/>
        </w:rPr>
        <w:t> </w:t>
      </w:r>
      <w:r>
        <w:rPr/>
        <w:t>Commercial Policy; Advanced Growth Theory,</w:t>
      </w:r>
    </w:p>
    <w:p>
      <w:pPr>
        <w:pStyle w:val="BodyText"/>
        <w:spacing w:before="2"/>
        <w:ind w:left="511"/>
      </w:pPr>
      <w:r>
        <w:rPr/>
        <w:t>Advanced</w:t>
      </w:r>
      <w:r>
        <w:rPr>
          <w:spacing w:val="12"/>
        </w:rPr>
        <w:t> </w:t>
      </w:r>
      <w:r>
        <w:rPr/>
        <w:t>Macro</w:t>
      </w:r>
      <w:r>
        <w:rPr>
          <w:spacing w:val="13"/>
        </w:rPr>
        <w:t> </w:t>
      </w:r>
      <w:r>
        <w:rPr/>
        <w:t>Theory</w:t>
      </w:r>
      <w:r>
        <w:rPr>
          <w:spacing w:val="13"/>
        </w:rPr>
        <w:t> </w:t>
      </w:r>
      <w:r>
        <w:rPr/>
        <w:t>and</w:t>
      </w:r>
      <w:r>
        <w:rPr>
          <w:spacing w:val="12"/>
        </w:rPr>
        <w:t> </w:t>
      </w:r>
      <w:r>
        <w:rPr>
          <w:spacing w:val="-2"/>
        </w:rPr>
        <w:t>Empirics.</w:t>
      </w:r>
    </w:p>
    <w:p>
      <w:pPr>
        <w:pStyle w:val="BodyText"/>
        <w:spacing w:before="11"/>
      </w:pPr>
    </w:p>
    <w:p>
      <w:pPr>
        <w:spacing w:before="1"/>
        <w:ind w:left="127" w:right="0" w:firstLine="0"/>
        <w:jc w:val="left"/>
        <w:rPr>
          <w:sz w:val="29"/>
        </w:rPr>
      </w:pPr>
      <w:r>
        <w:rPr>
          <w:sz w:val="29"/>
        </w:rPr>
        <w:t>Link</w:t>
      </w:r>
      <w:r>
        <w:rPr>
          <w:spacing w:val="-9"/>
          <w:sz w:val="29"/>
        </w:rPr>
        <w:t> </w:t>
      </w:r>
      <w:r>
        <w:rPr>
          <w:sz w:val="29"/>
        </w:rPr>
        <w:t>to</w:t>
      </w:r>
      <w:r>
        <w:rPr>
          <w:spacing w:val="-8"/>
          <w:sz w:val="29"/>
        </w:rPr>
        <w:t> </w:t>
      </w:r>
      <w:r>
        <w:rPr>
          <w:color w:val="0000FF"/>
          <w:sz w:val="29"/>
          <w:u w:val="thick" w:color="000000"/>
        </w:rPr>
        <w:t>Former</w:t>
      </w:r>
      <w:r>
        <w:rPr>
          <w:color w:val="0000FF"/>
          <w:spacing w:val="-8"/>
          <w:sz w:val="29"/>
          <w:u w:val="thick" w:color="000000"/>
        </w:rPr>
        <w:t> </w:t>
      </w:r>
      <w:r>
        <w:rPr>
          <w:color w:val="0000FF"/>
          <w:sz w:val="29"/>
          <w:u w:val="thick" w:color="000000"/>
        </w:rPr>
        <w:t>Graduate</w:t>
      </w:r>
      <w:r>
        <w:rPr>
          <w:color w:val="0000FF"/>
          <w:spacing w:val="-8"/>
          <w:sz w:val="29"/>
          <w:u w:val="thick" w:color="000000"/>
        </w:rPr>
        <w:t> </w:t>
      </w:r>
      <w:r>
        <w:rPr>
          <w:color w:val="0000FF"/>
          <w:sz w:val="29"/>
          <w:u w:val="thick" w:color="000000"/>
        </w:rPr>
        <w:t>Students</w:t>
      </w:r>
      <w:r>
        <w:rPr>
          <w:color w:val="0000FF"/>
          <w:spacing w:val="-8"/>
          <w:sz w:val="29"/>
        </w:rPr>
        <w:t> </w:t>
      </w:r>
      <w:r>
        <w:rPr>
          <w:sz w:val="29"/>
        </w:rPr>
        <w:t>I</w:t>
      </w:r>
      <w:r>
        <w:rPr>
          <w:spacing w:val="-8"/>
          <w:sz w:val="29"/>
        </w:rPr>
        <w:t> </w:t>
      </w:r>
      <w:r>
        <w:rPr>
          <w:spacing w:val="-2"/>
          <w:sz w:val="29"/>
        </w:rPr>
        <w:t>supervised</w:t>
      </w:r>
    </w:p>
    <w:sectPr>
      <w:pgSz w:w="12240" w:h="15840"/>
      <w:pgMar w:top="340" w:bottom="280" w:left="36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
    </w:pPr>
    <w:rPr>
      <w:rFonts w:ascii="Times New Roman" w:hAnsi="Times New Roman" w:eastAsia="Times New Roman" w:cs="Times New Roman"/>
      <w:sz w:val="25"/>
      <w:szCs w:val="25"/>
      <w:lang w:val="en-US" w:eastAsia="en-US" w:bidi="ar-SA"/>
    </w:rPr>
  </w:style>
  <w:style w:styleId="Heading1" w:type="paragraph">
    <w:name w:val="Heading 1"/>
    <w:basedOn w:val="Normal"/>
    <w:uiPriority w:val="1"/>
    <w:qFormat/>
    <w:pPr>
      <w:ind w:left="127"/>
      <w:outlineLvl w:val="1"/>
    </w:pPr>
    <w:rPr>
      <w:rFonts w:ascii="Times New Roman" w:hAnsi="Times New Roman" w:eastAsia="Times New Roman" w:cs="Times New Roman"/>
      <w:b/>
      <w:bCs/>
      <w:sz w:val="38"/>
      <w:szCs w:val="38"/>
      <w:lang w:val="en-US" w:eastAsia="en-US" w:bidi="ar-SA"/>
    </w:rPr>
  </w:style>
  <w:style w:styleId="Title" w:type="paragraph">
    <w:name w:val="Title"/>
    <w:basedOn w:val="Normal"/>
    <w:uiPriority w:val="1"/>
    <w:qFormat/>
    <w:pPr>
      <w:spacing w:before="2"/>
      <w:ind w:left="3818"/>
    </w:pPr>
    <w:rPr>
      <w:rFonts w:ascii="Times New Roman" w:hAnsi="Times New Roman" w:eastAsia="Times New Roman" w:cs="Times New Roman"/>
      <w:sz w:val="51"/>
      <w:szCs w:val="5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62"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faculty.washington.edu/te/" TargetMode="External"/><Relationship Id="rId6" Type="http://schemas.openxmlformats.org/officeDocument/2006/relationships/hyperlink" Target="mailto:te@u.washingt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卢凌飞</dc:creator>
  <dc:title>https://faculty.washington.edu/te/resume.html</dc:title>
  <dcterms:created xsi:type="dcterms:W3CDTF">2026-01-29T10:12:08Z</dcterms:created>
  <dcterms:modified xsi:type="dcterms:W3CDTF">2026-01-29T10:12:08Z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Safari浏览器</vt:lpwstr>
  </property>
  <property fmtid="{D5CDD505-2E9C-101B-9397-08002B2CF9AE}" pid="4" name="LastSaved">
    <vt:filetime>2026-01-29T00:00:00Z</vt:filetime>
  </property>
  <property fmtid="{D5CDD505-2E9C-101B-9397-08002B2CF9AE}" pid="5" name="Producer">
    <vt:lpwstr>macOS 版本26.2（版号25C56） Quartz PDFContext</vt:lpwstr>
  </property>
</Properties>
</file>