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/>
      </w:pPr>
      <w:r>
        <w:rPr>
          <w:rFonts w:ascii="Malgun Gothic" w:cs="Malgun Gothic" w:eastAsia="Malgun Gothic" w:hAnsi="Malgun Gothic"/>
          <w:b/>
          <w:bCs/>
          <w:color w:val="3c8767"/>
          <w:spacing w:val="60"/>
          <w:sz w:val="22"/>
          <w:szCs w:val="22"/>
        </w:rPr>
        <w:t xml:space="preserve">지사네 · JISANE</w:t>
      </w:r>
    </w:p>
    <w:p>
      <w:pPr>
        <w:spacing w:after="56"/>
      </w:pPr>
      <w:r>
        <w:rPr>
          <w:rFonts w:ascii="Malgun Gothic" w:cs="Malgun Gothic" w:eastAsia="Malgun Gothic" w:hAnsi="Malgun Gothic"/>
          <w:b/>
          <w:bCs/>
          <w:color w:val="1f5c46"/>
          <w:sz w:val="40"/>
          <w:szCs w:val="40"/>
        </w:rPr>
        <w:t xml:space="preserve">거래 표준 실물 문서</w:t>
      </w:r>
    </w:p>
    <w:p>
      <w:pPr>
        <w:spacing w:after="36"/>
      </w:pPr>
      <w:r>
        <w:rPr>
          <w:rFonts w:ascii="Malgun Gothic" w:cs="Malgun Gothic" w:eastAsia="Malgun Gothic" w:hAnsi="Malgun Gothic"/>
          <w:color w:val="6d6a5f"/>
          <w:sz w:val="20"/>
          <w:szCs w:val="20"/>
        </w:rPr>
        <w:t xml:space="preserve">① 용역 명세서 양식   ②  책임 적립금 운영 규정</w:t>
      </w:r>
    </w:p>
    <w:p>
      <w:pPr>
        <w:pBdr>
          <w:bottom w:val="single" w:color="1f5c46" w:sz="12" w:space="2"/>
        </w:pBdr>
        <w:spacing w:after="200"/>
      </w:pPr>
      <w:r>
        <w:rPr>
          <w:rFonts w:ascii="Malgun Gothic" w:cs="Malgun Gothic" w:eastAsia="Malgun Gothic" w:hAnsi="Malgun Gothic"/>
          <w:color w:val="6d6a5f"/>
          <w:sz w:val="16"/>
          <w:szCs w:val="16"/>
        </w:rPr>
        <w:t xml:space="preserve">Enterlabs 운영 · 오해 제거 5대 메커니즘 ② 범위 · ⑤ 복구 실물화</w:t>
      </w:r>
    </w:p>
    <w:p>
      <w:pPr>
        <w:spacing w:after="110" w:line="300"/>
      </w:pPr>
      <w:r>
        <w:rPr>
          <w:rFonts w:ascii="Malgun Gothic" w:cs="Malgun Gothic" w:eastAsia="Malgun Gothic" w:hAnsi="Malgun Gothic"/>
          <w:color w:val="6d6a5f"/>
          <w:sz w:val="20"/>
          <w:szCs w:val="20"/>
        </w:rPr>
        <w:t xml:space="preserve">이 두 문서는 지사네 공개 원장 페이지의 배지 두 개('범위 — 문서 보강 중', '복구 — 적립금 가동')를 </w:t>
      </w:r>
      <w:r>
        <w:rPr>
          <w:rFonts w:ascii="Malgun Gothic" w:cs="Malgun Gothic" w:eastAsia="Malgun Gothic" w:hAnsi="Malgun Gothic"/>
          <w:b/>
          <w:bCs/>
          <w:color w:val="1f5c46"/>
          <w:sz w:val="20"/>
          <w:szCs w:val="20"/>
        </w:rPr>
        <w:t xml:space="preserve">실제로 초록으로 만드는 근거 문서</w:t>
      </w:r>
      <w:r>
        <w:rPr>
          <w:rFonts w:ascii="Malgun Gothic" w:cs="Malgun Gothic" w:eastAsia="Malgun Gothic" w:hAnsi="Malgun Gothic"/>
          <w:color w:val="6d6a5f"/>
          <w:sz w:val="20"/>
          <w:szCs w:val="20"/>
        </w:rPr>
        <w:t xml:space="preserve">다. 페이지가 약속한 것을 실물이 뒷받침해야, 그 약속이 거짓말이 되지 않는다.</w:t>
      </w:r>
    </w:p>
    <w:p>
      <w:pPr>
        <w:pStyle w:val="Heading1"/>
        <w:spacing w:after="130" w:before="320"/>
      </w:pPr>
      <w:r>
        <w:rPr>
          <w:rFonts w:ascii="Malgun Gothic" w:cs="Malgun Gothic" w:eastAsia="Malgun Gothic" w:hAnsi="Malgun Gothic"/>
          <w:b/>
          <w:bCs/>
          <w:color w:val="1f5c46"/>
          <w:sz w:val="30"/>
          <w:szCs w:val="30"/>
        </w:rPr>
        <w:t xml:space="preserve">① 지사네 용역 명세서</w:t>
      </w:r>
    </w:p>
    <w:p>
      <w:pPr>
        <w:spacing w:after="110" w:line="30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메커니즘 ② '범위의 오해'를 제거하는 문서. 착수 </w:t>
      </w:r>
      <w:r>
        <w:rPr>
          <w:rFonts w:ascii="Malgun Gothic" w:cs="Malgun Gothic" w:eastAsia="Malgun Gothic" w:hAnsi="Malgun Gothic"/>
          <w:b/>
          <w:bCs/>
          <w:color w:val="1f5c46"/>
          <w:sz w:val="20"/>
          <w:szCs w:val="20"/>
        </w:rPr>
        <w:t xml:space="preserve">전</w:t>
      </w: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에 발주자와 전문가가 함께 확인하고 서명한다. "이건 합니다 / 이건 안 합니다"를 명문화해, 끝나고 "그건 안 했잖아요"가 생길 자리를 없앤다.</w:t>
      </w:r>
    </w:p>
    <w:p>
      <w:pPr>
        <w:pBdr>
          <w:left w:val="single" w:color="1f5c46" w:sz="20" w:space="14"/>
        </w:pBdr>
        <w:shd w:fill="eef3ef" w:val="clear"/>
        <w:spacing w:after="150" w:before="100" w:line="320"/>
        <w:ind w:left="260"/>
      </w:pPr>
      <w:r>
        <w:rPr>
          <w:rFonts w:ascii="Malgun Gothic" w:cs="Malgun Gothic" w:eastAsia="Malgun Gothic" w:hAnsi="Malgun Gothic"/>
          <w:b/>
          <w:bCs/>
          <w:color w:val="1f5c46"/>
          <w:sz w:val="20"/>
          <w:szCs w:val="20"/>
        </w:rPr>
        <w:t xml:space="preserve">작성 원칙 — </w:t>
      </w: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형용사 금지, 동사와 숫자로만. "꼼꼼히 해드립니다"가 아니라 "3회 수정 포함". 모호함이 곧 오해다.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c211d"/>
          <w:sz w:val="23"/>
          <w:szCs w:val="23"/>
        </w:rPr>
        <w:t xml:space="preserve">1. 거래 기본 정보</w:t>
      </w:r>
    </w:p>
    <w:p>
      <w:pPr>
        <w:spacing w:after="90" w:line="320"/>
      </w:pPr>
      <w:r>
        <w:rPr>
          <w:rFonts w:ascii="Malgun Gothic" w:cs="Malgun Gothic" w:eastAsia="Malgun Gothic" w:hAnsi="Malgun Gothic"/>
          <w:b/>
          <w:bCs/>
          <w:color w:val="1c211d"/>
          <w:sz w:val="20"/>
          <w:szCs w:val="20"/>
        </w:rPr>
        <w:t xml:space="preserve">용역명  </w:t>
      </w:r>
      <w:r>
        <w:rPr>
          <w:rFonts w:ascii="Malgun Gothic" w:cs="Malgun Gothic" w:eastAsia="Malgun Gothic" w:hAnsi="Malgun Gothic"/>
          <w:i w:val="false"/>
          <w:iCs w:val="false"/>
          <w:color w:val="c9bfa8"/>
          <w:sz w:val="20"/>
          <w:szCs w:val="20"/>
        </w:rPr>
        <w:t xml:space="preserve">________________________________</w:t>
      </w:r>
    </w:p>
    <w:p>
      <w:pPr>
        <w:spacing w:after="90" w:line="320"/>
      </w:pPr>
      <w:r>
        <w:rPr>
          <w:rFonts w:ascii="Malgun Gothic" w:cs="Malgun Gothic" w:eastAsia="Malgun Gothic" w:hAnsi="Malgun Gothic"/>
          <w:b/>
          <w:bCs/>
          <w:color w:val="1c211d"/>
          <w:sz w:val="20"/>
          <w:szCs w:val="20"/>
        </w:rPr>
        <w:t xml:space="preserve">발주자 (성함/상호)  </w:t>
      </w:r>
      <w:r>
        <w:rPr>
          <w:rFonts w:ascii="Malgun Gothic" w:cs="Malgun Gothic" w:eastAsia="Malgun Gothic" w:hAnsi="Malgun Gothic"/>
          <w:i w:val="false"/>
          <w:iCs w:val="false"/>
          <w:color w:val="c9bfa8"/>
          <w:sz w:val="20"/>
          <w:szCs w:val="20"/>
        </w:rPr>
        <w:t xml:space="preserve">________________________________</w:t>
      </w:r>
    </w:p>
    <w:p>
      <w:pPr>
        <w:spacing w:after="90" w:line="320"/>
      </w:pPr>
      <w:r>
        <w:rPr>
          <w:rFonts w:ascii="Malgun Gothic" w:cs="Malgun Gothic" w:eastAsia="Malgun Gothic" w:hAnsi="Malgun Gothic"/>
          <w:b/>
          <w:bCs/>
          <w:color w:val="1c211d"/>
          <w:sz w:val="20"/>
          <w:szCs w:val="20"/>
        </w:rPr>
        <w:t xml:space="preserve">수행 전문가  </w:t>
      </w:r>
      <w:r>
        <w:rPr>
          <w:rFonts w:ascii="Malgun Gothic" w:cs="Malgun Gothic" w:eastAsia="Malgun Gothic" w:hAnsi="Malgun Gothic"/>
          <w:i w:val="false"/>
          <w:iCs w:val="false"/>
          <w:color w:val="c9bfa8"/>
          <w:sz w:val="20"/>
          <w:szCs w:val="20"/>
        </w:rPr>
        <w:t xml:space="preserve">________________________________</w:t>
      </w:r>
    </w:p>
    <w:p>
      <w:pPr>
        <w:spacing w:after="90" w:line="320"/>
      </w:pPr>
      <w:r>
        <w:rPr>
          <w:rFonts w:ascii="Malgun Gothic" w:cs="Malgun Gothic" w:eastAsia="Malgun Gothic" w:hAnsi="Malgun Gothic"/>
          <w:b/>
          <w:bCs/>
          <w:color w:val="1c211d"/>
          <w:sz w:val="20"/>
          <w:szCs w:val="20"/>
        </w:rPr>
        <w:t xml:space="preserve">계약 체결일  </w:t>
      </w:r>
      <w:r>
        <w:rPr>
          <w:rFonts w:ascii="Malgun Gothic" w:cs="Malgun Gothic" w:eastAsia="Malgun Gothic" w:hAnsi="Malgun Gothic"/>
          <w:i w:val="false"/>
          <w:iCs w:val="false"/>
          <w:color w:val="c9bfa8"/>
          <w:sz w:val="20"/>
          <w:szCs w:val="20"/>
        </w:rPr>
        <w:t xml:space="preserve">________________________________</w:t>
      </w:r>
    </w:p>
    <w:p>
      <w:pPr>
        <w:spacing w:after="90" w:line="320"/>
      </w:pPr>
      <w:r>
        <w:rPr>
          <w:rFonts w:ascii="Malgun Gothic" w:cs="Malgun Gothic" w:eastAsia="Malgun Gothic" w:hAnsi="Malgun Gothic"/>
          <w:b/>
          <w:bCs/>
          <w:color w:val="1c211d"/>
          <w:sz w:val="20"/>
          <w:szCs w:val="20"/>
        </w:rPr>
        <w:t xml:space="preserve">착수일 ~ 완료일  </w:t>
      </w:r>
      <w:r>
        <w:rPr>
          <w:rFonts w:ascii="Malgun Gothic" w:cs="Malgun Gothic" w:eastAsia="Malgun Gothic" w:hAnsi="Malgun Gothic"/>
          <w:i w:val="false"/>
          <w:iCs w:val="false"/>
          <w:color w:val="c9bfa8"/>
          <w:sz w:val="20"/>
          <w:szCs w:val="20"/>
        </w:rPr>
        <w:t xml:space="preserve">________________________________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c211d"/>
          <w:sz w:val="23"/>
          <w:szCs w:val="23"/>
        </w:rPr>
        <w:t xml:space="preserve">2. 업무 범위 — 이건 합니다</w:t>
      </w:r>
    </w:p>
    <w:p>
      <w:pPr>
        <w:spacing w:after="110" w:line="300"/>
      </w:pPr>
      <w:r>
        <w:rPr>
          <w:rFonts w:ascii="Malgun Gothic" w:cs="Malgun Gothic" w:eastAsia="Malgun Gothic" w:hAnsi="Malgun Gothic"/>
          <w:color w:val="6d6a5f"/>
          <w:sz w:val="18"/>
          <w:szCs w:val="18"/>
        </w:rPr>
        <w:t xml:space="preserve">수행할 업무를 동사로 구체적으로 적는다. 산출물·수량·형식을 명시한다.</w:t>
      </w:r>
    </w:p>
    <w:tbl>
      <w:tblPr>
        <w:tblW w:type="dxa" w:w="9704"/>
        <w:tblBorders>
          <w:top w:val="single" w:color="c9bfa8" w:sz="4"/>
          <w:left w:val="single" w:color="c9bfa8" w:sz="4"/>
          <w:bottom w:val="single" w:color="c9bfa8" w:sz="4"/>
          <w:right w:val="single" w:color="c9bfa8" w:sz="4"/>
          <w:insideH w:val="single" w:color="c9bfa8" w:sz="4"/>
          <w:insideV w:val="single" w:color="c9bfa8" w:sz="4"/>
        </w:tblBorders>
      </w:tblPr>
      <w:tblGrid>
        <w:gridCol w:w="560"/>
        <w:gridCol w:w="5100"/>
        <w:gridCol w:w="2044"/>
        <w:gridCol w:w="2000"/>
      </w:tblGrid>
      <w:tr>
        <w:trPr>
          <w:tblHeader/>
        </w:trPr>
        <w:tc>
          <w:tcPr>
            <w:tcW w:type="dxa" w:w="560"/>
            <w:shd w:fill="1f5c4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100"/>
            <w:shd w:fill="1f5c4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수행 업무 (동사로)</w:t>
            </w:r>
          </w:p>
        </w:tc>
        <w:tc>
          <w:tcPr>
            <w:tcW w:type="dxa" w:w="2044"/>
            <w:shd w:fill="1f5c4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산출물/형식</w:t>
            </w:r>
          </w:p>
        </w:tc>
        <w:tc>
          <w:tcPr>
            <w:tcW w:type="dxa" w:w="2000"/>
            <w:shd w:fill="1f5c4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수량·횟수</w:t>
            </w:r>
          </w:p>
        </w:tc>
      </w:tr>
      <w:tr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1f5c46"/>
                <w:sz w:val="18"/>
                <w:szCs w:val="18"/>
              </w:rPr>
              <w:t xml:space="preserve">1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 </w:t>
            </w:r>
          </w:p>
        </w:tc>
        <w:tc>
          <w:tcPr>
            <w:tcW w:type="dxa" w:w="20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60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1f5c46"/>
                <w:sz w:val="18"/>
                <w:szCs w:val="18"/>
              </w:rPr>
              <w:t xml:space="preserve">2</w:t>
            </w:r>
          </w:p>
        </w:tc>
        <w:tc>
          <w:tcPr>
            <w:tcW w:type="dxa" w:w="5100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 </w:t>
            </w:r>
          </w:p>
        </w:tc>
        <w:tc>
          <w:tcPr>
            <w:tcW w:type="dxa" w:w="2044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1f5c46"/>
                <w:sz w:val="18"/>
                <w:szCs w:val="18"/>
              </w:rPr>
              <w:t xml:space="preserve">3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 </w:t>
            </w:r>
          </w:p>
        </w:tc>
        <w:tc>
          <w:tcPr>
            <w:tcW w:type="dxa" w:w="20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60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1f5c46"/>
                <w:sz w:val="18"/>
                <w:szCs w:val="18"/>
              </w:rPr>
              <w:t xml:space="preserve">4</w:t>
            </w:r>
          </w:p>
        </w:tc>
        <w:tc>
          <w:tcPr>
            <w:tcW w:type="dxa" w:w="5100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 </w:t>
            </w:r>
          </w:p>
        </w:tc>
        <w:tc>
          <w:tcPr>
            <w:tcW w:type="dxa" w:w="2044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c211d"/>
          <w:sz w:val="23"/>
          <w:szCs w:val="23"/>
        </w:rPr>
        <w:t xml:space="preserve">3. 제외 범위 — 이건 안 합니다</w:t>
      </w:r>
    </w:p>
    <w:p>
      <w:pPr>
        <w:spacing w:after="110" w:line="300"/>
      </w:pPr>
      <w:r>
        <w:rPr>
          <w:rFonts w:ascii="Malgun Gothic" w:cs="Malgun Gothic" w:eastAsia="Malgun Gothic" w:hAnsi="Malgun Gothic"/>
          <w:color w:val="6d6a5f"/>
          <w:sz w:val="18"/>
          <w:szCs w:val="18"/>
        </w:rPr>
        <w:t xml:space="preserve">가장 중요한 칸이다. 오해의 90%는 '해줄 줄 알았는데'에서 나온다. 포함되지 않는 것을 미리 못 박는다.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(예) 인쇄·출력물 제작은 포함되지 않음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(예) 완료 후 30일 경과 시 추가 수정은 별도 계약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(예) 제3자 저작권·라이선스 비용은 발주자 부담</w:t>
      </w:r>
    </w:p>
    <w:p>
      <w:pPr>
        <w:spacing w:after="90" w:line="320"/>
      </w:pPr>
      <w:r>
        <w:rPr>
          <w:rFonts w:ascii="Malgun Gothic" w:cs="Malgun Gothic" w:eastAsia="Malgun Gothic" w:hAnsi="Malgun Gothic"/>
          <w:b/>
          <w:bCs/>
          <w:color w:val="1c211d"/>
          <w:sz w:val="20"/>
          <w:szCs w:val="20"/>
        </w:rPr>
        <w:t xml:space="preserve">추가 제외 항목  </w:t>
      </w:r>
      <w:r>
        <w:rPr>
          <w:rFonts w:ascii="Malgun Gothic" w:cs="Malgun Gothic" w:eastAsia="Malgun Gothic" w:hAnsi="Malgun Gothic"/>
          <w:i w:val="false"/>
          <w:iCs w:val="false"/>
          <w:color w:val="c9bfa8"/>
          <w:sz w:val="20"/>
          <w:szCs w:val="20"/>
        </w:rPr>
        <w:t xml:space="preserve">________________________________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c211d"/>
          <w:sz w:val="23"/>
          <w:szCs w:val="23"/>
        </w:rPr>
        <w:t xml:space="preserve">4. 수정·검수 조건</w:t>
      </w:r>
    </w:p>
    <w:tbl>
      <w:tblPr>
        <w:tblW w:type="dxa" w:w="9704"/>
        <w:tblBorders>
          <w:top w:val="single" w:color="c9bfa8" w:sz="4"/>
          <w:left w:val="single" w:color="c9bfa8" w:sz="4"/>
          <w:bottom w:val="single" w:color="c9bfa8" w:sz="4"/>
          <w:right w:val="single" w:color="c9bfa8" w:sz="4"/>
          <w:insideH w:val="single" w:color="c9bfa8" w:sz="4"/>
          <w:insideV w:val="single" w:color="c9bfa8" w:sz="4"/>
        </w:tblBorders>
      </w:tblPr>
      <w:tblGrid>
        <w:gridCol w:w="3400"/>
        <w:gridCol w:w="6304"/>
      </w:tblGrid>
      <w:tr>
        <w:tc>
          <w:tcPr>
            <w:tcW w:type="dxa" w:w="3400"/>
            <w:shd w:fill="1f5c4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04"/>
            <w:shd w:fill="1f5c4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W w:type="dxa" w:w="3400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무료 수정 횟수</w:t>
            </w:r>
          </w:p>
        </w:tc>
        <w:tc>
          <w:tcPr>
            <w:tcW w:type="dxa" w:w="63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______ 회 (초과 시 회당 ______ 원)</w:t>
            </w:r>
          </w:p>
        </w:tc>
      </w:tr>
      <w:tr>
        <w:tc>
          <w:tcPr>
            <w:tcW w:type="dxa" w:w="3400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검수 기간</w:t>
            </w:r>
          </w:p>
        </w:tc>
        <w:tc>
          <w:tcPr>
            <w:tcW w:type="dxa" w:w="63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산출물 전달 후 ______ 일 이내</w:t>
            </w:r>
          </w:p>
        </w:tc>
      </w:tr>
      <w:tr>
        <w:tc>
          <w:tcPr>
            <w:tcW w:type="dxa" w:w="3400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검수 방법</w:t>
            </w:r>
          </w:p>
        </w:tc>
        <w:tc>
          <w:tcPr>
            <w:tcW w:type="dxa" w:w="63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______ (예: 카카오·이메일 확인)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c211d"/>
          <w:sz w:val="23"/>
          <w:szCs w:val="23"/>
        </w:rPr>
        <w:t xml:space="preserve">5. 대금 및 지급 (에스크로)</w:t>
      </w:r>
    </w:p>
    <w:p>
      <w:pPr>
        <w:spacing w:after="90" w:line="320"/>
      </w:pPr>
      <w:r>
        <w:rPr>
          <w:rFonts w:ascii="Malgun Gothic" w:cs="Malgun Gothic" w:eastAsia="Malgun Gothic" w:hAnsi="Malgun Gothic"/>
          <w:b/>
          <w:bCs/>
          <w:color w:val="1c211d"/>
          <w:sz w:val="20"/>
          <w:szCs w:val="20"/>
        </w:rPr>
        <w:t xml:space="preserve">총 용역 대금  </w:t>
      </w:r>
      <w:r>
        <w:rPr>
          <w:rFonts w:ascii="Malgun Gothic" w:cs="Malgun Gothic" w:eastAsia="Malgun Gothic" w:hAnsi="Malgun Gothic"/>
          <w:i w:val="false"/>
          <w:iCs w:val="false"/>
          <w:color w:val="c9bfa8"/>
          <w:sz w:val="20"/>
          <w:szCs w:val="20"/>
        </w:rPr>
        <w:t xml:space="preserve">________________________________</w:t>
      </w:r>
    </w:p>
    <w:p>
      <w:pPr>
        <w:spacing w:after="90" w:line="320"/>
      </w:pPr>
      <w:r>
        <w:rPr>
          <w:rFonts w:ascii="Malgun Gothic" w:cs="Malgun Gothic" w:eastAsia="Malgun Gothic" w:hAnsi="Malgun Gothic"/>
          <w:b/>
          <w:bCs/>
          <w:color w:val="1c211d"/>
          <w:sz w:val="20"/>
          <w:szCs w:val="20"/>
        </w:rPr>
        <w:t xml:space="preserve">지사네 중개 수수료율  </w:t>
      </w:r>
      <w:r>
        <w:rPr>
          <w:rFonts w:ascii="Malgun Gothic" w:cs="Malgun Gothic" w:eastAsia="Malgun Gothic" w:hAnsi="Malgun Gothic"/>
          <w:i/>
          <w:iCs/>
          <w:color w:val="6d6a5f"/>
          <w:sz w:val="20"/>
          <w:szCs w:val="20"/>
        </w:rPr>
        <w:t xml:space="preserve">[7단계 등급표 기준 · 공개]</w:t>
      </w:r>
    </w:p>
    <w:p>
      <w:pPr>
        <w:spacing w:after="110" w:line="30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대금은 </w:t>
      </w:r>
      <w:r>
        <w:rPr>
          <w:rFonts w:ascii="Malgun Gothic" w:cs="Malgun Gothic" w:eastAsia="Malgun Gothic" w:hAnsi="Malgun Gothic"/>
          <w:b/>
          <w:bCs/>
          <w:color w:val="1f5c46"/>
          <w:sz w:val="20"/>
          <w:szCs w:val="20"/>
        </w:rPr>
        <w:t xml:space="preserve">토스페이먼츠 에스크로</w:t>
      </w: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에 보관되며, 발주자의 검수 완료 확인 후 전문가에게 지급된다. 착수 전 예치 → 완료 확인 → 지급.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c211d"/>
          <w:sz w:val="23"/>
          <w:szCs w:val="23"/>
        </w:rPr>
        <w:t xml:space="preserve">6. 서명</w:t>
      </w:r>
    </w:p>
    <w:p>
      <w:pPr>
        <w:spacing w:after="110" w:line="300"/>
      </w:pPr>
      <w:r>
        <w:rPr>
          <w:rFonts w:ascii="Malgun Gothic" w:cs="Malgun Gothic" w:eastAsia="Malgun Gothic" w:hAnsi="Malgun Gothic"/>
          <w:color w:val="6d6a5f"/>
          <w:sz w:val="18"/>
          <w:szCs w:val="18"/>
        </w:rPr>
        <w:t xml:space="preserve">아래 서명으로 위 범위에 상호 동의한다. 이 문서에 없는 업무는 본 계약의 범위가 아니다.</w:t>
      </w:r>
    </w:p>
    <w:tbl>
      <w:tblPr>
        <w:tblW w:type="dxa" w:w="9704"/>
        <w:tblBorders>
          <w:top w:val="single" w:color="c9bfa8" w:sz="4"/>
          <w:left w:val="single" w:color="c9bfa8" w:sz="4"/>
          <w:bottom w:val="single" w:color="c9bfa8" w:sz="4"/>
          <w:right w:val="single" w:color="c9bfa8" w:sz="4"/>
          <w:insideH w:val="single" w:color="c9bfa8" w:sz="4"/>
          <w:insideV w:val="single" w:color="c9bfa8" w:sz="4"/>
        </w:tblBorders>
      </w:tblPr>
      <w:tblGrid>
        <w:gridCol w:w="4852"/>
        <w:gridCol w:w="4852"/>
      </w:tblGrid>
      <w:tr>
        <w:tc>
          <w:tcPr>
            <w:tcW w:type="dxa" w:w="485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발주자 성명: ________  (서명)</w:t>
            </w:r>
          </w:p>
        </w:tc>
        <w:tc>
          <w:tcPr>
            <w:tcW w:type="dxa" w:w="485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전문가 성명: ________  (서명)</w:t>
            </w:r>
          </w:p>
        </w:tc>
      </w:tr>
      <w:tr>
        <w:tc>
          <w:tcPr>
            <w:tcW w:type="dxa" w:w="485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일자: ____ . ____ . ____</w:t>
            </w:r>
          </w:p>
        </w:tc>
        <w:tc>
          <w:tcPr>
            <w:tcW w:type="dxa" w:w="485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일자: ____ . ____ . ____</w:t>
            </w:r>
          </w:p>
        </w:tc>
      </w:tr>
    </w:tbl>
    <w:p>
      <w:r>
        <w:br w:type="page"/>
      </w:r>
    </w:p>
    <w:p>
      <w:pPr>
        <w:pStyle w:val="Heading1"/>
        <w:spacing w:after="130" w:before="320"/>
      </w:pPr>
      <w:r>
        <w:rPr>
          <w:rFonts w:ascii="Malgun Gothic" w:cs="Malgun Gothic" w:eastAsia="Malgun Gothic" w:hAnsi="Malgun Gothic"/>
          <w:b/>
          <w:bCs/>
          <w:color w:val="1f5c46"/>
          <w:sz w:val="30"/>
          <w:szCs w:val="30"/>
        </w:rPr>
        <w:t xml:space="preserve">② 지사네 책임 적립금 운영 규정</w:t>
      </w:r>
    </w:p>
    <w:p>
      <w:pPr>
        <w:spacing w:after="110" w:line="30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메커니즘 ⑤ '복구의 오해'를 제거하는 규정. 문제가 생겼을 때 </w:t>
      </w:r>
      <w:r>
        <w:rPr>
          <w:rFonts w:ascii="Malgun Gothic" w:cs="Malgun Gothic" w:eastAsia="Malgun Gothic" w:hAnsi="Malgun Gothic"/>
          <w:b/>
          <w:bCs/>
          <w:color w:val="1f5c46"/>
          <w:sz w:val="20"/>
          <w:szCs w:val="20"/>
        </w:rPr>
        <w:t xml:space="preserve">고객이 항의하기 전에 지사네가 먼저 보전</w:t>
      </w: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하는 구조를 명문화한다. 외부 보험이 아니라 지사네가 직접 쌓아 직접 책임지는 내부 준비금이다.</w:t>
      </w:r>
    </w:p>
    <w:p>
      <w:pPr>
        <w:pBdr>
          <w:left w:val="single" w:color="1f5c46" w:sz="20" w:space="14"/>
        </w:pBdr>
        <w:shd w:fill="eef3ef" w:val="clear"/>
        <w:spacing w:after="150" w:before="100" w:line="320"/>
        <w:ind w:left="260"/>
      </w:pPr>
      <w:r>
        <w:rPr>
          <w:rFonts w:ascii="Malgun Gothic" w:cs="Malgun Gothic" w:eastAsia="Malgun Gothic" w:hAnsi="Malgun Gothic"/>
          <w:b/>
          <w:bCs/>
          <w:color w:val="1f5c46"/>
          <w:sz w:val="20"/>
          <w:szCs w:val="20"/>
        </w:rPr>
        <w:t xml:space="preserve">핵심 성격 — </w:t>
      </w: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이것은 '믿어주세요'라는 말이 아니라, 믿을 수 있는 </w:t>
      </w:r>
      <w:r>
        <w:rPr>
          <w:rFonts w:ascii="Malgun Gothic" w:cs="Malgun Gothic" w:eastAsia="Malgun Gothic" w:hAnsi="Malgun Gothic"/>
          <w:b/>
          <w:bCs/>
          <w:color w:val="1c211d"/>
          <w:sz w:val="20"/>
          <w:szCs w:val="20"/>
        </w:rPr>
        <w:t xml:space="preserve">구조</w:t>
      </w: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다. 사기꾼은 틀려도 인정하지 않는다. 지사네를 그들과 가르는 결정적 선이 이 규정이다.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c211d"/>
          <w:sz w:val="23"/>
          <w:szCs w:val="23"/>
        </w:rPr>
        <w:t xml:space="preserve">제1조 (목적)</w:t>
      </w:r>
    </w:p>
    <w:p>
      <w:pPr>
        <w:spacing w:after="110" w:line="30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본 규정은 지사네를 통한 용역 거래에서 발생할 수 있는 손해를, 지사네가 자체 적립한 준비금으로 신속히 보전하기 위한 기준과 절차를 정함을 목적으로 한다.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c211d"/>
          <w:sz w:val="23"/>
          <w:szCs w:val="23"/>
        </w:rPr>
        <w:t xml:space="preserve">제2조 (적립 방식)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지사네는 각 거래의 중개 수수료 중 일정 비율(______%)을 책임 적립금으로 적립한다.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적립금은 지사네 운영 자금과 분리된 별도 계정으로 관리한다.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적립금 잔액은 분기별로 커뮤니티에 공개한다. (투명성 원칙)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c211d"/>
          <w:sz w:val="23"/>
          <w:szCs w:val="23"/>
        </w:rPr>
        <w:t xml:space="preserve">제3조 (보전 대상)</w:t>
      </w:r>
    </w:p>
    <w:p>
      <w:pPr>
        <w:spacing w:after="110" w:line="300"/>
      </w:pPr>
      <w:r>
        <w:rPr>
          <w:rFonts w:ascii="Malgun Gothic" w:cs="Malgun Gothic" w:eastAsia="Malgun Gothic" w:hAnsi="Malgun Gothic"/>
          <w:color w:val="6d6a5f"/>
          <w:sz w:val="18"/>
          <w:szCs w:val="18"/>
        </w:rPr>
        <w:t xml:space="preserve">다음의 경우 적립금에서 우선 보전한다.</w:t>
      </w:r>
    </w:p>
    <w:tbl>
      <w:tblPr>
        <w:tblW w:type="dxa" w:w="9704"/>
        <w:tblBorders>
          <w:top w:val="single" w:color="c9bfa8" w:sz="4"/>
          <w:left w:val="single" w:color="c9bfa8" w:sz="4"/>
          <w:bottom w:val="single" w:color="c9bfa8" w:sz="4"/>
          <w:right w:val="single" w:color="c9bfa8" w:sz="4"/>
          <w:insideH w:val="single" w:color="c9bfa8" w:sz="4"/>
          <w:insideV w:val="single" w:color="c9bfa8" w:sz="4"/>
        </w:tblBorders>
      </w:tblPr>
      <w:tblGrid>
        <w:gridCol w:w="600"/>
        <w:gridCol w:w="5504"/>
        <w:gridCol w:w="3600"/>
      </w:tblGrid>
      <w:tr>
        <w:trPr>
          <w:tblHeader/>
        </w:trPr>
        <w:tc>
          <w:tcPr>
            <w:tcW w:type="dxa" w:w="600"/>
            <w:shd w:fill="1f5c4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4"/>
            <w:shd w:fill="1f5c4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보전 대상 상황</w:t>
            </w:r>
          </w:p>
        </w:tc>
        <w:tc>
          <w:tcPr>
            <w:tcW w:type="dxa" w:w="3600"/>
            <w:shd w:fill="1f5c4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보전 한도(예시)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1f5c46"/>
                <w:sz w:val="18"/>
                <w:szCs w:val="18"/>
              </w:rPr>
              <w:t xml:space="preserve">1</w:t>
            </w:r>
          </w:p>
        </w:tc>
        <w:tc>
          <w:tcPr>
            <w:tcW w:type="dxa" w:w="55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전문가가 명세서 범위를 이행했으나 결과에 하자가 있는 경우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d6a5f"/>
                <w:sz w:val="18"/>
                <w:szCs w:val="18"/>
              </w:rPr>
              <w:t xml:space="preserve">대금의 ______% 한도</w:t>
            </w:r>
          </w:p>
        </w:tc>
      </w:tr>
      <w:tr>
        <w:tc>
          <w:tcPr>
            <w:tcW w:type="dxa" w:w="600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1f5c46"/>
                <w:sz w:val="18"/>
                <w:szCs w:val="18"/>
              </w:rPr>
              <w:t xml:space="preserve">2</w:t>
            </w:r>
          </w:p>
        </w:tc>
        <w:tc>
          <w:tcPr>
            <w:tcW w:type="dxa" w:w="5504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전문가 사정으로 용역이 중단된 경우</w:t>
            </w:r>
          </w:p>
        </w:tc>
        <w:tc>
          <w:tcPr>
            <w:tcW w:type="dxa" w:w="3600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d6a5f"/>
                <w:sz w:val="18"/>
                <w:szCs w:val="18"/>
              </w:rPr>
              <w:t xml:space="preserve">예치 대금 환급 + 재매칭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1f5c46"/>
                <w:sz w:val="18"/>
                <w:szCs w:val="18"/>
              </w:rPr>
              <w:t xml:space="preserve">3</w:t>
            </w:r>
          </w:p>
        </w:tc>
        <w:tc>
          <w:tcPr>
            <w:tcW w:type="dxa" w:w="55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검수 분쟁으로 대금 지급이 지연되는 경우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d6a5f"/>
                <w:sz w:val="18"/>
                <w:szCs w:val="18"/>
              </w:rPr>
              <w:t xml:space="preserve">분쟁 조정 기간 대금 보관</w:t>
            </w:r>
          </w:p>
        </w:tc>
      </w:tr>
      <w:tr>
        <w:tc>
          <w:tcPr>
            <w:tcW w:type="dxa" w:w="600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color w:val="1f5c46"/>
                <w:sz w:val="18"/>
                <w:szCs w:val="18"/>
              </w:rPr>
              <w:t xml:space="preserve">4</w:t>
            </w:r>
          </w:p>
        </w:tc>
        <w:tc>
          <w:tcPr>
            <w:tcW w:type="dxa" w:w="5504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c211d"/>
                <w:sz w:val="18"/>
                <w:szCs w:val="18"/>
              </w:rPr>
              <w:t xml:space="preserve">기타 지사네가 중개 책임을 인정하는 경우</w:t>
            </w:r>
          </w:p>
        </w:tc>
        <w:tc>
          <w:tcPr>
            <w:tcW w:type="dxa" w:w="3600"/>
            <w:shd w:fill="eef3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d6a5f"/>
                <w:sz w:val="18"/>
                <w:szCs w:val="18"/>
              </w:rPr>
              <w:t xml:space="preserve">건별 심사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c211d"/>
          <w:sz w:val="23"/>
          <w:szCs w:val="23"/>
        </w:rPr>
        <w:t xml:space="preserve">제4조 (선제 보전 원칙 — 핵심)</w:t>
      </w:r>
    </w:p>
    <w:p>
      <w:pPr>
        <w:pBdr>
          <w:left w:val="single" w:color="1f5c46" w:sz="20" w:space="14"/>
        </w:pBdr>
        <w:shd w:fill="eef3ef" w:val="clear"/>
        <w:spacing w:after="150" w:before="100" w:line="320"/>
        <w:ind w:left="26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지사네는 고객의 정식 항의 접수 여부와 무관하게, 하자·중단 정황을 인지하는 즉시 발주자에게 먼저 통지하고 보전 절차를 개시한다. </w:t>
      </w:r>
      <w:r>
        <w:rPr>
          <w:rFonts w:ascii="Malgun Gothic" w:cs="Malgun Gothic" w:eastAsia="Malgun Gothic" w:hAnsi="Malgun Gothic"/>
          <w:b/>
          <w:bCs/>
          <w:color w:val="1f5c46"/>
          <w:sz w:val="20"/>
          <w:szCs w:val="20"/>
        </w:rPr>
        <w:t xml:space="preserve">먼저 알리고, 먼저 처리한다.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c211d"/>
          <w:sz w:val="23"/>
          <w:szCs w:val="23"/>
        </w:rPr>
        <w:t xml:space="preserve">제5조 (보전 절차)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정황 인지 (지사네 모니터링 또는 당사자 신고)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48시간 내 양 당사자에게 통지 및 사실 확인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보전 여부·한도 심사 (제3조 기준)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적립금에서 보전 집행 및 결과 통지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보전 내역 기록 및 분기 공개 반영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c211d"/>
          <w:sz w:val="23"/>
          <w:szCs w:val="23"/>
        </w:rPr>
        <w:t xml:space="preserve">제6조 (한계 및 제외)</w:t>
      </w:r>
    </w:p>
    <w:p>
      <w:pPr>
        <w:spacing w:after="110" w:line="300"/>
      </w:pPr>
      <w:r>
        <w:rPr>
          <w:rFonts w:ascii="Malgun Gothic" w:cs="Malgun Gothic" w:eastAsia="Malgun Gothic" w:hAnsi="Malgun Gothic"/>
          <w:color w:val="6d6a5f"/>
          <w:sz w:val="18"/>
          <w:szCs w:val="18"/>
        </w:rPr>
        <w:t xml:space="preserve">본 적립금은 무한 배상 보험이 아니다. 다음은 보전 대상에서 제외한다.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발주자가 명세서 범위 외 결과를 요구하며 발생한 분쟁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천재지변·불가항력에 의한 손해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당사자 간 지사네 외부에서 이루어진 별도 합의로 인한 손해</w:t>
      </w:r>
    </w:p>
    <w:p>
      <w:pPr>
        <w:spacing w:after="110" w:line="300"/>
      </w:pPr>
      <w:r>
        <w:rPr>
          <w:rFonts w:ascii="Malgun Gothic" w:cs="Malgun Gothic" w:eastAsia="Malgun Gothic" w:hAnsi="Malgun Gothic"/>
          <w:color w:val="6d6a5f"/>
          <w:sz w:val="18"/>
          <w:szCs w:val="18"/>
        </w:rPr>
        <w:t xml:space="preserve">적립금 잔액을 초과하는 손해는 별도 협의하며, 지사네는 재매칭·조정 등 비금전적 복구를 함께 제공한다.</w:t>
      </w:r>
    </w:p>
    <w:p>
      <w:pPr>
        <w:pBdr>
          <w:bottom w:val="single" w:color="c9bfa8" w:sz="6" w:space="1"/>
        </w:pBdr>
        <w:spacing w:after="150" w:before="60"/>
      </w:pPr>
      <w:r>
        <w:t xml:space="preserve"/>
      </w:r>
    </w:p>
    <w:p>
      <w:pPr>
        <w:pBdr>
          <w:left w:val="single" w:color="1f5c46" w:sz="20" w:space="14"/>
        </w:pBdr>
        <w:shd w:fill="eef3ef" w:val="clear"/>
        <w:spacing w:after="150" w:before="100" w:line="320"/>
        <w:ind w:left="260"/>
      </w:pPr>
      <w:r>
        <w:rPr>
          <w:rFonts w:ascii="Malgun Gothic" w:cs="Malgun Gothic" w:eastAsia="Malgun Gothic" w:hAnsi="Malgun Gothic"/>
          <w:b/>
          <w:bCs/>
          <w:color w:val="1f5c46"/>
          <w:sz w:val="20"/>
          <w:szCs w:val="20"/>
        </w:rPr>
        <w:t xml:space="preserve">한 줄 원칙 — </w:t>
      </w:r>
      <w:r>
        <w:rPr>
          <w:rFonts w:ascii="Malgun Gothic" w:cs="Malgun Gothic" w:eastAsia="Malgun Gothic" w:hAnsi="Malgun Gothic"/>
          <w:color w:val="1c211d"/>
          <w:sz w:val="20"/>
          <w:szCs w:val="20"/>
        </w:rPr>
        <w:t xml:space="preserve">범위는 착수 전에 못 박고(②), 복구는 항의 전에 먼저 움직인다(⑤). 이 두 문서가 지사네 공개 원장의 약속을 실물로 지탱한다.</w:t>
      </w:r>
    </w:p>
    <w:p>
      <w:pPr>
        <w:spacing w:before="180"/>
        <w:jc w:val="right"/>
      </w:pPr>
      <w:r>
        <w:rPr>
          <w:rFonts w:ascii="Malgun Gothic" w:cs="Malgun Gothic" w:eastAsia="Malgun Gothic" w:hAnsi="Malgun Gothic"/>
          <w:i/>
          <w:iCs/>
          <w:color w:val="6d6a5f"/>
          <w:sz w:val="15"/>
          <w:szCs w:val="15"/>
        </w:rPr>
        <w:t xml:space="preserve">지사네 · Enterlabs · 경험 × AI = 증폭 · 초안 v1.0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3c876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c211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2026-07-10T07:27:29.705Z</dcterms:created>
  <dcterms:modified xsi:type="dcterms:W3CDTF">2026-07-10T07:27:29.726Z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