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line="360" w:lineRule="auto"/>
        <w:jc w:val="center"/>
      </w:pPr>
      <w:r>
        <w:rPr>
          <w:rFonts w:ascii="Times New Roman" w:eastAsia="黑体" w:hAnsi="Times New Roman"/>
          <w:b/>
          <w:i w:val="0"/>
          <w:sz w:val="32"/>
        </w:rPr>
        <w:t>面向人类原创理论沉淀与重要记忆保真的分片式记忆架构</w:t>
      </w:r>
    </w:p>
    <w:p>
      <w:pPr>
        <w:spacing w:before="0" w:after="240" w:line="360" w:lineRule="auto"/>
        <w:jc w:val="center"/>
      </w:pPr>
      <w:r>
        <w:rPr>
          <w:rFonts w:ascii="Times New Roman" w:eastAsia="黑体" w:hAnsi="Times New Roman"/>
          <w:b w:val="0"/>
          <w:i w:val="0"/>
          <w:sz w:val="24"/>
        </w:rPr>
        <w:t>——基于人在回路核验闸门缓解大模型长周期对话概念漂移</w:t>
      </w:r>
    </w:p>
    <w:p>
      <w:pPr>
        <w:spacing w:before="0" w:after="120" w:line="288" w:lineRule="auto"/>
        <w:jc w:val="both"/>
      </w:pPr>
      <w:r>
        <w:rPr>
          <w:rFonts w:ascii="Times New Roman" w:eastAsia="宋体" w:hAnsi="Times New Roman"/>
          <w:b/>
          <w:i w:val="0"/>
          <w:sz w:val="21"/>
        </w:rPr>
        <w:t>摘要：</w:t>
      </w:r>
      <w:r>
        <w:rPr>
          <w:rFonts w:ascii="Times New Roman" w:eastAsia="宋体" w:hAnsi="Times New Roman"/>
          <w:b w:val="0"/>
          <w:i w:val="0"/>
          <w:sz w:val="21"/>
        </w:rPr>
        <w:t>在大语言模型长周期连续对话场景下，当用户持续迭代原创假说、构建自定义理论体系、维护长篇创作设定或保存高优先级长期记忆时，现有主流记忆实现方案，包括超长上下文拼接、全自动向量记忆智能体、会话自动压缩机制，普遍存在概念释义漂移、算力-存储成本持续扩张、无法区分临时会话片段与定型核心知识三类关键缺陷。本文提出一种人在回路驱动的分片式记忆架构：记忆资源划分为基准公理库、交互碎片库、冲突与版本日志三类相互隔离的存储单元；设置强制核验-校准闸门，模型仅承担知识初稿归纳任务，核心定义必须经由使用者确认或校准后方可作为公理生效；归纳触发以用户显式操作为主路径；支持将存疑内容分流至相互隔离的并行探索分支；采用话题触发式按需加载策略；引入公理引用机制，实现对三类典型概念漂移的机械化审计。该架构定位为可配置的通用工作模式记忆层，适用于一切记忆错误将产生实际后果的场景，涵盖原创理论打磨、长篇文学创作中的多角色设定管理、个体用户长期关系与目标记忆维护等，并确立核心判定准则：记忆的对齐基准为用户自身记忆状态，而非原始会话记录；已被用户遗忘且不予追认的完整会话记录属于归档档案，不构成有效记忆。本文属于架构设计与原型方案研究，第六章实验方案尚未开展实证检验，同时提供开源原型落地路径。</w:t>
      </w:r>
    </w:p>
    <w:p>
      <w:pPr>
        <w:spacing w:before="0" w:after="240" w:line="288" w:lineRule="auto"/>
        <w:jc w:val="left"/>
      </w:pPr>
      <w:r>
        <w:rPr>
          <w:rFonts w:ascii="Times New Roman" w:eastAsia="宋体" w:hAnsi="Times New Roman"/>
          <w:b/>
          <w:i w:val="0"/>
          <w:sz w:val="21"/>
        </w:rPr>
        <w:t>关键词：</w:t>
      </w:r>
      <w:r>
        <w:rPr>
          <w:rFonts w:ascii="Times New Roman" w:eastAsia="宋体" w:hAnsi="Times New Roman"/>
          <w:b w:val="0"/>
          <w:i w:val="0"/>
          <w:sz w:val="21"/>
        </w:rPr>
        <w:t>大语言模型；智能体记忆；人在回路；核验校准；概念漂移；公理引用制；知识归档；长对话；用户主权</w:t>
      </w:r>
    </w:p>
    <w:p>
      <w:pPr>
        <w:spacing w:before="240" w:after="120" w:line="360" w:lineRule="auto"/>
        <w:jc w:val="center"/>
      </w:pPr>
      <w:r>
        <w:rPr>
          <w:rFonts w:ascii="Times New Roman" w:eastAsia="黑体" w:hAnsi="Times New Roman"/>
          <w:b/>
          <w:i w:val="0"/>
          <w:sz w:val="28"/>
        </w:rPr>
        <w:t>1  引言</w:t>
      </w:r>
    </w:p>
    <w:p>
      <w:pPr>
        <w:spacing w:before="0" w:after="0" w:line="360" w:lineRule="auto"/>
        <w:jc w:val="both"/>
      </w:pPr>
      <w:r>
        <w:rPr>
          <w:rFonts w:ascii="Times New Roman" w:eastAsia="宋体" w:hAnsi="Times New Roman"/>
          <w:b w:val="0"/>
          <w:i w:val="0"/>
          <w:sz w:val="21"/>
        </w:rPr>
        <w:t>大语言模型已广泛应用于连续性思考辅助与长期陪伴式交互任务。此类场景要求模型能够跨多轮会话稳定留存用户自定义的公理、约束条件、核心概念、关键事实与关系，保障后续交互过程不曲解原始设定。</w:t>
      </w:r>
    </w:p>
    <w:p>
      <w:pPr>
        <w:spacing w:before="0" w:after="0" w:line="360" w:lineRule="auto"/>
        <w:jc w:val="both"/>
      </w:pPr>
      <w:r>
        <w:rPr>
          <w:rFonts w:ascii="Times New Roman" w:eastAsia="宋体" w:hAnsi="Times New Roman"/>
          <w:b w:val="0"/>
          <w:i w:val="0"/>
          <w:sz w:val="21"/>
        </w:rPr>
        <w:t>现有主流记忆技术在上述应用场景中暴露出四类现实局限：</w:t>
      </w:r>
    </w:p>
    <w:p>
      <w:pPr>
        <w:spacing w:before="0" w:after="0" w:line="360" w:lineRule="auto"/>
        <w:jc w:val="both"/>
      </w:pPr>
      <w:r>
        <w:rPr>
          <w:rFonts w:ascii="Times New Roman" w:eastAsia="宋体" w:hAnsi="Times New Roman"/>
          <w:b w:val="0"/>
          <w:i w:val="0"/>
          <w:sz w:val="21"/>
        </w:rPr>
        <w:t>（1）长上下文拼接。随交互轮次累积，Token资源消耗快速增长，同时受上下文窗口容量约束，关键信息易被弱化甚至遗忘。</w:t>
      </w:r>
    </w:p>
    <w:p>
      <w:pPr>
        <w:spacing w:before="0" w:after="0" w:line="360" w:lineRule="auto"/>
        <w:jc w:val="both"/>
      </w:pPr>
      <w:r>
        <w:rPr>
          <w:rFonts w:ascii="Times New Roman" w:eastAsia="宋体" w:hAnsi="Times New Roman"/>
          <w:b w:val="0"/>
          <w:i w:val="0"/>
          <w:sz w:val="21"/>
        </w:rPr>
        <w:t>（2）全自动记忆智能体。由模型自主完成文本切片、摘要生成与向量入库流程，缺乏用户主观价值判别能力，难以区分临时性想法与经过迭代固化的定型理论；旧版本知识无法自动失效，检索阶段存在召回废弃假说的风险。</w:t>
      </w:r>
    </w:p>
    <w:p>
      <w:pPr>
        <w:spacing w:before="0" w:after="0" w:line="360" w:lineRule="auto"/>
        <w:jc w:val="both"/>
      </w:pPr>
      <w:r>
        <w:rPr>
          <w:rFonts w:ascii="Times New Roman" w:eastAsia="宋体" w:hAnsi="Times New Roman"/>
          <w:b w:val="0"/>
          <w:i w:val="0"/>
          <w:sz w:val="21"/>
        </w:rPr>
        <w:t>（3）会话自动压缩。该机制以文本长度缩减为直接目标，不对语义价值进行判别。压缩操作天然存在语义损耗，算法倾向保留高频模式，舍弃统计样本中的孤立案例，而用户原创思想多属于此类孤例，在自动压缩流程中面临较高信息丢失风险。同时压缩属于未经用户授权的语义编辑行为，被丢弃内容缺少版本溯源，用户无法获知原始信息的存在。</w:t>
      </w:r>
    </w:p>
    <w:p>
      <w:pPr>
        <w:spacing w:before="0" w:after="0" w:line="360" w:lineRule="auto"/>
        <w:jc w:val="both"/>
      </w:pPr>
      <w:r>
        <w:rPr>
          <w:rFonts w:ascii="Times New Roman" w:eastAsia="宋体" w:hAnsi="Times New Roman"/>
          <w:b w:val="0"/>
          <w:i w:val="0"/>
          <w:sz w:val="21"/>
        </w:rPr>
        <w:t>（4）全量永久留存带来工程代价与语义失效。原始文本、向量嵌入与多副本备份随时间线性膨胀；更为本质的问题在于，全量存储的会话内容中大部分已被用户遗忘。检索返回用户不予认可的记忆片段，其负面影响高于记忆缺失。</w:t>
      </w:r>
    </w:p>
    <w:p>
      <w:pPr>
        <w:spacing w:before="160" w:after="80" w:line="360" w:lineRule="auto"/>
        <w:jc w:val="left"/>
      </w:pPr>
      <w:r>
        <w:rPr>
          <w:rFonts w:ascii="Times New Roman" w:eastAsia="黑体" w:hAnsi="Times New Roman"/>
          <w:b/>
          <w:i w:val="0"/>
          <w:sz w:val="24"/>
        </w:rPr>
        <w:t>1.1  记忆对齐基准：用户记忆状态优先于会话记录</w:t>
      </w:r>
    </w:p>
    <w:p>
      <w:pPr>
        <w:spacing w:before="0" w:after="0" w:line="360" w:lineRule="auto"/>
        <w:jc w:val="both"/>
      </w:pPr>
      <w:r>
        <w:rPr>
          <w:rFonts w:ascii="Times New Roman" w:eastAsia="宋体" w:hAnsi="Times New Roman"/>
          <w:b w:val="0"/>
          <w:i w:val="0"/>
          <w:sz w:val="21"/>
        </w:rPr>
        <w:t>本文提出核心判定准则：记忆的对齐基准并非会话原始记录，而是用户自身的记忆状态。</w:t>
      </w:r>
    </w:p>
    <w:p>
      <w:pPr>
        <w:spacing w:before="0" w:after="0" w:line="360" w:lineRule="auto"/>
        <w:jc w:val="both"/>
      </w:pPr>
      <w:r>
        <w:rPr>
          <w:rFonts w:ascii="Times New Roman" w:eastAsia="宋体" w:hAnsi="Times New Roman"/>
          <w:b w:val="0"/>
          <w:i w:val="0"/>
          <w:sz w:val="21"/>
        </w:rPr>
        <w:t>人类记忆具备选择性沉淀、自然遗忘、话题触发提取的特征：个体能够长期记忆反复迭代形成的方案、重要人际关系与项目目标，但难以完整复现过往全部对话细节。人类交流过程中，记忆提取由话题线索触发，而非对全部历史信息执行全局扫描。因此，“记忆用户”不等同于“存储用户全部表述”，而是“留存对用户具备高价值的信息”。全量存储方案的底层假设存在偏差：混淆会话记录与记忆本体。用户已经遗忘且事后不予追认的完整会话记录，仅可作为归档档案，不具备记忆效力。</w:t>
      </w:r>
    </w:p>
    <w:p>
      <w:pPr>
        <w:spacing w:before="0" w:after="0" w:line="360" w:lineRule="auto"/>
        <w:jc w:val="both"/>
      </w:pPr>
      <w:r>
        <w:rPr>
          <w:rFonts w:ascii="Times New Roman" w:eastAsia="宋体" w:hAnsi="Times New Roman"/>
          <w:b w:val="0"/>
          <w:i w:val="0"/>
          <w:sz w:val="21"/>
        </w:rPr>
        <w:t>人类交互过程中，信息重要性的识别存在两类客观信号：用户显式强调、信息反复出现形成关联强化。本架构将两类记忆写入通路工程化实现，规避机器自主开展价值判定。</w:t>
      </w:r>
    </w:p>
    <w:p>
      <w:pPr>
        <w:spacing w:before="160" w:after="80" w:line="360" w:lineRule="auto"/>
        <w:jc w:val="left"/>
      </w:pPr>
      <w:r>
        <w:rPr>
          <w:rFonts w:ascii="Times New Roman" w:eastAsia="黑体" w:hAnsi="Times New Roman"/>
          <w:b/>
          <w:i w:val="0"/>
          <w:sz w:val="24"/>
        </w:rPr>
        <w:t>1.2  本架构与主流商业记忆系统的定位关系</w:t>
      </w:r>
    </w:p>
    <w:p>
      <w:pPr>
        <w:spacing w:before="0" w:after="0" w:line="360" w:lineRule="auto"/>
        <w:jc w:val="both"/>
      </w:pPr>
      <w:r>
        <w:rPr>
          <w:rFonts w:ascii="Times New Roman" w:eastAsia="宋体" w:hAnsi="Times New Roman"/>
          <w:b w:val="0"/>
          <w:i w:val="0"/>
          <w:sz w:val="21"/>
        </w:rPr>
        <w:t>当前主流商业记忆系统整体朝着全自动写入方向演进，依靠自动提取、信息合并、后台综合生成记忆内容。本架构与主流方案不存在技术代差，而是目标函数存在分化：主流方案优化记忆召回率与自动化交互体验，适用于记忆错误代价较低的用户偏好类事实；本架构以语义保真与用户主权为优化目标，面向记忆错误将产生实际后果的场景，包括不可曲解的原创公理、文学作品约束设定、个体重要关系与长期目标。两类记忆机制应当分流处理：偏好类事实采用自动化处理链路，高价值知识经过核验闸门完成入库。在该类任务中，人工核验并非技术短板，而是匹配知识风险等级的写入规范。</w:t>
      </w:r>
    </w:p>
    <w:p>
      <w:pPr>
        <w:spacing w:before="0" w:after="0" w:line="360" w:lineRule="auto"/>
        <w:jc w:val="both"/>
      </w:pPr>
      <w:r>
        <w:rPr>
          <w:rFonts w:ascii="Times New Roman" w:eastAsia="宋体" w:hAnsi="Times New Roman"/>
          <w:b w:val="0"/>
          <w:i w:val="0"/>
          <w:sz w:val="21"/>
        </w:rPr>
        <w:t>本文主要贡献概括如下：</w:t>
      </w:r>
    </w:p>
    <w:p>
      <w:pPr>
        <w:spacing w:before="0" w:after="0" w:line="360" w:lineRule="auto"/>
        <w:jc w:val="both"/>
      </w:pPr>
      <w:r>
        <w:rPr>
          <w:rFonts w:ascii="Times New Roman" w:eastAsia="宋体" w:hAnsi="Times New Roman"/>
          <w:b w:val="0"/>
          <w:i w:val="0"/>
          <w:sz w:val="21"/>
        </w:rPr>
        <w:t>（1）构建三层分片隔离存储模型与活跃度衰减机制，模拟人类记忆“用进废退”认知规律；</w:t>
      </w:r>
    </w:p>
    <w:p>
      <w:pPr>
        <w:spacing w:before="0" w:after="0" w:line="360" w:lineRule="auto"/>
        <w:jc w:val="both"/>
      </w:pPr>
      <w:r>
        <w:rPr>
          <w:rFonts w:ascii="Times New Roman" w:eastAsia="宋体" w:hAnsi="Times New Roman"/>
          <w:b w:val="0"/>
          <w:i w:val="0"/>
          <w:sz w:val="21"/>
        </w:rPr>
        <w:t>（2）设计前置强制核验-校准闭环与配套结构化核验卡片；</w:t>
      </w:r>
    </w:p>
    <w:p>
      <w:pPr>
        <w:spacing w:before="0" w:after="0" w:line="360" w:lineRule="auto"/>
        <w:jc w:val="both"/>
      </w:pPr>
      <w:r>
        <w:rPr>
          <w:rFonts w:ascii="Times New Roman" w:eastAsia="宋体" w:hAnsi="Times New Roman"/>
          <w:b w:val="0"/>
          <w:i w:val="0"/>
          <w:sz w:val="21"/>
        </w:rPr>
        <w:t>（3）建立以用户显式触发为主的归纳调用机制；</w:t>
      </w:r>
    </w:p>
    <w:p>
      <w:pPr>
        <w:spacing w:before="0" w:after="0" w:line="360" w:lineRule="auto"/>
        <w:jc w:val="both"/>
      </w:pPr>
      <w:r>
        <w:rPr>
          <w:rFonts w:ascii="Times New Roman" w:eastAsia="宋体" w:hAnsi="Times New Roman"/>
          <w:b w:val="0"/>
          <w:i w:val="0"/>
          <w:sz w:val="21"/>
        </w:rPr>
        <w:t>（4）实现分支隔离存储与会话分支显式选择机制；</w:t>
      </w:r>
    </w:p>
    <w:p>
      <w:pPr>
        <w:spacing w:before="0" w:after="0" w:line="360" w:lineRule="auto"/>
        <w:jc w:val="both"/>
      </w:pPr>
      <w:r>
        <w:rPr>
          <w:rFonts w:ascii="Times New Roman" w:eastAsia="宋体" w:hAnsi="Times New Roman"/>
          <w:b w:val="0"/>
          <w:i w:val="0"/>
          <w:sz w:val="21"/>
        </w:rPr>
        <w:t>（5）提出公理引用机制，将概念漂移从依赖人工通读排查转变为可机械化审计；</w:t>
      </w:r>
    </w:p>
    <w:p>
      <w:pPr>
        <w:spacing w:before="0" w:after="0" w:line="360" w:lineRule="auto"/>
        <w:jc w:val="both"/>
      </w:pPr>
      <w:r>
        <w:rPr>
          <w:rFonts w:ascii="Times New Roman" w:eastAsia="宋体" w:hAnsi="Times New Roman"/>
          <w:b w:val="0"/>
          <w:i w:val="0"/>
          <w:sz w:val="21"/>
        </w:rPr>
        <w:t>（6）设计可迁移标准化归档包，明确系统责任边界；</w:t>
      </w:r>
    </w:p>
    <w:p>
      <w:pPr>
        <w:spacing w:before="0" w:after="0" w:line="360" w:lineRule="auto"/>
        <w:jc w:val="both"/>
      </w:pPr>
      <w:r>
        <w:rPr>
          <w:rFonts w:ascii="Times New Roman" w:eastAsia="宋体" w:hAnsi="Times New Roman"/>
          <w:b w:val="0"/>
          <w:i w:val="0"/>
          <w:sz w:val="21"/>
        </w:rPr>
        <w:t>（7）完成多场景适用性论证，将架构定位为可配置通用工作模式记忆层，实现面向终端用户的概念降维映射。</w:t>
      </w:r>
    </w:p>
    <w:p>
      <w:pPr>
        <w:spacing w:before="240" w:after="120" w:line="360" w:lineRule="auto"/>
        <w:jc w:val="center"/>
      </w:pPr>
      <w:r>
        <w:rPr>
          <w:rFonts w:ascii="Times New Roman" w:eastAsia="黑体" w:hAnsi="Times New Roman"/>
          <w:b/>
          <w:i w:val="0"/>
          <w:sz w:val="28"/>
        </w:rPr>
        <w:t>2  相关工作</w:t>
      </w:r>
    </w:p>
    <w:p>
      <w:pPr>
        <w:spacing w:before="160" w:after="80" w:line="360" w:lineRule="auto"/>
        <w:jc w:val="left"/>
      </w:pPr>
      <w:r>
        <w:rPr>
          <w:rFonts w:ascii="Times New Roman" w:eastAsia="黑体" w:hAnsi="Times New Roman"/>
          <w:b/>
          <w:i w:val="0"/>
          <w:sz w:val="24"/>
        </w:rPr>
        <w:t>2.1  长上下文与会话压缩技术</w:t>
      </w:r>
    </w:p>
    <w:p>
      <w:pPr>
        <w:spacing w:before="0" w:after="0" w:line="360" w:lineRule="auto"/>
        <w:jc w:val="both"/>
      </w:pPr>
      <w:r>
        <w:rPr>
          <w:rFonts w:ascii="Times New Roman" w:eastAsia="宋体" w:hAnsi="Times New Roman"/>
          <w:b w:val="0"/>
          <w:i w:val="0"/>
          <w:sz w:val="21"/>
        </w:rPr>
        <w:t>长上下文模型、StreamingLLM等研究通过注意力机制优化拓展单轮文本处理规模，但无法消解无限持续对话带来的长期成本压力。会话压缩算法借助模型摘要压缩上下文长度，缓解窗口溢出问题。但压缩属于文本表层处理，缺少用户侧价值输入，自定义概念边界细节易发生丢失；压缩仅改变文本体量，无法识别语义是否偏离用户本意，亦不能判别信息对用户的重要程度。</w:t>
      </w:r>
    </w:p>
    <w:p>
      <w:pPr>
        <w:spacing w:before="160" w:after="80" w:line="360" w:lineRule="auto"/>
        <w:jc w:val="left"/>
      </w:pPr>
      <w:r>
        <w:rPr>
          <w:rFonts w:ascii="Times New Roman" w:eastAsia="黑体" w:hAnsi="Times New Roman"/>
          <w:b/>
          <w:i w:val="0"/>
          <w:sz w:val="24"/>
        </w:rPr>
        <w:t>2.2  自动记忆智能体</w:t>
      </w:r>
    </w:p>
    <w:p>
      <w:pPr>
        <w:spacing w:before="0" w:after="0" w:line="360" w:lineRule="auto"/>
        <w:jc w:val="both"/>
      </w:pPr>
      <w:r>
        <w:rPr>
          <w:rFonts w:ascii="Times New Roman" w:eastAsia="宋体" w:hAnsi="Times New Roman"/>
          <w:b w:val="0"/>
          <w:i w:val="0"/>
          <w:sz w:val="21"/>
        </w:rPr>
        <w:t>MemGPT、Letta引入虚拟内存思想，依靠记忆块工具实现记忆条目调入调出与自主编辑；Mem0等框架实现事实自动提取与向量检索，默认开启记忆捕获流程，由模型完成记忆新增、更新、删除决策；ChatGPT记忆模块可在对话过程自动写入记忆，后台综合机制进一步实现无人工介入的记忆合成。</w:t>
      </w:r>
    </w:p>
    <w:p>
      <w:pPr>
        <w:spacing w:before="0" w:after="0" w:line="360" w:lineRule="auto"/>
        <w:jc w:val="both"/>
      </w:pPr>
      <w:r>
        <w:rPr>
          <w:rFonts w:ascii="Times New Roman" w:eastAsia="宋体" w:hAnsi="Times New Roman"/>
          <w:b w:val="0"/>
          <w:i w:val="0"/>
          <w:sz w:val="21"/>
        </w:rPr>
        <w:t>上述系统共性特征为记忆写入无需用户事前许可，用户干预仅发生在写入完成之后。Letta提供记忆块只读能力，可限制智能体修改指定存储块，是现有方案中最接近核验闸门的实现，但仅提供粗粒度写保护，不支持条目级语义核验，无法校验模型归纳结果是否忠实于用户原始意图。</w:t>
      </w:r>
    </w:p>
    <w:p>
      <w:pPr>
        <w:spacing w:before="0" w:after="0" w:line="360" w:lineRule="auto"/>
        <w:jc w:val="both"/>
      </w:pPr>
      <w:r>
        <w:rPr>
          <w:rFonts w:ascii="Times New Roman" w:eastAsia="宋体" w:hAnsi="Times New Roman"/>
          <w:b w:val="0"/>
          <w:i w:val="0"/>
          <w:sz w:val="21"/>
        </w:rPr>
        <w:t>算力提升存在明确边界：算力优化检索效率，但不能解决语义保真问题。全自动记忆体系下不存在经过用户确认的版本，记忆库条目缺少用户授权依据，无论检索性能如何，均无法溯源记忆结论对应的用户原始观点。该缺陷对偏好类事实影响有限，但属于高价值知识记忆场景的结构性短板。</w:t>
      </w:r>
    </w:p>
    <w:p>
      <w:pPr>
        <w:spacing w:before="160" w:after="80" w:line="360" w:lineRule="auto"/>
        <w:jc w:val="left"/>
      </w:pPr>
      <w:r>
        <w:rPr>
          <w:rFonts w:ascii="Times New Roman" w:eastAsia="黑体" w:hAnsi="Times New Roman"/>
          <w:b/>
          <w:i w:val="0"/>
          <w:sz w:val="24"/>
        </w:rPr>
        <w:t>2.3  人在回路与记忆安全研究</w:t>
      </w:r>
    </w:p>
    <w:p>
      <w:pPr>
        <w:spacing w:before="0" w:after="0" w:line="360" w:lineRule="auto"/>
        <w:jc w:val="both"/>
      </w:pPr>
      <w:r>
        <w:rPr>
          <w:rFonts w:ascii="Times New Roman" w:eastAsia="宋体" w:hAnsi="Times New Roman"/>
          <w:b w:val="0"/>
          <w:i w:val="0"/>
          <w:sz w:val="21"/>
        </w:rPr>
        <w:t>现有大模型人在回路机制多应用于安全对齐、工具调用纠错，人工审核多作为事后补救手段。记忆安全领域现有防御框架多依靠模型完成一致性校验，主要抵御外部恶意记忆注入攻击，较少关注归纳过程造成用户自身思想被潜移默化篡改的问题，将用户核验校准作为记忆入库强制前置约束的相关研究较为有限。</w:t>
      </w:r>
    </w:p>
    <w:p>
      <w:pPr>
        <w:spacing w:before="160" w:after="80" w:line="360" w:lineRule="auto"/>
        <w:jc w:val="left"/>
      </w:pPr>
      <w:r>
        <w:rPr>
          <w:rFonts w:ascii="Times New Roman" w:eastAsia="黑体" w:hAnsi="Times New Roman"/>
          <w:b/>
          <w:i w:val="0"/>
          <w:sz w:val="24"/>
        </w:rPr>
        <w:t>2.4  认知科学理论溯源</w:t>
      </w:r>
    </w:p>
    <w:p>
      <w:pPr>
        <w:spacing w:before="0" w:after="0" w:line="360" w:lineRule="auto"/>
        <w:jc w:val="both"/>
      </w:pPr>
      <w:r>
        <w:rPr>
          <w:rFonts w:ascii="Times New Roman" w:eastAsia="宋体" w:hAnsi="Times New Roman"/>
          <w:b w:val="0"/>
          <w:i w:val="0"/>
          <w:sz w:val="21"/>
        </w:rPr>
        <w:t>本架构分片存储与遗忘机制具备认知科学与知识管理实践基础：卢曼卡片盒笔记区分瞬时闪念笔记与永久知识笔记，永久笔记需要整理加工方可纳入思想体系；Tulving将记忆划分为情景记忆与语义记忆，分别对应原始经历记录与沉淀知识；Anderson的ACT-R认知架构采用激活方程刻画记忆提取概率；知识管理领域也积累大量知识库膨胀失维的实践经验。本架构并非提出全新认知规律，而是将上述认知机制转化为可工程落地的存储结构，并补充现有自动记忆系统缺失的强制核验闸门。</w:t>
      </w:r>
    </w:p>
    <w:p>
      <w:pPr>
        <w:spacing w:before="240" w:after="120" w:line="360" w:lineRule="auto"/>
        <w:jc w:val="center"/>
      </w:pPr>
      <w:r>
        <w:rPr>
          <w:rFonts w:ascii="Times New Roman" w:eastAsia="黑体" w:hAnsi="Times New Roman"/>
          <w:b/>
          <w:i w:val="0"/>
          <w:sz w:val="28"/>
        </w:rPr>
        <w:t>3  系统架构设计</w:t>
      </w:r>
    </w:p>
    <w:p>
      <w:pPr>
        <w:spacing w:before="0" w:after="0" w:line="360" w:lineRule="auto"/>
        <w:jc w:val="both"/>
      </w:pPr>
      <w:r>
        <w:rPr>
          <w:rFonts w:ascii="Times New Roman" w:eastAsia="宋体" w:hAnsi="Times New Roman"/>
          <w:b w:val="0"/>
          <w:i w:val="0"/>
          <w:sz w:val="21"/>
        </w:rPr>
        <w:t>系统整体划分为五层：交互输入层、核验-校准层、分片存储层、调度加载层、归档导出管理层。系统不对完整原始会话做永久持久化存储，模拟人类日记的筛选逻辑：仅留存经过筛选、用户予以认可的关键信息，而非完整记录全部交互过程。</w:t>
      </w:r>
    </w:p>
    <w:p>
      <w:pPr>
        <w:spacing w:before="160" w:after="80" w:line="360" w:lineRule="auto"/>
        <w:jc w:val="left"/>
      </w:pPr>
      <w:r>
        <w:rPr>
          <w:rFonts w:ascii="Times New Roman" w:eastAsia="黑体" w:hAnsi="Times New Roman"/>
          <w:b/>
          <w:i w:val="0"/>
          <w:sz w:val="24"/>
        </w:rPr>
        <w:t>3.1  三层分片存储模型</w:t>
      </w:r>
    </w:p>
    <w:p>
      <w:pPr>
        <w:spacing w:before="120" w:after="60" w:line="360" w:lineRule="auto"/>
        <w:jc w:val="left"/>
      </w:pPr>
      <w:r>
        <w:rPr>
          <w:rFonts w:ascii="Times New Roman" w:eastAsia="黑体" w:hAnsi="Times New Roman"/>
          <w:b/>
          <w:i w:val="0"/>
          <w:sz w:val="21"/>
        </w:rPr>
        <w:t>3.1.1  基准公理库A</w:t>
      </w:r>
    </w:p>
    <w:p>
      <w:pPr>
        <w:spacing w:before="0" w:after="0" w:line="360" w:lineRule="auto"/>
        <w:jc w:val="both"/>
      </w:pPr>
      <w:r>
        <w:rPr>
          <w:rFonts w:ascii="Times New Roman" w:eastAsia="宋体" w:hAnsi="Times New Roman"/>
          <w:b w:val="0"/>
          <w:i w:val="0"/>
          <w:sz w:val="21"/>
        </w:rPr>
        <w:t>存储经过用户确认、处于生效状态的公理、定义、约束参数、核心假说与关键事实。每条公理分配全局唯一标识符，格式为AX-{路线标识}-{8位十六进制序列号}，以独立文件存储，文件名包含标识符与版本号，示例：AX-A-00000001_v2.1.md。</w:t>
      </w:r>
    </w:p>
    <w:p>
      <w:pPr>
        <w:spacing w:before="0" w:after="0" w:line="360" w:lineRule="auto"/>
        <w:jc w:val="both"/>
      </w:pPr>
      <w:r>
        <w:rPr>
          <w:rFonts w:ascii="Times New Roman" w:eastAsia="宋体" w:hAnsi="Times New Roman"/>
          <w:b w:val="0"/>
          <w:i w:val="0"/>
          <w:sz w:val="21"/>
        </w:rPr>
        <w:t>公理条目字段包含：id、route（所属分支）、content（用户确认定稿内容）、version（初始版本1.0，修订迭代步长0.1）、status（active/deprecated）、tags、createdat/updatedat、related_fragments（关联碎片标识符列表，保障溯源链路完整）。</w:t>
      </w:r>
    </w:p>
    <w:p>
      <w:pPr>
        <w:spacing w:before="0" w:after="0" w:line="360" w:lineRule="auto"/>
        <w:jc w:val="both"/>
      </w:pPr>
      <w:r>
        <w:rPr>
          <w:rFonts w:ascii="Times New Roman" w:eastAsia="宋体" w:hAnsi="Times New Roman"/>
          <w:b w:val="0"/>
          <w:i w:val="0"/>
          <w:sz w:val="21"/>
        </w:rPr>
        <w:t>公理库新增与更新操作，必须完成用户核验或校准定稿；瞬时想法、闲聊片段禁止写入本库。</w:t>
      </w:r>
    </w:p>
    <w:p>
      <w:pPr>
        <w:spacing w:before="120" w:after="60" w:line="360" w:lineRule="auto"/>
        <w:jc w:val="left"/>
      </w:pPr>
      <w:r>
        <w:rPr>
          <w:rFonts w:ascii="Times New Roman" w:eastAsia="黑体" w:hAnsi="Times New Roman"/>
          <w:b/>
          <w:i w:val="0"/>
          <w:sz w:val="21"/>
        </w:rPr>
        <w:t>3.1.2  交互碎片库B</w:t>
      </w:r>
    </w:p>
    <w:p>
      <w:pPr>
        <w:spacing w:before="0" w:after="0" w:line="360" w:lineRule="auto"/>
        <w:jc w:val="both"/>
      </w:pPr>
      <w:r>
        <w:rPr>
          <w:rFonts w:ascii="Times New Roman" w:eastAsia="宋体" w:hAnsi="Times New Roman"/>
          <w:b w:val="0"/>
          <w:i w:val="0"/>
          <w:sz w:val="21"/>
        </w:rPr>
        <w:t>存储会话切片、瞬时脑洞、未完成验证的假说，全部条目配置主题标签。碎片仅作为参考素材，不具备公理效力，支持活跃度自然衰减。</w:t>
      </w:r>
    </w:p>
    <w:p>
      <w:pPr>
        <w:spacing w:before="0" w:after="0" w:line="360" w:lineRule="auto"/>
        <w:jc w:val="both"/>
      </w:pPr>
      <w:r>
        <w:rPr>
          <w:rFonts w:ascii="Times New Roman" w:eastAsia="宋体" w:hAnsi="Times New Roman"/>
          <w:b w:val="0"/>
          <w:i w:val="0"/>
          <w:sz w:val="21"/>
        </w:rPr>
        <w:t>基于ACT-R激活方程做工程简化，活跃度计算公式：</w:t>
      </w:r>
    </w:p>
    <w:p>
      <w:pPr>
        <w:spacing w:before="0" w:after="0" w:line="360" w:lineRule="auto"/>
        <w:jc w:val="center"/>
      </w:pPr>
      <w:r>
        <w:rPr>
          <w:rFonts w:ascii="Times New Roman" w:eastAsia="宋体" w:hAnsi="Times New Roman"/>
          <w:b w:val="0"/>
          <w:i w:val="0"/>
          <w:sz w:val="21"/>
        </w:rPr>
        <w:t>活跃度 = 调用频率权重×0.4 + 关联公理数权重×0.4 + 时间衰减因子×0.2</w:t>
      </w:r>
    </w:p>
    <w:p>
      <w:pPr>
        <w:spacing w:before="0" w:after="0" w:line="360" w:lineRule="auto"/>
        <w:jc w:val="both"/>
      </w:pPr>
      <w:r>
        <w:rPr>
          <w:rFonts w:ascii="Times New Roman" w:eastAsia="宋体" w:hAnsi="Times New Roman"/>
          <w:b w:val="0"/>
          <w:i w:val="0"/>
          <w:sz w:val="21"/>
        </w:rPr>
        <w:t>活跃度低于0.2：自动迁移至冷存储，不参与常规检索，支持手动调取；</w:t>
      </w:r>
    </w:p>
    <w:p>
      <w:pPr>
        <w:spacing w:before="0" w:after="0" w:line="360" w:lineRule="auto"/>
        <w:jc w:val="both"/>
      </w:pPr>
      <w:r>
        <w:rPr>
          <w:rFonts w:ascii="Times New Roman" w:eastAsia="宋体" w:hAnsi="Times New Roman"/>
          <w:b w:val="0"/>
          <w:i w:val="0"/>
          <w:sz w:val="21"/>
        </w:rPr>
        <w:t>活跃度低于0.05：标记为可裁剪，默认不执行物理删除；</w:t>
      </w:r>
    </w:p>
    <w:p>
      <w:pPr>
        <w:spacing w:before="0" w:after="0" w:line="360" w:lineRule="auto"/>
        <w:jc w:val="both"/>
      </w:pPr>
      <w:r>
        <w:rPr>
          <w:rFonts w:ascii="Times New Roman" w:eastAsia="宋体" w:hAnsi="Times New Roman"/>
          <w:b w:val="0"/>
          <w:i w:val="0"/>
          <w:sz w:val="21"/>
        </w:rPr>
        <w:t>被公理关联的碎片活跃度下限锁定0.3，保证溯源链路不中断。</w:t>
      </w:r>
    </w:p>
    <w:p>
      <w:pPr>
        <w:spacing w:before="0" w:after="0" w:line="360" w:lineRule="auto"/>
        <w:jc w:val="both"/>
      </w:pPr>
      <w:r>
        <w:rPr>
          <w:rFonts w:ascii="Times New Roman" w:eastAsia="宋体" w:hAnsi="Times New Roman"/>
          <w:b w:val="0"/>
          <w:i w:val="0"/>
          <w:sz w:val="21"/>
        </w:rPr>
        <w:t>发生衰减的对象为无调用、无公理关联的孤立碎片，对应低价值闲聊类信息，复现人类记忆遗忘规律，无需用户额外操作。</w:t>
      </w:r>
    </w:p>
    <w:p>
      <w:pPr>
        <w:spacing w:before="120" w:after="60" w:line="360" w:lineRule="auto"/>
        <w:jc w:val="left"/>
      </w:pPr>
      <w:r>
        <w:rPr>
          <w:rFonts w:ascii="Times New Roman" w:eastAsia="黑体" w:hAnsi="Times New Roman"/>
          <w:b/>
          <w:i w:val="0"/>
          <w:sz w:val="21"/>
        </w:rPr>
        <w:t>3.1.3  冲突-版本日志C</w:t>
      </w:r>
    </w:p>
    <w:p>
      <w:pPr>
        <w:spacing w:before="0" w:after="0" w:line="360" w:lineRule="auto"/>
        <w:jc w:val="both"/>
      </w:pPr>
      <w:r>
        <w:rPr>
          <w:rFonts w:ascii="Times New Roman" w:eastAsia="宋体" w:hAnsi="Times New Roman"/>
          <w:b w:val="0"/>
          <w:i w:val="0"/>
          <w:sz w:val="21"/>
        </w:rPr>
        <w:t>记录理论体系内部潜在逻辑矛盾、废弃方案快照、公理修订历史与变更原因。字段包含conflictid、type、involvedaxioms、description、severity、status、resolution。</w:t>
      </w:r>
    </w:p>
    <w:p>
      <w:pPr>
        <w:spacing w:before="160" w:after="80" w:line="360" w:lineRule="auto"/>
        <w:jc w:val="left"/>
      </w:pPr>
      <w:r>
        <w:rPr>
          <w:rFonts w:ascii="Times New Roman" w:eastAsia="黑体" w:hAnsi="Times New Roman"/>
          <w:b/>
          <w:i w:val="0"/>
          <w:sz w:val="24"/>
        </w:rPr>
        <w:t>3.2  核验-校准闭环（核心闸门）</w:t>
      </w:r>
    </w:p>
    <w:p>
      <w:pPr>
        <w:spacing w:before="0" w:after="0" w:line="360" w:lineRule="auto"/>
        <w:jc w:val="both"/>
      </w:pPr>
      <w:r>
        <w:rPr>
          <w:rFonts w:ascii="Times New Roman" w:eastAsia="宋体" w:hAnsi="Times New Roman"/>
          <w:b w:val="0"/>
          <w:i w:val="0"/>
          <w:sz w:val="21"/>
        </w:rPr>
        <w:t>当交互过程生成具备固化价值的潜在核心知识时：</w:t>
      </w:r>
    </w:p>
    <w:p>
      <w:pPr>
        <w:spacing w:before="0" w:after="0" w:line="360" w:lineRule="auto"/>
        <w:jc w:val="both"/>
      </w:pPr>
      <w:r>
        <w:rPr>
          <w:rFonts w:ascii="Times New Roman" w:eastAsia="宋体" w:hAnsi="Times New Roman"/>
          <w:b w:val="0"/>
          <w:i w:val="0"/>
          <w:sz w:val="21"/>
        </w:rPr>
        <w:t>（1）模型提取关键信息生成归纳初稿，禁止直接写入基准公理库A；</w:t>
      </w:r>
    </w:p>
    <w:p>
      <w:pPr>
        <w:spacing w:before="0" w:after="0" w:line="360" w:lineRule="auto"/>
        <w:jc w:val="both"/>
      </w:pPr>
      <w:r>
        <w:rPr>
          <w:rFonts w:ascii="Times New Roman" w:eastAsia="宋体" w:hAnsi="Times New Roman"/>
          <w:b w:val="0"/>
          <w:i w:val="0"/>
          <w:sz w:val="21"/>
        </w:rPr>
        <w:t>（2）归纳结果以结构化核验卡片返回用户，用户可执行三类操作：确认生效、手动校准、仅保留为临时碎片。确认生效时条目正式写入公理库，分配唯一标识符与版本号；校准时用户编辑概念边界、表述措辞与约束条件，模型生成修订稿并重新进入核验流程，多次校准无法达成一致时，系统建议降级存储至碎片库；判定为临时想法时，切片存入碎片库B，禁止升格为公理；</w:t>
      </w:r>
    </w:p>
    <w:p>
      <w:pPr>
        <w:spacing w:before="0" w:after="0" w:line="360" w:lineRule="auto"/>
        <w:jc w:val="both"/>
      </w:pPr>
      <w:r>
        <w:rPr>
          <w:rFonts w:ascii="Times New Roman" w:eastAsia="宋体" w:hAnsi="Times New Roman"/>
          <w:b w:val="0"/>
          <w:i w:val="0"/>
          <w:sz w:val="21"/>
        </w:rPr>
        <w:t>（3）检测到条目间逻辑冲突，记录至冲突-版本日志C，交由用户完成语义对齐。</w:t>
      </w:r>
    </w:p>
    <w:p>
      <w:pPr>
        <w:spacing w:before="0" w:after="0" w:line="360" w:lineRule="auto"/>
        <w:jc w:val="both"/>
      </w:pPr>
      <w:r>
        <w:rPr>
          <w:rFonts w:ascii="Times New Roman" w:eastAsia="宋体" w:hAnsi="Times New Roman"/>
          <w:b w:val="0"/>
          <w:i w:val="0"/>
          <w:sz w:val="21"/>
        </w:rPr>
        <w:t>普通闲聊与发散讨论直接切片存入碎片库B，不触发核验流程，控制用户操作负担。</w:t>
      </w:r>
    </w:p>
    <w:p>
      <w:pPr>
        <w:spacing w:before="0" w:after="0" w:line="360" w:lineRule="auto"/>
        <w:jc w:val="both"/>
      </w:pPr>
      <w:r>
        <w:rPr>
          <w:rFonts w:ascii="Times New Roman" w:eastAsia="宋体" w:hAnsi="Times New Roman"/>
          <w:b w:val="0"/>
          <w:i w:val="0"/>
          <w:sz w:val="21"/>
        </w:rPr>
        <w:t>核验闸门仅作用于长期记忆写入这一低频选择性环节，碎片写入与衰减不受闸门约束，日常交互无感知；仅当信息具备沉淀价值，经用户确认或系统提议后才启动核验，匹配人类长期记忆高成本、低频次的写入特征。</w:t>
      </w:r>
    </w:p>
    <w:p>
      <w:pPr>
        <w:spacing w:before="120" w:after="60" w:line="360" w:lineRule="auto"/>
        <w:jc w:val="left"/>
      </w:pPr>
      <w:r>
        <w:rPr>
          <w:rFonts w:ascii="Times New Roman" w:eastAsia="黑体" w:hAnsi="Times New Roman"/>
          <w:b/>
          <w:i w:val="0"/>
          <w:sz w:val="21"/>
        </w:rPr>
        <w:t>3.2.1  核验卡片设计</w:t>
      </w:r>
    </w:p>
    <w:p>
      <w:pPr>
        <w:spacing w:before="0" w:after="0" w:line="360" w:lineRule="auto"/>
        <w:jc w:val="both"/>
      </w:pPr>
      <w:r>
        <w:rPr>
          <w:rFonts w:ascii="Times New Roman" w:eastAsia="宋体" w:hAnsi="Times New Roman"/>
          <w:b w:val="0"/>
          <w:i w:val="0"/>
          <w:sz w:val="21"/>
        </w:rPr>
        <w:t>核验卡片包含三类信息单元：</w:t>
      </w:r>
    </w:p>
    <w:p>
      <w:pPr>
        <w:spacing w:before="0" w:after="0" w:line="360" w:lineRule="auto"/>
        <w:jc w:val="both"/>
      </w:pPr>
      <w:r>
        <w:rPr>
          <w:rFonts w:ascii="Times New Roman" w:eastAsia="宋体" w:hAnsi="Times New Roman"/>
          <w:b w:val="0"/>
          <w:i w:val="0"/>
          <w:sz w:val="21"/>
        </w:rPr>
        <w:t>（1）原文摘录：用于用户对照原始会话文本；</w:t>
      </w:r>
    </w:p>
    <w:p>
      <w:pPr>
        <w:spacing w:before="0" w:after="0" w:line="360" w:lineRule="auto"/>
        <w:jc w:val="both"/>
      </w:pPr>
      <w:r>
        <w:rPr>
          <w:rFonts w:ascii="Times New Roman" w:eastAsia="宋体" w:hAnsi="Times New Roman"/>
          <w:b w:val="0"/>
          <w:i w:val="0"/>
          <w:sz w:val="21"/>
        </w:rPr>
        <w:t>（2）归纳结果：模型输出候选文本，支持用户直接编辑；</w:t>
      </w:r>
    </w:p>
    <w:p>
      <w:pPr>
        <w:spacing w:before="0" w:after="0" w:line="360" w:lineRule="auto"/>
        <w:jc w:val="both"/>
      </w:pPr>
      <w:r>
        <w:rPr>
          <w:rFonts w:ascii="Times New Roman" w:eastAsia="宋体" w:hAnsi="Times New Roman"/>
          <w:b w:val="0"/>
          <w:i w:val="0"/>
          <w:sz w:val="21"/>
        </w:rPr>
        <w:t>（3）客观信号：统计覆盖碎片数量、歧义标记（并列展示多种合理解读）、与现有公理的潜在冲突提示。</w:t>
      </w:r>
    </w:p>
    <w:p>
      <w:pPr>
        <w:spacing w:before="0" w:after="0" w:line="360" w:lineRule="auto"/>
        <w:jc w:val="both"/>
      </w:pPr>
      <w:r>
        <w:rPr>
          <w:rFonts w:ascii="Times New Roman" w:eastAsia="宋体" w:hAnsi="Times New Roman"/>
          <w:b w:val="0"/>
          <w:i w:val="0"/>
          <w:sz w:val="21"/>
        </w:rPr>
        <w:t>卡片不设置模型置信度字段：一方面模型归纳置信度缺少可靠校准依据；另一方面置信数值会对用户产生心理锚定效应。全部判断权交由用户，仅提供可核验的客观事实信号。</w:t>
      </w:r>
    </w:p>
    <w:p>
      <w:pPr>
        <w:spacing w:before="120" w:after="60" w:line="360" w:lineRule="auto"/>
        <w:jc w:val="left"/>
      </w:pPr>
      <w:r>
        <w:rPr>
          <w:rFonts w:ascii="Times New Roman" w:eastAsia="黑体" w:hAnsi="Times New Roman"/>
          <w:b/>
          <w:i w:val="0"/>
          <w:sz w:val="21"/>
        </w:rPr>
        <w:t>3.2.2  闸门的附加效用：辅助用户完成自我对齐</w:t>
      </w:r>
    </w:p>
    <w:p>
      <w:pPr>
        <w:spacing w:before="0" w:after="0" w:line="360" w:lineRule="auto"/>
        <w:jc w:val="both"/>
      </w:pPr>
      <w:r>
        <w:rPr>
          <w:rFonts w:ascii="Times New Roman" w:eastAsia="宋体" w:hAnsi="Times New Roman"/>
          <w:b w:val="0"/>
          <w:i w:val="0"/>
          <w:sz w:val="21"/>
        </w:rPr>
        <w:t>冲突暴露机制不仅用于抑制模型概念漂移，同时服务于用户自身认知对齐。用户的认知立场变化往往具备无意识特征，无版本管控的记忆系统会并行存储相互矛盾的表述，随机调用记忆条目造成交互异常。冲突-版本日志会主动暴露矛盾点并交由用户裁定，该交互过程帮助用户梳理自身前后认知差异。记忆系统由此同时承担抵御模型曲解、实现用户跨时间认知对齐的双重作用。</w:t>
      </w:r>
    </w:p>
    <w:p>
      <w:pPr>
        <w:spacing w:before="160" w:after="80" w:line="360" w:lineRule="auto"/>
        <w:jc w:val="left"/>
      </w:pPr>
      <w:r>
        <w:rPr>
          <w:rFonts w:ascii="Times New Roman" w:eastAsia="黑体" w:hAnsi="Times New Roman"/>
          <w:b/>
          <w:i w:val="0"/>
          <w:sz w:val="24"/>
        </w:rPr>
        <w:t>3.3  归纳触发：以用户显式操作为主路径</w:t>
      </w:r>
    </w:p>
    <w:p>
      <w:pPr>
        <w:spacing w:before="0" w:after="0" w:line="360" w:lineRule="auto"/>
        <w:jc w:val="both"/>
      </w:pPr>
      <w:r>
        <w:rPr>
          <w:rFonts w:ascii="Times New Roman" w:eastAsia="宋体" w:hAnsi="Times New Roman"/>
          <w:b w:val="0"/>
          <w:i w:val="0"/>
          <w:sz w:val="21"/>
        </w:rPr>
        <w:t>设置三级归纳触发机制，优先采用用户显式拉动作为主路径：</w:t>
      </w:r>
    </w:p>
    <w:p>
      <w:pPr>
        <w:spacing w:before="0" w:after="0" w:line="360" w:lineRule="auto"/>
        <w:jc w:val="both"/>
      </w:pPr>
      <w:r>
        <w:rPr>
          <w:rFonts w:ascii="Times New Roman" w:eastAsia="宋体" w:hAnsi="Times New Roman"/>
          <w:b w:val="0"/>
          <w:i w:val="0"/>
          <w:sz w:val="21"/>
        </w:rPr>
        <w:t>（1）主路径-显式拉动：用户下达沉淀记忆指令，系统直接生成核验卡片。区别于现有产品直接写入记忆的逻辑，本架构强制插入核验-校准闸门。</w:t>
      </w:r>
    </w:p>
    <w:p>
      <w:pPr>
        <w:spacing w:before="0" w:after="0" w:line="360" w:lineRule="auto"/>
        <w:jc w:val="both"/>
      </w:pPr>
      <w:r>
        <w:rPr>
          <w:rFonts w:ascii="Times New Roman" w:eastAsia="宋体" w:hAnsi="Times New Roman"/>
          <w:b w:val="0"/>
          <w:i w:val="0"/>
          <w:sz w:val="21"/>
        </w:rPr>
        <w:t>（2）辅助路径-系统提议：在话题阶段性收尾节点，模型向用户询问是否将内容沉淀进入公理库；用户拒绝则终止流程，同一话题不重复发起提议。该路径面向普通用户优化，适配普通用户主动沉淀意愿较低的特点。</w:t>
      </w:r>
    </w:p>
    <w:p>
      <w:pPr>
        <w:spacing w:before="0" w:after="0" w:line="360" w:lineRule="auto"/>
        <w:jc w:val="both"/>
      </w:pPr>
      <w:r>
        <w:rPr>
          <w:rFonts w:ascii="Times New Roman" w:eastAsia="宋体" w:hAnsi="Times New Roman"/>
          <w:b w:val="0"/>
          <w:i w:val="0"/>
          <w:sz w:val="21"/>
        </w:rPr>
        <w:t>（3）可选路径-静默/话题转换提醒：默认关闭；自动触发仅生成待核验卡片，禁止静默写入存储库。</w:t>
      </w:r>
    </w:p>
    <w:p>
      <w:pPr>
        <w:spacing w:before="0" w:after="0" w:line="360" w:lineRule="auto"/>
        <w:jc w:val="both"/>
      </w:pPr>
      <w:r>
        <w:rPr>
          <w:rFonts w:ascii="Times New Roman" w:eastAsia="宋体" w:hAnsi="Times New Roman"/>
          <w:b w:val="0"/>
          <w:i w:val="0"/>
          <w:sz w:val="21"/>
        </w:rPr>
        <w:t>不启用静默自动归纳的原因：异步会话消息间隔波动较大，时间静默不能等同于思考段落结束。归纳时机的裁量权归属用户。可配置静默阈值区间60-3600秒，默认600秒；话题转换语义偏离阈值默认0.7。</w:t>
      </w:r>
    </w:p>
    <w:p>
      <w:pPr>
        <w:spacing w:before="0" w:after="0" w:line="360" w:lineRule="auto"/>
        <w:jc w:val="both"/>
      </w:pPr>
      <w:r>
        <w:rPr>
          <w:rFonts w:ascii="Times New Roman" w:eastAsia="宋体" w:hAnsi="Times New Roman"/>
          <w:b w:val="0"/>
          <w:i w:val="0"/>
          <w:sz w:val="21"/>
        </w:rPr>
        <w:t>触发机制设计遵循非对称错误控制原则：优先容忍归纳遗漏（碎片素材完整留存，支持事后补录），严格规避错误公理写入（错误公理生效会污染后续全部推演）。</w:t>
      </w:r>
    </w:p>
    <w:p>
      <w:pPr>
        <w:spacing w:before="160" w:after="80" w:line="360" w:lineRule="auto"/>
        <w:jc w:val="left"/>
      </w:pPr>
      <w:r>
        <w:rPr>
          <w:rFonts w:ascii="Times New Roman" w:eastAsia="黑体" w:hAnsi="Times New Roman"/>
          <w:b/>
          <w:i w:val="0"/>
          <w:sz w:val="24"/>
        </w:rPr>
        <w:t>3.4  分布式分支存储与显式分支选择</w:t>
      </w:r>
    </w:p>
    <w:p>
      <w:pPr>
        <w:spacing w:before="0" w:after="0" w:line="360" w:lineRule="auto"/>
        <w:jc w:val="both"/>
      </w:pPr>
      <w:r>
        <w:rPr>
          <w:rFonts w:ascii="Times New Roman" w:eastAsia="宋体" w:hAnsi="Times New Roman"/>
          <w:b w:val="0"/>
          <w:i w:val="0"/>
          <w:sz w:val="21"/>
        </w:rPr>
        <w:t>面向多假说并行推演、多角色设定、多项目并行场景，存疑内容可分流至：主路线、相互隔离的并行分支、碎片暂存库。不同分支内部出现同名异义概念时，系统提示增加分支命名空间前缀（A::X、B::X），规避跨分支概念混淆。</w:t>
      </w:r>
    </w:p>
    <w:p>
      <w:pPr>
        <w:spacing w:before="0" w:after="0" w:line="360" w:lineRule="auto"/>
        <w:jc w:val="both"/>
      </w:pPr>
      <w:r>
        <w:rPr>
          <w:rFonts w:ascii="Times New Roman" w:eastAsia="宋体" w:hAnsi="Times New Roman"/>
          <w:b w:val="0"/>
          <w:i w:val="0"/>
          <w:sz w:val="21"/>
        </w:rPr>
        <w:t>新建会话阶段，系统依托关键词检索匹配相关分支集合，由用户显式选择接续既有分支、新建独立分支或自由探索模式；调度加载仅载入选定分支对应的公理集合与关联碎片。分支收敛判定由用户执行，系统不实施自动合并操作，语义收敛与创作意图判断权限归属使用者。</w:t>
      </w:r>
    </w:p>
    <w:p>
      <w:pPr>
        <w:spacing w:before="160" w:after="80" w:line="360" w:lineRule="auto"/>
        <w:jc w:val="left"/>
      </w:pPr>
      <w:r>
        <w:rPr>
          <w:rFonts w:ascii="Times New Roman" w:eastAsia="黑体" w:hAnsi="Times New Roman"/>
          <w:b/>
          <w:i w:val="0"/>
          <w:sz w:val="24"/>
        </w:rPr>
        <w:t>3.5  按需调度与定点修订</w:t>
      </w:r>
    </w:p>
    <w:p>
      <w:pPr>
        <w:spacing w:before="0" w:after="0" w:line="360" w:lineRule="auto"/>
        <w:jc w:val="both"/>
      </w:pPr>
      <w:r>
        <w:rPr>
          <w:rFonts w:ascii="Times New Roman" w:eastAsia="宋体" w:hAnsi="Times New Roman"/>
          <w:b w:val="0"/>
          <w:i w:val="0"/>
          <w:sz w:val="21"/>
        </w:rPr>
        <w:t>采用话题触发按需加载策略：依据当前会话主题标签，仅载入本轮交互所需公理条目与关联碎片，模拟人类话题驱动记忆提取的认知模式。无关内容驻留外部存储，单轮Token消耗仅取决于当前话题规模，与历史交互总长度解耦。</w:t>
      </w:r>
    </w:p>
    <w:p>
      <w:pPr>
        <w:spacing w:before="0" w:after="0" w:line="360" w:lineRule="auto"/>
        <w:jc w:val="both"/>
      </w:pPr>
      <w:r>
        <w:rPr>
          <w:rFonts w:ascii="Times New Roman" w:eastAsia="宋体" w:hAnsi="Times New Roman"/>
          <w:b w:val="0"/>
          <w:i w:val="0"/>
          <w:sz w:val="21"/>
        </w:rPr>
        <w:t>当认知观点发生更新时，通过公理标识符定位目标条目，调取历史版本生成修订稿，重新进入核验-校准闭环；确认后更新生效版本，旧版本快照归档至冲突-版本日志C。修订操作作用于单一分片，无需改写完整知识库。</w:t>
      </w:r>
    </w:p>
    <w:p>
      <w:pPr>
        <w:spacing w:before="160" w:after="80" w:line="360" w:lineRule="auto"/>
        <w:jc w:val="left"/>
      </w:pPr>
      <w:r>
        <w:rPr>
          <w:rFonts w:ascii="Times New Roman" w:eastAsia="黑体" w:hAnsi="Times New Roman"/>
          <w:b/>
          <w:i w:val="0"/>
          <w:sz w:val="24"/>
        </w:rPr>
        <w:t>3.6  公理引用制：实现概念漂移可审计</w:t>
      </w:r>
    </w:p>
    <w:p>
      <w:pPr>
        <w:spacing w:before="0" w:after="0" w:line="360" w:lineRule="auto"/>
        <w:jc w:val="both"/>
      </w:pPr>
      <w:r>
        <w:rPr>
          <w:rFonts w:ascii="Times New Roman" w:eastAsia="宋体" w:hAnsi="Times New Roman"/>
          <w:b w:val="0"/>
          <w:i w:val="0"/>
          <w:sz w:val="21"/>
        </w:rPr>
        <w:t>模型依托公理库开展推演断言时，输出结果必须标注对应公理标识符与版本号，格式示例：[AX-A-00000001_v2.1]；不带版本号的引用视为无效引用。</w:t>
      </w:r>
    </w:p>
    <w:p>
      <w:pPr>
        <w:spacing w:before="0" w:after="0" w:line="360" w:lineRule="auto"/>
        <w:jc w:val="both"/>
      </w:pPr>
      <w:r>
        <w:rPr>
          <w:rFonts w:ascii="Times New Roman" w:eastAsia="宋体" w:hAnsi="Times New Roman"/>
          <w:b w:val="0"/>
          <w:i w:val="0"/>
          <w:sz w:val="21"/>
        </w:rPr>
        <w:t>该机制将三类典型概念漂移转化为可机械化核查对象：</w:t>
      </w:r>
    </w:p>
    <w:p>
      <w:pPr>
        <w:spacing w:before="0" w:after="0" w:line="360" w:lineRule="auto"/>
        <w:jc w:val="both"/>
      </w:pPr>
      <w:r>
        <w:rPr>
          <w:rFonts w:ascii="Times New Roman" w:eastAsia="宋体" w:hAnsi="Times New Roman"/>
          <w:b w:val="0"/>
          <w:i w:val="0"/>
          <w:sz w:val="21"/>
        </w:rPr>
        <w:t>（1）引用状态为deprecated的历史版本：通过版本日志直接识别；</w:t>
      </w:r>
    </w:p>
    <w:p>
      <w:pPr>
        <w:spacing w:before="0" w:after="0" w:line="360" w:lineRule="auto"/>
        <w:jc w:val="both"/>
      </w:pPr>
      <w:r>
        <w:rPr>
          <w:rFonts w:ascii="Times New Roman" w:eastAsia="宋体" w:hAnsi="Times New Roman"/>
          <w:b w:val="0"/>
          <w:i w:val="0"/>
          <w:sz w:val="21"/>
        </w:rPr>
        <w:t>（2）输出公理级断言但无有效引用：判定为模型自由推演草稿；</w:t>
      </w:r>
    </w:p>
    <w:p>
      <w:pPr>
        <w:spacing w:before="0" w:after="0" w:line="360" w:lineRule="auto"/>
        <w:jc w:val="both"/>
      </w:pPr>
      <w:r>
        <w:rPr>
          <w:rFonts w:ascii="Times New Roman" w:eastAsia="宋体" w:hAnsi="Times New Roman"/>
          <w:b w:val="0"/>
          <w:i w:val="0"/>
          <w:sz w:val="21"/>
        </w:rPr>
        <w:t>（3）跨分支错误引用不同命名空间概念：输出阶段即可识别。</w:t>
      </w:r>
    </w:p>
    <w:p>
      <w:pPr>
        <w:spacing w:before="0" w:after="0" w:line="360" w:lineRule="auto"/>
        <w:jc w:val="both"/>
      </w:pPr>
      <w:r>
        <w:rPr>
          <w:rFonts w:ascii="Times New Roman" w:eastAsia="宋体" w:hAnsi="Times New Roman"/>
          <w:b w:val="0"/>
          <w:i w:val="0"/>
          <w:sz w:val="21"/>
        </w:rPr>
        <w:t>缺少有效引用的公理级输出不具备正式推演效力，仅作为待核验草稿。写入需要用户授权，推演结论可被审计，废弃版本无法被静默复用，三者共同构成用户认知主权的技术保障。</w:t>
      </w:r>
    </w:p>
    <w:p>
      <w:pPr>
        <w:spacing w:before="160" w:after="80" w:line="360" w:lineRule="auto"/>
        <w:jc w:val="left"/>
      </w:pPr>
      <w:r>
        <w:rPr>
          <w:rFonts w:ascii="Times New Roman" w:eastAsia="黑体" w:hAnsi="Times New Roman"/>
          <w:b/>
          <w:i w:val="0"/>
          <w:sz w:val="24"/>
        </w:rPr>
        <w:t>3.7  归档导出与责任边界</w:t>
      </w:r>
    </w:p>
    <w:p>
      <w:pPr>
        <w:spacing w:before="0" w:after="0" w:line="360" w:lineRule="auto"/>
        <w:jc w:val="both"/>
      </w:pPr>
      <w:r>
        <w:rPr>
          <w:rFonts w:ascii="Times New Roman" w:eastAsia="宋体" w:hAnsi="Times New Roman"/>
          <w:b w:val="0"/>
          <w:i w:val="0"/>
          <w:sz w:val="21"/>
        </w:rPr>
        <w:t>知识库支持本地存储与云端托管，可打包输出标准化归档包，包含全局索引manifest.json、分分支公理目录、碎片目录、冲突日志目录、元数据目录。归档包体量精简，支持迁移至异构大模型运行环境。云端仅承担托管服务，数据所有权归属使用者。</w:t>
      </w:r>
    </w:p>
    <w:p>
      <w:pPr>
        <w:spacing w:before="0" w:after="0" w:line="360" w:lineRule="auto"/>
        <w:jc w:val="both"/>
      </w:pPr>
      <w:r>
        <w:rPr>
          <w:rFonts w:ascii="Times New Roman" w:eastAsia="宋体" w:hAnsi="Times New Roman"/>
          <w:b w:val="0"/>
          <w:i w:val="0"/>
          <w:sz w:val="21"/>
        </w:rPr>
        <w:t>系统责任边界界定：架构负责知识库内容完整性、有序性与可追溯性；归档包在第三方AI环境能否正确解析，由目标系统及其开发者负责，类比Git仓库保障文件结构完整，但不保证全部客户端可正确解析代码。</w:t>
      </w:r>
    </w:p>
    <w:p>
      <w:pPr>
        <w:spacing w:before="240" w:after="120" w:line="360" w:lineRule="auto"/>
        <w:jc w:val="center"/>
      </w:pPr>
      <w:r>
        <w:rPr>
          <w:rFonts w:ascii="Times New Roman" w:eastAsia="黑体" w:hAnsi="Times New Roman"/>
          <w:b/>
          <w:i w:val="0"/>
          <w:sz w:val="28"/>
        </w:rPr>
        <w:t>4  适用场景：通用工作模式记忆层</w:t>
      </w:r>
    </w:p>
    <w:p>
      <w:pPr>
        <w:spacing w:before="0" w:after="0" w:line="360" w:lineRule="auto"/>
        <w:jc w:val="both"/>
      </w:pPr>
      <w:r>
        <w:rPr>
          <w:rFonts w:ascii="Times New Roman" w:eastAsia="宋体" w:hAnsi="Times New Roman"/>
          <w:b w:val="0"/>
          <w:i w:val="0"/>
          <w:sz w:val="21"/>
        </w:rPr>
        <w:t>本架构依靠统一判据划定适用范围：记忆错误是否会带来实际后果。高后果记忆走核验闸门链路；无明显风险的偏好信息、闲聊内容采用自动化记忆链路。该架构定位为一套可开关配置的通用工作模式记忆层，凡是记忆失真会产生负面后果的交互场景，均可启用分片记忆机制；简单闲聊、一次性问答可关闭核验闸门，降级为碎片存储模式。主要覆盖三类典型应用场景。</w:t>
      </w:r>
    </w:p>
    <w:p>
      <w:pPr>
        <w:spacing w:before="160" w:after="80" w:line="360" w:lineRule="auto"/>
        <w:jc w:val="left"/>
      </w:pPr>
      <w:r>
        <w:rPr>
          <w:rFonts w:ascii="Times New Roman" w:eastAsia="黑体" w:hAnsi="Times New Roman"/>
          <w:b/>
          <w:i w:val="0"/>
          <w:sz w:val="24"/>
        </w:rPr>
        <w:t>4.1  原创理论打磨（原生场景）</w:t>
      </w:r>
    </w:p>
    <w:p>
      <w:pPr>
        <w:spacing w:before="0" w:after="0" w:line="360" w:lineRule="auto"/>
        <w:jc w:val="both"/>
      </w:pPr>
      <w:r>
        <w:rPr>
          <w:rFonts w:ascii="Times New Roman" w:eastAsia="宋体" w:hAnsi="Times New Roman"/>
          <w:b w:val="0"/>
          <w:i w:val="0"/>
          <w:sz w:val="21"/>
        </w:rPr>
        <w:t>适配多假说并行推演、公理持续迭代、跨会话一致性要求高的任务，需求与架构原生设计目标匹配。</w:t>
      </w:r>
    </w:p>
    <w:p>
      <w:pPr>
        <w:spacing w:before="160" w:after="80" w:line="360" w:lineRule="auto"/>
        <w:jc w:val="left"/>
      </w:pPr>
      <w:r>
        <w:rPr>
          <w:rFonts w:ascii="Times New Roman" w:eastAsia="黑体" w:hAnsi="Times New Roman"/>
          <w:b/>
          <w:i w:val="0"/>
          <w:sz w:val="24"/>
        </w:rPr>
        <w:t>4.2  长篇创作与设定管理（分支隔离典型场景）</w:t>
      </w:r>
    </w:p>
    <w:p>
      <w:pPr>
        <w:spacing w:before="0" w:after="0" w:line="360" w:lineRule="auto"/>
        <w:jc w:val="both"/>
      </w:pPr>
      <w:r>
        <w:rPr>
          <w:rFonts w:ascii="Times New Roman" w:eastAsia="宋体" w:hAnsi="Times New Roman"/>
          <w:b w:val="0"/>
          <w:i w:val="0"/>
          <w:sz w:val="21"/>
        </w:rPr>
        <w:t>文学创作与理论推演具备结构同构性：世界观作为主分支，不同角色性格与行为逻辑使用相互隔离的独立分支，依靠命名空间实现区分。创作者普遍面临模型篡改人设、设定前后冲突的痛点；公理引用机制可以溯源角色行为对应的人设版本；设定修改属于显式版本迭代操作，消除静默覆盖风险。不同角色、不同故事路线放置于隔离分支内部，避免不同故事线之间发生设定串扰。</w:t>
      </w:r>
    </w:p>
    <w:p>
      <w:pPr>
        <w:spacing w:before="160" w:after="80" w:line="360" w:lineRule="auto"/>
        <w:jc w:val="left"/>
      </w:pPr>
      <w:r>
        <w:rPr>
          <w:rFonts w:ascii="Times New Roman" w:eastAsia="黑体" w:hAnsi="Times New Roman"/>
          <w:b/>
          <w:i w:val="0"/>
          <w:sz w:val="24"/>
        </w:rPr>
        <w:t>4.3  普通用户长期记忆（场景泛化）</w:t>
      </w:r>
    </w:p>
    <w:p>
      <w:pPr>
        <w:spacing w:before="0" w:after="0" w:line="360" w:lineRule="auto"/>
        <w:jc w:val="both"/>
      </w:pPr>
      <w:r>
        <w:rPr>
          <w:rFonts w:ascii="Times New Roman" w:eastAsia="宋体" w:hAnsi="Times New Roman"/>
          <w:b w:val="0"/>
          <w:i w:val="0"/>
          <w:sz w:val="21"/>
        </w:rPr>
        <w:t>普通用户不使用“公理”这类专业概念，对信息重要性的感知来源于现实事件的主观权重。架构底层机制无需改动，仅做面向终端用户的概念映射，如表1所示。</w:t>
      </w:r>
    </w:p>
    <w:p>
      <w:pPr>
        <w:spacing w:before="120" w:after="60" w:line="360" w:lineRule="auto"/>
        <w:jc w:val="center"/>
      </w:pPr>
      <w:r>
        <w:rPr>
          <w:rFonts w:ascii="Times New Roman" w:eastAsia="黑体" w:hAnsi="Times New Roman"/>
          <w:b/>
          <w:i w:val="0"/>
          <w:sz w:val="18"/>
        </w:rPr>
        <w:t>表1  面向理论研究者与普通终端用户的概念映射</w:t>
      </w:r>
    </w:p>
    <w:tbl>
      <w:tblPr>
        <w:jc w:val="center"/>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2551"/>
        <w:gridCol w:w="6236"/>
      </w:tblGrid>
      <w:tr>
        <w:tc>
          <w:tcPr>
            <w:tcW w:w="2551" w:type="dxa"/>
            <w:tcBorders>
              <w:top w:val="single" w:sz="12" w:space="0" w:color="000000"/>
              <w:bottom w:val="single" w:sz="8" w:space="0" w:color="000000"/>
            </w:tcBorders>
          </w:tcPr>
          <w:p>
            <w:pPr>
              <w:spacing w:before="40" w:after="40"/>
              <w:jc w:val="center"/>
            </w:pPr>
            <w:r>
              <w:rPr>
                <w:rFonts w:ascii="Times New Roman" w:eastAsia="宋体" w:hAnsi="Times New Roman"/>
                <w:b/>
                <w:i w:val="0"/>
                <w:sz w:val="18"/>
              </w:rPr>
              <w:t>面向理论研究者</w:t>
            </w:r>
          </w:p>
        </w:tc>
        <w:tc>
          <w:tcPr>
            <w:tcW w:w="6236" w:type="dxa"/>
            <w:tcBorders>
              <w:top w:val="single" w:sz="12" w:space="0" w:color="000000"/>
              <w:bottom w:val="single" w:sz="8" w:space="0" w:color="000000"/>
            </w:tcBorders>
          </w:tcPr>
          <w:p>
            <w:pPr>
              <w:spacing w:before="40" w:after="40"/>
              <w:jc w:val="center"/>
            </w:pPr>
            <w:r>
              <w:rPr>
                <w:rFonts w:ascii="Times New Roman" w:eastAsia="宋体" w:hAnsi="Times New Roman"/>
                <w:b/>
                <w:i w:val="0"/>
                <w:sz w:val="18"/>
              </w:rPr>
              <w:t>面向普通终端用户</w:t>
            </w:r>
          </w:p>
        </w:tc>
      </w:tr>
      <w:tr>
        <w:tc>
          <w:tcPr>
            <w:tcW w:w="2551" w:type="dxa"/>
          </w:tcPr>
          <w:p>
            <w:pPr>
              <w:spacing w:before="40" w:after="40"/>
              <w:jc w:val="center"/>
            </w:pPr>
            <w:r>
              <w:rPr>
                <w:rFonts w:ascii="Times New Roman" w:eastAsia="宋体" w:hAnsi="Times New Roman"/>
                <w:b w:val="0"/>
                <w:i w:val="0"/>
                <w:sz w:val="18"/>
              </w:rPr>
              <w:t>基准公理库A</w:t>
            </w:r>
          </w:p>
        </w:tc>
        <w:tc>
          <w:tcPr>
            <w:tcW w:w="6236" w:type="dxa"/>
          </w:tcPr>
          <w:p>
            <w:pPr>
              <w:spacing w:before="40" w:after="40"/>
              <w:jc w:val="center"/>
            </w:pPr>
            <w:r>
              <w:rPr>
                <w:rFonts w:ascii="Times New Roman" w:eastAsia="宋体" w:hAnsi="Times New Roman"/>
                <w:b w:val="0"/>
                <w:i w:val="0"/>
                <w:sz w:val="18"/>
              </w:rPr>
              <w:t>经过确认的重要事实、社会关系、个人目标</w:t>
            </w:r>
          </w:p>
        </w:tc>
      </w:tr>
      <w:tr>
        <w:tc>
          <w:tcPr>
            <w:tcW w:w="2551" w:type="dxa"/>
          </w:tcPr>
          <w:p>
            <w:pPr>
              <w:spacing w:before="40" w:after="40"/>
              <w:jc w:val="center"/>
            </w:pPr>
            <w:r>
              <w:rPr>
                <w:rFonts w:ascii="Times New Roman" w:eastAsia="宋体" w:hAnsi="Times New Roman"/>
                <w:b w:val="0"/>
                <w:i w:val="0"/>
                <w:sz w:val="18"/>
              </w:rPr>
              <w:t>核验卡片</w:t>
            </w:r>
          </w:p>
        </w:tc>
        <w:tc>
          <w:tcPr>
            <w:tcW w:w="6236" w:type="dxa"/>
          </w:tcPr>
          <w:p>
            <w:pPr>
              <w:spacing w:before="40" w:after="40"/>
              <w:jc w:val="center"/>
            </w:pPr>
            <w:r>
              <w:rPr>
                <w:rFonts w:ascii="Times New Roman" w:eastAsia="宋体" w:hAnsi="Times New Roman"/>
                <w:b w:val="0"/>
                <w:i w:val="0"/>
                <w:sz w:val="18"/>
              </w:rPr>
              <w:t>自然确认问句：“我将这件事记录为‘你母亲目前正在住院’，该记录是否准确？”</w:t>
            </w:r>
          </w:p>
        </w:tc>
      </w:tr>
      <w:tr>
        <w:tc>
          <w:tcPr>
            <w:tcW w:w="2551" w:type="dxa"/>
          </w:tcPr>
          <w:p>
            <w:pPr>
              <w:spacing w:before="40" w:after="40"/>
              <w:jc w:val="center"/>
            </w:pPr>
            <w:r>
              <w:rPr>
                <w:rFonts w:ascii="Times New Roman" w:eastAsia="宋体" w:hAnsi="Times New Roman"/>
                <w:b w:val="0"/>
                <w:i w:val="0"/>
                <w:sz w:val="18"/>
              </w:rPr>
              <w:t>沉淀为公理</w:t>
            </w:r>
          </w:p>
        </w:tc>
        <w:tc>
          <w:tcPr>
            <w:tcW w:w="6236" w:type="dxa"/>
          </w:tcPr>
          <w:p>
            <w:pPr>
              <w:spacing w:before="40" w:after="40"/>
              <w:jc w:val="center"/>
            </w:pPr>
            <w:r>
              <w:rPr>
                <w:rFonts w:ascii="Times New Roman" w:eastAsia="宋体" w:hAnsi="Times New Roman"/>
                <w:b w:val="0"/>
                <w:i w:val="0"/>
                <w:sz w:val="18"/>
              </w:rPr>
              <w:t>口语指令：“这点很重要，请记住”</w:t>
            </w:r>
          </w:p>
        </w:tc>
      </w:tr>
      <w:tr>
        <w:tc>
          <w:tcPr>
            <w:tcW w:w="2551" w:type="dxa"/>
          </w:tcPr>
          <w:p>
            <w:pPr>
              <w:spacing w:before="40" w:after="40"/>
              <w:jc w:val="center"/>
            </w:pPr>
            <w:r>
              <w:rPr>
                <w:rFonts w:ascii="Times New Roman" w:eastAsia="宋体" w:hAnsi="Times New Roman"/>
                <w:b w:val="0"/>
                <w:i w:val="0"/>
                <w:sz w:val="18"/>
              </w:rPr>
              <w:t>系统提议归纳</w:t>
            </w:r>
          </w:p>
        </w:tc>
        <w:tc>
          <w:tcPr>
            <w:tcW w:w="6236" w:type="dxa"/>
          </w:tcPr>
          <w:p>
            <w:pPr>
              <w:spacing w:before="40" w:after="40"/>
              <w:jc w:val="center"/>
            </w:pPr>
            <w:r>
              <w:rPr>
                <w:rFonts w:ascii="Times New Roman" w:eastAsia="宋体" w:hAnsi="Times New Roman"/>
                <w:b w:val="0"/>
                <w:i w:val="0"/>
                <w:sz w:val="18"/>
              </w:rPr>
              <w:t>提示问句：“刚才谈及的内容，是否需要我进行记忆留存？”</w:t>
            </w:r>
          </w:p>
        </w:tc>
      </w:tr>
      <w:tr>
        <w:tc>
          <w:tcPr>
            <w:tcW w:w="2551" w:type="dxa"/>
            <w:tcBorders>
              <w:bottom w:val="single" w:sz="12" w:space="0" w:color="000000"/>
            </w:tcBorders>
          </w:tcPr>
          <w:p>
            <w:pPr>
              <w:spacing w:before="40" w:after="40"/>
              <w:jc w:val="center"/>
            </w:pPr>
            <w:r>
              <w:rPr>
                <w:rFonts w:ascii="Times New Roman" w:eastAsia="宋体" w:hAnsi="Times New Roman"/>
                <w:b w:val="0"/>
                <w:i w:val="0"/>
                <w:sz w:val="18"/>
              </w:rPr>
              <w:t>冲突日志</w:t>
            </w:r>
          </w:p>
        </w:tc>
        <w:tc>
          <w:tcPr>
            <w:tcW w:w="6236" w:type="dxa"/>
            <w:tcBorders>
              <w:bottom w:val="single" w:sz="12" w:space="0" w:color="000000"/>
            </w:tcBorders>
          </w:tcPr>
          <w:p>
            <w:pPr>
              <w:spacing w:before="40" w:after="40"/>
              <w:jc w:val="center"/>
            </w:pPr>
            <w:r>
              <w:rPr>
                <w:rFonts w:ascii="Times New Roman" w:eastAsia="宋体" w:hAnsi="Times New Roman"/>
                <w:b w:val="0"/>
                <w:i w:val="0"/>
                <w:sz w:val="18"/>
              </w:rPr>
              <w:t>矛盾提示：“你此前表述计划更换工作，当前想法是否发生变化？”</w:t>
            </w:r>
          </w:p>
        </w:tc>
      </w:tr>
    </w:tbl>
    <w:p>
      <w:pPr>
        <w:spacing w:before="120" w:after="0" w:line="360" w:lineRule="auto"/>
        <w:jc w:val="both"/>
      </w:pPr>
      <w:r>
        <w:rPr>
          <w:rFonts w:ascii="Times New Roman" w:eastAsia="宋体" w:hAnsi="Times New Roman"/>
          <w:b w:val="0"/>
          <w:i w:val="0"/>
          <w:sz w:val="21"/>
        </w:rPr>
        <w:t>面向普通用户场景，调高系统提议归纳路径权重，同时保留同一话题不重复提议的约束，避免交互骚扰。</w:t>
      </w:r>
    </w:p>
    <w:p>
      <w:pPr>
        <w:spacing w:before="0" w:after="0" w:line="360" w:lineRule="auto"/>
        <w:jc w:val="both"/>
      </w:pPr>
      <w:r>
        <w:rPr>
          <w:rFonts w:ascii="Times New Roman" w:eastAsia="宋体" w:hAnsi="Times New Roman"/>
          <w:b w:val="0"/>
          <w:i w:val="0"/>
          <w:sz w:val="21"/>
        </w:rPr>
        <w:t>人际交互场景下的记忆行为，并不要求完整复现对方全部对话细节，而是聚焦于对方主观层面的关键信息。人类个体本身不会完整留存日常生活全部细碎事件，记忆系统也不必对全部会话内容做持久化生效记忆。类比个人日记行为，日记不会逐字记录全部对话，仅筛选记录具备价值的事件与想法。</w:t>
      </w:r>
    </w:p>
    <w:p>
      <w:pPr>
        <w:spacing w:before="0" w:after="0" w:line="360" w:lineRule="auto"/>
        <w:jc w:val="both"/>
      </w:pPr>
      <w:r>
        <w:rPr>
          <w:rFonts w:ascii="Times New Roman" w:eastAsia="宋体" w:hAnsi="Times New Roman"/>
          <w:b w:val="0"/>
          <w:i w:val="0"/>
          <w:sz w:val="21"/>
        </w:rPr>
        <w:t>全量存储方案虽然可以保存全部会话文本，但会留存大量用户已经遗忘、不再认可的历史片段。若系统将该类归档片段直接投入常规交互，极易引发语境错位、信息串台，降低交互体验。记忆系统的目标不是完整存储会话文本，而是留存用户主观上真正在意的信息。配合话题触发按需加载机制，会话切换主题时，仅载入当前话题相关的确认记忆，其余内容转入冷存储，贴合人类对话过程中的记忆调取习惯。</w:t>
      </w:r>
    </w:p>
    <w:p>
      <w:pPr>
        <w:spacing w:before="0" w:after="0" w:line="360" w:lineRule="auto"/>
        <w:jc w:val="both"/>
      </w:pPr>
      <w:r>
        <w:rPr>
          <w:rFonts w:ascii="Times New Roman" w:eastAsia="宋体" w:hAnsi="Times New Roman"/>
          <w:b w:val="0"/>
          <w:i w:val="0"/>
          <w:sz w:val="21"/>
        </w:rPr>
        <w:t>相比全量存储方案，本架构具备两项核心优势：</w:t>
      </w:r>
    </w:p>
    <w:p>
      <w:pPr>
        <w:spacing w:before="0" w:after="0" w:line="360" w:lineRule="auto"/>
        <w:jc w:val="both"/>
      </w:pPr>
      <w:r>
        <w:rPr>
          <w:rFonts w:ascii="Times New Roman" w:eastAsia="宋体" w:hAnsi="Times New Roman"/>
          <w:b w:val="0"/>
          <w:i w:val="0"/>
          <w:sz w:val="21"/>
        </w:rPr>
        <w:t>（1）记忆对齐问题。全量机制召回用户已经遗忘且不予认可的历史记录，造成语义失效；</w:t>
      </w:r>
    </w:p>
    <w:p>
      <w:pPr>
        <w:spacing w:before="0" w:after="0" w:line="360" w:lineRule="auto"/>
        <w:jc w:val="both"/>
      </w:pPr>
      <w:r>
        <w:rPr>
          <w:rFonts w:ascii="Times New Roman" w:eastAsia="宋体" w:hAnsi="Times New Roman"/>
          <w:b w:val="0"/>
          <w:i w:val="0"/>
          <w:sz w:val="21"/>
        </w:rPr>
        <w:t>（2）信息串台问题。多话题、多时期会话交错，无隔离架构容易错误调用过期语境；分支隔离与话题按需加载从机制层面降低串台概率，而非仅依靠概率优化。</w:t>
      </w:r>
    </w:p>
    <w:p>
      <w:pPr>
        <w:spacing w:before="0" w:after="0" w:line="360" w:lineRule="auto"/>
        <w:jc w:val="both"/>
      </w:pPr>
      <w:r>
        <w:rPr>
          <w:rFonts w:ascii="Times New Roman" w:eastAsia="宋体" w:hAnsi="Times New Roman"/>
          <w:b w:val="0"/>
          <w:i w:val="0"/>
          <w:sz w:val="21"/>
        </w:rPr>
        <w:t>本架构复现人类现实交互模式：随会话切换话题，仅留存交互双方认可的关键信息，其余信息自然淡化，不对人类认知规律做逆向对抗。</w:t>
      </w:r>
    </w:p>
    <w:p>
      <w:pPr>
        <w:spacing w:before="160" w:after="80" w:line="360" w:lineRule="auto"/>
        <w:jc w:val="left"/>
      </w:pPr>
      <w:r>
        <w:rPr>
          <w:rFonts w:ascii="Times New Roman" w:eastAsia="黑体" w:hAnsi="Times New Roman"/>
          <w:b/>
          <w:i w:val="0"/>
          <w:sz w:val="24"/>
        </w:rPr>
        <w:t>4.4  适用边界</w:t>
      </w:r>
    </w:p>
    <w:p>
      <w:pPr>
        <w:spacing w:before="0" w:after="0" w:line="360" w:lineRule="auto"/>
        <w:jc w:val="both"/>
      </w:pPr>
      <w:r>
        <w:rPr>
          <w:rFonts w:ascii="Times New Roman" w:eastAsia="宋体" w:hAnsi="Times New Roman"/>
          <w:b w:val="0"/>
          <w:i w:val="0"/>
          <w:sz w:val="21"/>
        </w:rPr>
        <w:t>简单闲聊、一次性问答场景下，核验流程会增加交互开销，此时可关闭核验闸门，降级为碎片存储模式。闸门、公理引用机制均为可配置项，由用户根据应用场景开关。</w:t>
      </w:r>
    </w:p>
    <w:p>
      <w:pPr>
        <w:spacing w:before="240" w:after="120" w:line="360" w:lineRule="auto"/>
        <w:jc w:val="center"/>
      </w:pPr>
      <w:r>
        <w:rPr>
          <w:rFonts w:ascii="Times New Roman" w:eastAsia="黑体" w:hAnsi="Times New Roman"/>
          <w:b/>
          <w:i w:val="0"/>
          <w:sz w:val="28"/>
        </w:rPr>
        <w:t>5  对比分析</w:t>
      </w:r>
    </w:p>
    <w:p>
      <w:pPr>
        <w:spacing w:before="0" w:after="0" w:line="360" w:lineRule="auto"/>
        <w:jc w:val="both"/>
      </w:pPr>
      <w:r>
        <w:rPr>
          <w:rFonts w:ascii="Times New Roman" w:eastAsia="宋体" w:hAnsi="Times New Roman"/>
          <w:b w:val="0"/>
          <w:i w:val="0"/>
          <w:sz w:val="21"/>
        </w:rPr>
        <w:t>从概念漂移风险、长期算力开销、迭代修订能力、前置写入核验闸门、漂移可审计性、多路线并行支持六个维度对比主流方案与本文分片式记忆架构。</w:t>
      </w:r>
    </w:p>
    <w:p>
      <w:pPr>
        <w:spacing w:before="0" w:after="0" w:line="360" w:lineRule="auto"/>
        <w:jc w:val="both"/>
      </w:pPr>
      <w:r>
        <w:rPr>
          <w:rFonts w:ascii="Times New Roman" w:eastAsia="宋体" w:hAnsi="Times New Roman"/>
          <w:b w:val="0"/>
          <w:i w:val="0"/>
          <w:sz w:val="21"/>
        </w:rPr>
        <w:t>以日均2小时交互的用户做算力存储量级测算：原始纯文本年增量约35MB；叠加向量嵌入、多粒度切片与中间版本，存储规模膨胀5-20倍，大规模用户场景下存储体量达到EB级别，且数据只增不减。库容持续扩张会带来检索信噪比下降；长上下文方案每轮推理需要加载全部历史，长期运行Token开销巨大。全量存储最终陷入“可存储、检索不准、运行成本高昂”的困境。</w:t>
      </w:r>
    </w:p>
    <w:p>
      <w:pPr>
        <w:spacing w:before="0" w:after="0" w:line="360" w:lineRule="auto"/>
        <w:jc w:val="both"/>
      </w:pPr>
      <w:r>
        <w:rPr>
          <w:rFonts w:ascii="Times New Roman" w:eastAsia="宋体" w:hAnsi="Times New Roman"/>
          <w:b w:val="0"/>
          <w:i w:val="0"/>
          <w:sz w:val="21"/>
        </w:rPr>
        <w:t>本架构长期存储规模正比于沉淀的高价值知识与活跃碎片体量，独立于总交互数据量；单轮Token消耗仅关联当前话题，与历史会话总长度无关。</w:t>
      </w:r>
    </w:p>
    <w:p>
      <w:pPr>
        <w:spacing w:before="120" w:after="60" w:line="360" w:lineRule="auto"/>
        <w:jc w:val="center"/>
      </w:pPr>
      <w:r>
        <w:rPr>
          <w:rFonts w:ascii="Times New Roman" w:eastAsia="黑体" w:hAnsi="Times New Roman"/>
          <w:b/>
          <w:i w:val="0"/>
          <w:sz w:val="18"/>
        </w:rPr>
        <w:t>表2  各类记忆实现方案综合对比</w:t>
      </w:r>
    </w:p>
    <w:tbl>
      <w:tblPr>
        <w:jc w:val="center"/>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1701"/>
        <w:gridCol w:w="1134"/>
        <w:gridCol w:w="1247"/>
        <w:gridCol w:w="1474"/>
        <w:gridCol w:w="1644"/>
        <w:gridCol w:w="1531"/>
        <w:gridCol w:w="1191"/>
      </w:tblGrid>
      <w:tr>
        <w:tc>
          <w:tcPr>
            <w:tcW w:w="1701" w:type="dxa"/>
            <w:tcBorders>
              <w:top w:val="single" w:sz="12" w:space="0" w:color="000000"/>
              <w:bottom w:val="single" w:sz="8" w:space="0" w:color="000000"/>
            </w:tcBorders>
          </w:tcPr>
          <w:p>
            <w:pPr>
              <w:spacing w:before="40" w:after="40"/>
              <w:jc w:val="center"/>
            </w:pPr>
            <w:r>
              <w:rPr>
                <w:rFonts w:ascii="Times New Roman" w:eastAsia="宋体" w:hAnsi="Times New Roman"/>
                <w:b/>
                <w:i w:val="0"/>
                <w:sz w:val="18"/>
              </w:rPr>
              <w:t>方案</w:t>
            </w:r>
          </w:p>
        </w:tc>
        <w:tc>
          <w:tcPr>
            <w:tcW w:w="1134" w:type="dxa"/>
            <w:tcBorders>
              <w:top w:val="single" w:sz="12" w:space="0" w:color="000000"/>
              <w:bottom w:val="single" w:sz="8" w:space="0" w:color="000000"/>
            </w:tcBorders>
          </w:tcPr>
          <w:p>
            <w:pPr>
              <w:spacing w:before="40" w:after="40"/>
              <w:jc w:val="center"/>
            </w:pPr>
            <w:r>
              <w:rPr>
                <w:rFonts w:ascii="Times New Roman" w:eastAsia="宋体" w:hAnsi="Times New Roman"/>
                <w:b/>
                <w:i w:val="0"/>
                <w:sz w:val="18"/>
              </w:rPr>
              <w:t>概念漂移风险</w:t>
            </w:r>
          </w:p>
        </w:tc>
        <w:tc>
          <w:tcPr>
            <w:tcW w:w="1247" w:type="dxa"/>
            <w:tcBorders>
              <w:top w:val="single" w:sz="12" w:space="0" w:color="000000"/>
              <w:bottom w:val="single" w:sz="8" w:space="0" w:color="000000"/>
            </w:tcBorders>
          </w:tcPr>
          <w:p>
            <w:pPr>
              <w:spacing w:before="40" w:after="40"/>
              <w:jc w:val="center"/>
            </w:pPr>
            <w:r>
              <w:rPr>
                <w:rFonts w:ascii="Times New Roman" w:eastAsia="宋体" w:hAnsi="Times New Roman"/>
                <w:b/>
                <w:i w:val="0"/>
                <w:sz w:val="18"/>
              </w:rPr>
              <w:t>长期算力开销</w:t>
            </w:r>
          </w:p>
        </w:tc>
        <w:tc>
          <w:tcPr>
            <w:tcW w:w="1474" w:type="dxa"/>
            <w:tcBorders>
              <w:top w:val="single" w:sz="12" w:space="0" w:color="000000"/>
              <w:bottom w:val="single" w:sz="8" w:space="0" w:color="000000"/>
            </w:tcBorders>
          </w:tcPr>
          <w:p>
            <w:pPr>
              <w:spacing w:before="40" w:after="40"/>
              <w:jc w:val="center"/>
            </w:pPr>
            <w:r>
              <w:rPr>
                <w:rFonts w:ascii="Times New Roman" w:eastAsia="宋体" w:hAnsi="Times New Roman"/>
                <w:b/>
                <w:i w:val="0"/>
                <w:sz w:val="18"/>
              </w:rPr>
              <w:t>迭代修订能力</w:t>
            </w:r>
          </w:p>
        </w:tc>
        <w:tc>
          <w:tcPr>
            <w:tcW w:w="1644" w:type="dxa"/>
            <w:tcBorders>
              <w:top w:val="single" w:sz="12" w:space="0" w:color="000000"/>
              <w:bottom w:val="single" w:sz="8" w:space="0" w:color="000000"/>
            </w:tcBorders>
          </w:tcPr>
          <w:p>
            <w:pPr>
              <w:spacing w:before="40" w:after="40"/>
              <w:jc w:val="center"/>
            </w:pPr>
            <w:r>
              <w:rPr>
                <w:rFonts w:ascii="Times New Roman" w:eastAsia="宋体" w:hAnsi="Times New Roman"/>
                <w:b/>
                <w:i w:val="0"/>
                <w:sz w:val="18"/>
              </w:rPr>
              <w:t>写入前核验闸门</w:t>
            </w:r>
          </w:p>
        </w:tc>
        <w:tc>
          <w:tcPr>
            <w:tcW w:w="1531" w:type="dxa"/>
            <w:tcBorders>
              <w:top w:val="single" w:sz="12" w:space="0" w:color="000000"/>
              <w:bottom w:val="single" w:sz="8" w:space="0" w:color="000000"/>
            </w:tcBorders>
          </w:tcPr>
          <w:p>
            <w:pPr>
              <w:spacing w:before="40" w:after="40"/>
              <w:jc w:val="center"/>
            </w:pPr>
            <w:r>
              <w:rPr>
                <w:rFonts w:ascii="Times New Roman" w:eastAsia="宋体" w:hAnsi="Times New Roman"/>
                <w:b/>
                <w:i w:val="0"/>
                <w:sz w:val="18"/>
              </w:rPr>
              <w:t>漂移可审计性</w:t>
            </w:r>
          </w:p>
        </w:tc>
        <w:tc>
          <w:tcPr>
            <w:tcW w:w="1191" w:type="dxa"/>
            <w:tcBorders>
              <w:top w:val="single" w:sz="12" w:space="0" w:color="000000"/>
              <w:bottom w:val="single" w:sz="8" w:space="0" w:color="000000"/>
            </w:tcBorders>
          </w:tcPr>
          <w:p>
            <w:pPr>
              <w:spacing w:before="40" w:after="40"/>
              <w:jc w:val="center"/>
            </w:pPr>
            <w:r>
              <w:rPr>
                <w:rFonts w:ascii="Times New Roman" w:eastAsia="宋体" w:hAnsi="Times New Roman"/>
                <w:b/>
                <w:i w:val="0"/>
                <w:sz w:val="18"/>
              </w:rPr>
              <w:t>多路线并行</w:t>
            </w:r>
          </w:p>
        </w:tc>
      </w:tr>
      <w:tr>
        <w:tc>
          <w:tcPr>
            <w:tcW w:w="1701" w:type="dxa"/>
          </w:tcPr>
          <w:p>
            <w:pPr>
              <w:spacing w:before="40" w:after="40"/>
              <w:jc w:val="center"/>
            </w:pPr>
            <w:r>
              <w:rPr>
                <w:rFonts w:ascii="Times New Roman" w:eastAsia="宋体" w:hAnsi="Times New Roman"/>
                <w:b w:val="0"/>
                <w:i w:val="0"/>
                <w:sz w:val="18"/>
              </w:rPr>
              <w:t>原生长上下文拼接</w:t>
            </w:r>
          </w:p>
        </w:tc>
        <w:tc>
          <w:tcPr>
            <w:tcW w:w="1134" w:type="dxa"/>
          </w:tcPr>
          <w:p>
            <w:pPr>
              <w:spacing w:before="40" w:after="40"/>
              <w:jc w:val="center"/>
            </w:pPr>
            <w:r>
              <w:rPr>
                <w:rFonts w:ascii="Times New Roman" w:eastAsia="宋体" w:hAnsi="Times New Roman"/>
                <w:b w:val="0"/>
                <w:i w:val="0"/>
                <w:sz w:val="18"/>
              </w:rPr>
              <w:t>高</w:t>
            </w:r>
          </w:p>
        </w:tc>
        <w:tc>
          <w:tcPr>
            <w:tcW w:w="1247" w:type="dxa"/>
          </w:tcPr>
          <w:p>
            <w:pPr>
              <w:spacing w:before="40" w:after="40"/>
              <w:jc w:val="center"/>
            </w:pPr>
            <w:r>
              <w:rPr>
                <w:rFonts w:ascii="Times New Roman" w:eastAsia="宋体" w:hAnsi="Times New Roman"/>
                <w:b w:val="0"/>
                <w:i w:val="0"/>
                <w:sz w:val="18"/>
              </w:rPr>
              <w:t>高</w:t>
            </w:r>
          </w:p>
        </w:tc>
        <w:tc>
          <w:tcPr>
            <w:tcW w:w="1474" w:type="dxa"/>
          </w:tcPr>
          <w:p>
            <w:pPr>
              <w:spacing w:before="40" w:after="40"/>
              <w:jc w:val="center"/>
            </w:pPr>
            <w:r>
              <w:rPr>
                <w:rFonts w:ascii="Times New Roman" w:eastAsia="宋体" w:hAnsi="Times New Roman"/>
                <w:b w:val="0"/>
                <w:i w:val="0"/>
                <w:sz w:val="18"/>
              </w:rPr>
              <w:t>差</w:t>
            </w:r>
          </w:p>
        </w:tc>
        <w:tc>
          <w:tcPr>
            <w:tcW w:w="1644" w:type="dxa"/>
          </w:tcPr>
          <w:p>
            <w:pPr>
              <w:spacing w:before="40" w:after="40"/>
              <w:jc w:val="center"/>
            </w:pPr>
            <w:r>
              <w:rPr>
                <w:rFonts w:ascii="Times New Roman" w:eastAsia="宋体" w:hAnsi="Times New Roman"/>
                <w:b w:val="0"/>
                <w:i w:val="0"/>
                <w:sz w:val="18"/>
              </w:rPr>
              <w:t>无</w:t>
            </w:r>
          </w:p>
        </w:tc>
        <w:tc>
          <w:tcPr>
            <w:tcW w:w="1531" w:type="dxa"/>
          </w:tcPr>
          <w:p>
            <w:pPr>
              <w:spacing w:before="40" w:after="40"/>
              <w:jc w:val="center"/>
            </w:pPr>
            <w:r>
              <w:rPr>
                <w:rFonts w:ascii="Times New Roman" w:eastAsia="宋体" w:hAnsi="Times New Roman"/>
                <w:b w:val="0"/>
                <w:i w:val="0"/>
                <w:sz w:val="18"/>
              </w:rPr>
              <w:t>无</w:t>
            </w:r>
          </w:p>
        </w:tc>
        <w:tc>
          <w:tcPr>
            <w:tcW w:w="1191" w:type="dxa"/>
          </w:tcPr>
          <w:p>
            <w:pPr>
              <w:spacing w:before="40" w:after="40"/>
              <w:jc w:val="center"/>
            </w:pPr>
            <w:r>
              <w:rPr>
                <w:rFonts w:ascii="Times New Roman" w:eastAsia="宋体" w:hAnsi="Times New Roman"/>
                <w:b w:val="0"/>
                <w:i w:val="0"/>
                <w:sz w:val="18"/>
              </w:rPr>
              <w:t>无</w:t>
            </w:r>
          </w:p>
        </w:tc>
      </w:tr>
      <w:tr>
        <w:tc>
          <w:tcPr>
            <w:tcW w:w="1701" w:type="dxa"/>
          </w:tcPr>
          <w:p>
            <w:pPr>
              <w:spacing w:before="40" w:after="40"/>
              <w:jc w:val="center"/>
            </w:pPr>
            <w:r>
              <w:rPr>
                <w:rFonts w:ascii="Times New Roman" w:eastAsia="宋体" w:hAnsi="Times New Roman"/>
                <w:b w:val="0"/>
                <w:i w:val="0"/>
                <w:sz w:val="18"/>
              </w:rPr>
              <w:t>会话自动压缩</w:t>
            </w:r>
          </w:p>
        </w:tc>
        <w:tc>
          <w:tcPr>
            <w:tcW w:w="1134" w:type="dxa"/>
          </w:tcPr>
          <w:p>
            <w:pPr>
              <w:spacing w:before="40" w:after="40"/>
              <w:jc w:val="center"/>
            </w:pPr>
            <w:r>
              <w:rPr>
                <w:rFonts w:ascii="Times New Roman" w:eastAsia="宋体" w:hAnsi="Times New Roman"/>
                <w:b w:val="0"/>
                <w:i w:val="0"/>
                <w:sz w:val="18"/>
              </w:rPr>
              <w:t>较高</w:t>
            </w:r>
          </w:p>
        </w:tc>
        <w:tc>
          <w:tcPr>
            <w:tcW w:w="1247" w:type="dxa"/>
          </w:tcPr>
          <w:p>
            <w:pPr>
              <w:spacing w:before="40" w:after="40"/>
              <w:jc w:val="center"/>
            </w:pPr>
            <w:r>
              <w:rPr>
                <w:rFonts w:ascii="Times New Roman" w:eastAsia="宋体" w:hAnsi="Times New Roman"/>
                <w:b w:val="0"/>
                <w:i w:val="0"/>
                <w:sz w:val="18"/>
              </w:rPr>
              <w:t>中等</w:t>
            </w:r>
          </w:p>
        </w:tc>
        <w:tc>
          <w:tcPr>
            <w:tcW w:w="1474" w:type="dxa"/>
          </w:tcPr>
          <w:p>
            <w:pPr>
              <w:spacing w:before="40" w:after="40"/>
              <w:jc w:val="center"/>
            </w:pPr>
            <w:r>
              <w:rPr>
                <w:rFonts w:ascii="Times New Roman" w:eastAsia="宋体" w:hAnsi="Times New Roman"/>
                <w:b w:val="0"/>
                <w:i w:val="0"/>
                <w:sz w:val="18"/>
              </w:rPr>
              <w:t>差</w:t>
            </w:r>
          </w:p>
        </w:tc>
        <w:tc>
          <w:tcPr>
            <w:tcW w:w="1644" w:type="dxa"/>
          </w:tcPr>
          <w:p>
            <w:pPr>
              <w:spacing w:before="40" w:after="40"/>
              <w:jc w:val="center"/>
            </w:pPr>
            <w:r>
              <w:rPr>
                <w:rFonts w:ascii="Times New Roman" w:eastAsia="宋体" w:hAnsi="Times New Roman"/>
                <w:b w:val="0"/>
                <w:i w:val="0"/>
                <w:sz w:val="18"/>
              </w:rPr>
              <w:t>无</w:t>
            </w:r>
          </w:p>
        </w:tc>
        <w:tc>
          <w:tcPr>
            <w:tcW w:w="1531" w:type="dxa"/>
          </w:tcPr>
          <w:p>
            <w:pPr>
              <w:spacing w:before="40" w:after="40"/>
              <w:jc w:val="center"/>
            </w:pPr>
            <w:r>
              <w:rPr>
                <w:rFonts w:ascii="Times New Roman" w:eastAsia="宋体" w:hAnsi="Times New Roman"/>
                <w:b w:val="0"/>
                <w:i w:val="0"/>
                <w:sz w:val="18"/>
              </w:rPr>
              <w:t>无</w:t>
            </w:r>
          </w:p>
        </w:tc>
        <w:tc>
          <w:tcPr>
            <w:tcW w:w="1191" w:type="dxa"/>
          </w:tcPr>
          <w:p>
            <w:pPr>
              <w:spacing w:before="40" w:after="40"/>
              <w:jc w:val="center"/>
            </w:pPr>
            <w:r>
              <w:rPr>
                <w:rFonts w:ascii="Times New Roman" w:eastAsia="宋体" w:hAnsi="Times New Roman"/>
                <w:b w:val="0"/>
                <w:i w:val="0"/>
                <w:sz w:val="18"/>
              </w:rPr>
              <w:t>无</w:t>
            </w:r>
          </w:p>
        </w:tc>
      </w:tr>
      <w:tr>
        <w:tc>
          <w:tcPr>
            <w:tcW w:w="1701" w:type="dxa"/>
          </w:tcPr>
          <w:p>
            <w:pPr>
              <w:spacing w:before="40" w:after="40"/>
              <w:jc w:val="center"/>
            </w:pPr>
            <w:r>
              <w:rPr>
                <w:rFonts w:ascii="Times New Roman" w:eastAsia="宋体" w:hAnsi="Times New Roman"/>
                <w:b w:val="0"/>
                <w:i w:val="0"/>
                <w:sz w:val="18"/>
              </w:rPr>
              <w:t>全自动向量记忆（Mem0类）</w:t>
            </w:r>
          </w:p>
        </w:tc>
        <w:tc>
          <w:tcPr>
            <w:tcW w:w="1134" w:type="dxa"/>
          </w:tcPr>
          <w:p>
            <w:pPr>
              <w:spacing w:before="40" w:after="40"/>
              <w:jc w:val="center"/>
            </w:pPr>
            <w:r>
              <w:rPr>
                <w:rFonts w:ascii="Times New Roman" w:eastAsia="宋体" w:hAnsi="Times New Roman"/>
                <w:b w:val="0"/>
                <w:i w:val="0"/>
                <w:sz w:val="18"/>
              </w:rPr>
              <w:t>较高</w:t>
            </w:r>
          </w:p>
        </w:tc>
        <w:tc>
          <w:tcPr>
            <w:tcW w:w="1247" w:type="dxa"/>
          </w:tcPr>
          <w:p>
            <w:pPr>
              <w:spacing w:before="40" w:after="40"/>
              <w:jc w:val="center"/>
            </w:pPr>
            <w:r>
              <w:rPr>
                <w:rFonts w:ascii="Times New Roman" w:eastAsia="宋体" w:hAnsi="Times New Roman"/>
                <w:b w:val="0"/>
                <w:i w:val="0"/>
                <w:sz w:val="18"/>
              </w:rPr>
              <w:t>中高</w:t>
            </w:r>
          </w:p>
        </w:tc>
        <w:tc>
          <w:tcPr>
            <w:tcW w:w="1474" w:type="dxa"/>
          </w:tcPr>
          <w:p>
            <w:pPr>
              <w:spacing w:before="40" w:after="40"/>
              <w:jc w:val="center"/>
            </w:pPr>
            <w:r>
              <w:rPr>
                <w:rFonts w:ascii="Times New Roman" w:eastAsia="宋体" w:hAnsi="Times New Roman"/>
                <w:b w:val="0"/>
                <w:i w:val="0"/>
                <w:sz w:val="18"/>
              </w:rPr>
              <w:t>差（仅支持事后删改）</w:t>
            </w:r>
          </w:p>
        </w:tc>
        <w:tc>
          <w:tcPr>
            <w:tcW w:w="1644" w:type="dxa"/>
          </w:tcPr>
          <w:p>
            <w:pPr>
              <w:spacing w:before="40" w:after="40"/>
              <w:jc w:val="center"/>
            </w:pPr>
            <w:r>
              <w:rPr>
                <w:rFonts w:ascii="Times New Roman" w:eastAsia="宋体" w:hAnsi="Times New Roman"/>
                <w:b w:val="0"/>
                <w:i w:val="0"/>
                <w:sz w:val="18"/>
              </w:rPr>
              <w:t>无（自动写入）</w:t>
            </w:r>
          </w:p>
        </w:tc>
        <w:tc>
          <w:tcPr>
            <w:tcW w:w="1531" w:type="dxa"/>
          </w:tcPr>
          <w:p>
            <w:pPr>
              <w:spacing w:before="40" w:after="40"/>
              <w:jc w:val="center"/>
            </w:pPr>
            <w:r>
              <w:rPr>
                <w:rFonts w:ascii="Times New Roman" w:eastAsia="宋体" w:hAnsi="Times New Roman"/>
                <w:b w:val="0"/>
                <w:i w:val="0"/>
                <w:sz w:val="18"/>
              </w:rPr>
              <w:t>弱</w:t>
            </w:r>
          </w:p>
        </w:tc>
        <w:tc>
          <w:tcPr>
            <w:tcW w:w="1191" w:type="dxa"/>
          </w:tcPr>
          <w:p>
            <w:pPr>
              <w:spacing w:before="40" w:after="40"/>
              <w:jc w:val="center"/>
            </w:pPr>
            <w:r>
              <w:rPr>
                <w:rFonts w:ascii="Times New Roman" w:eastAsia="宋体" w:hAnsi="Times New Roman"/>
                <w:b w:val="0"/>
                <w:i w:val="0"/>
                <w:sz w:val="18"/>
              </w:rPr>
              <w:t>无</w:t>
            </w:r>
          </w:p>
        </w:tc>
      </w:tr>
      <w:tr>
        <w:tc>
          <w:tcPr>
            <w:tcW w:w="1701" w:type="dxa"/>
          </w:tcPr>
          <w:p>
            <w:pPr>
              <w:spacing w:before="40" w:after="40"/>
              <w:jc w:val="center"/>
            </w:pPr>
            <w:r>
              <w:rPr>
                <w:rFonts w:ascii="Times New Roman" w:eastAsia="宋体" w:hAnsi="Times New Roman"/>
                <w:b w:val="0"/>
                <w:i w:val="0"/>
                <w:sz w:val="18"/>
              </w:rPr>
              <w:t>自编辑记忆块（Letta类）</w:t>
            </w:r>
          </w:p>
        </w:tc>
        <w:tc>
          <w:tcPr>
            <w:tcW w:w="1134" w:type="dxa"/>
          </w:tcPr>
          <w:p>
            <w:pPr>
              <w:spacing w:before="40" w:after="40"/>
              <w:jc w:val="center"/>
            </w:pPr>
            <w:r>
              <w:rPr>
                <w:rFonts w:ascii="Times New Roman" w:eastAsia="宋体" w:hAnsi="Times New Roman"/>
                <w:b w:val="0"/>
                <w:i w:val="0"/>
                <w:sz w:val="18"/>
              </w:rPr>
              <w:t>中</w:t>
            </w:r>
          </w:p>
        </w:tc>
        <w:tc>
          <w:tcPr>
            <w:tcW w:w="1247" w:type="dxa"/>
          </w:tcPr>
          <w:p>
            <w:pPr>
              <w:spacing w:before="40" w:after="40"/>
              <w:jc w:val="center"/>
            </w:pPr>
            <w:r>
              <w:rPr>
                <w:rFonts w:ascii="Times New Roman" w:eastAsia="宋体" w:hAnsi="Times New Roman"/>
                <w:b w:val="0"/>
                <w:i w:val="0"/>
                <w:sz w:val="18"/>
              </w:rPr>
              <w:t>中高</w:t>
            </w:r>
          </w:p>
        </w:tc>
        <w:tc>
          <w:tcPr>
            <w:tcW w:w="1474" w:type="dxa"/>
          </w:tcPr>
          <w:p>
            <w:pPr>
              <w:spacing w:before="40" w:after="40"/>
              <w:jc w:val="center"/>
            </w:pPr>
            <w:r>
              <w:rPr>
                <w:rFonts w:ascii="Times New Roman" w:eastAsia="宋体" w:hAnsi="Times New Roman"/>
                <w:b w:val="0"/>
                <w:i w:val="0"/>
                <w:sz w:val="18"/>
              </w:rPr>
              <w:t>中等</w:t>
            </w:r>
          </w:p>
        </w:tc>
        <w:tc>
          <w:tcPr>
            <w:tcW w:w="1644" w:type="dxa"/>
          </w:tcPr>
          <w:p>
            <w:pPr>
              <w:spacing w:before="40" w:after="40"/>
              <w:jc w:val="center"/>
            </w:pPr>
            <w:r>
              <w:rPr>
                <w:rFonts w:ascii="Times New Roman" w:eastAsia="宋体" w:hAnsi="Times New Roman"/>
                <w:b w:val="0"/>
                <w:i w:val="0"/>
                <w:sz w:val="18"/>
              </w:rPr>
              <w:t>无（仅粗粒度写锁）</w:t>
            </w:r>
          </w:p>
        </w:tc>
        <w:tc>
          <w:tcPr>
            <w:tcW w:w="1531" w:type="dxa"/>
          </w:tcPr>
          <w:p>
            <w:pPr>
              <w:spacing w:before="40" w:after="40"/>
              <w:jc w:val="center"/>
            </w:pPr>
            <w:r>
              <w:rPr>
                <w:rFonts w:ascii="Times New Roman" w:eastAsia="宋体" w:hAnsi="Times New Roman"/>
                <w:b w:val="0"/>
                <w:i w:val="0"/>
                <w:sz w:val="18"/>
              </w:rPr>
              <w:t>弱</w:t>
            </w:r>
          </w:p>
        </w:tc>
        <w:tc>
          <w:tcPr>
            <w:tcW w:w="1191" w:type="dxa"/>
          </w:tcPr>
          <w:p>
            <w:pPr>
              <w:spacing w:before="40" w:after="40"/>
              <w:jc w:val="center"/>
            </w:pPr>
            <w:r>
              <w:rPr>
                <w:rFonts w:ascii="Times New Roman" w:eastAsia="宋体" w:hAnsi="Times New Roman"/>
                <w:b w:val="0"/>
                <w:i w:val="0"/>
                <w:sz w:val="18"/>
              </w:rPr>
              <w:t>无原生支持</w:t>
            </w:r>
          </w:p>
        </w:tc>
      </w:tr>
      <w:tr>
        <w:tc>
          <w:tcPr>
            <w:tcW w:w="1701" w:type="dxa"/>
            <w:tcBorders>
              <w:bottom w:val="single" w:sz="12" w:space="0" w:color="000000"/>
            </w:tcBorders>
          </w:tcPr>
          <w:p>
            <w:pPr>
              <w:spacing w:before="40" w:after="40"/>
              <w:jc w:val="center"/>
            </w:pPr>
            <w:r>
              <w:rPr>
                <w:rFonts w:ascii="Times New Roman" w:eastAsia="宋体" w:hAnsi="Times New Roman"/>
                <w:b w:val="0"/>
                <w:i w:val="0"/>
                <w:sz w:val="18"/>
              </w:rPr>
              <w:t>本文分片架构</w:t>
            </w:r>
          </w:p>
        </w:tc>
        <w:tc>
          <w:tcPr>
            <w:tcW w:w="1134" w:type="dxa"/>
            <w:tcBorders>
              <w:bottom w:val="single" w:sz="12" w:space="0" w:color="000000"/>
            </w:tcBorders>
          </w:tcPr>
          <w:p>
            <w:pPr>
              <w:spacing w:before="40" w:after="40"/>
              <w:jc w:val="center"/>
            </w:pPr>
            <w:r>
              <w:rPr>
                <w:rFonts w:ascii="Times New Roman" w:eastAsia="宋体" w:hAnsi="Times New Roman"/>
                <w:b w:val="0"/>
                <w:i w:val="0"/>
                <w:sz w:val="18"/>
              </w:rPr>
              <w:t>低</w:t>
            </w:r>
          </w:p>
        </w:tc>
        <w:tc>
          <w:tcPr>
            <w:tcW w:w="1247" w:type="dxa"/>
            <w:tcBorders>
              <w:bottom w:val="single" w:sz="12" w:space="0" w:color="000000"/>
            </w:tcBorders>
          </w:tcPr>
          <w:p>
            <w:pPr>
              <w:spacing w:before="40" w:after="40"/>
              <w:jc w:val="center"/>
            </w:pPr>
            <w:r>
              <w:rPr>
                <w:rFonts w:ascii="Times New Roman" w:eastAsia="宋体" w:hAnsi="Times New Roman"/>
                <w:b w:val="0"/>
                <w:i w:val="0"/>
                <w:sz w:val="18"/>
              </w:rPr>
              <w:t>低（按需加载）</w:t>
            </w:r>
          </w:p>
        </w:tc>
        <w:tc>
          <w:tcPr>
            <w:tcW w:w="1474" w:type="dxa"/>
            <w:tcBorders>
              <w:bottom w:val="single" w:sz="12" w:space="0" w:color="000000"/>
            </w:tcBorders>
          </w:tcPr>
          <w:p>
            <w:pPr>
              <w:spacing w:before="40" w:after="40"/>
              <w:jc w:val="center"/>
            </w:pPr>
            <w:r>
              <w:rPr>
                <w:rFonts w:ascii="Times New Roman" w:eastAsia="宋体" w:hAnsi="Times New Roman"/>
                <w:b w:val="0"/>
                <w:i w:val="0"/>
                <w:sz w:val="18"/>
              </w:rPr>
              <w:t>优秀（定点修订+版本快照）</w:t>
            </w:r>
          </w:p>
        </w:tc>
        <w:tc>
          <w:tcPr>
            <w:tcW w:w="1644" w:type="dxa"/>
            <w:tcBorders>
              <w:bottom w:val="single" w:sz="12" w:space="0" w:color="000000"/>
            </w:tcBorders>
          </w:tcPr>
          <w:p>
            <w:pPr>
              <w:spacing w:before="40" w:after="40"/>
              <w:jc w:val="center"/>
            </w:pPr>
            <w:r>
              <w:rPr>
                <w:rFonts w:ascii="Times New Roman" w:eastAsia="宋体" w:hAnsi="Times New Roman"/>
                <w:b w:val="0"/>
                <w:i w:val="0"/>
                <w:sz w:val="18"/>
              </w:rPr>
              <w:t>具备（条目级强制前置核验校准）</w:t>
            </w:r>
          </w:p>
        </w:tc>
        <w:tc>
          <w:tcPr>
            <w:tcW w:w="1531" w:type="dxa"/>
            <w:tcBorders>
              <w:bottom w:val="single" w:sz="12" w:space="0" w:color="000000"/>
            </w:tcBorders>
          </w:tcPr>
          <w:p>
            <w:pPr>
              <w:spacing w:before="40" w:after="40"/>
              <w:jc w:val="center"/>
            </w:pPr>
            <w:r>
              <w:rPr>
                <w:rFonts w:ascii="Times New Roman" w:eastAsia="宋体" w:hAnsi="Times New Roman"/>
                <w:b w:val="0"/>
                <w:i w:val="0"/>
                <w:sz w:val="18"/>
              </w:rPr>
              <w:t>强（引用制机械化审计三类漂移）</w:t>
            </w:r>
          </w:p>
        </w:tc>
        <w:tc>
          <w:tcPr>
            <w:tcW w:w="1191" w:type="dxa"/>
            <w:tcBorders>
              <w:bottom w:val="single" w:sz="12" w:space="0" w:color="000000"/>
            </w:tcBorders>
          </w:tcPr>
          <w:p>
            <w:pPr>
              <w:spacing w:before="40" w:after="40"/>
              <w:jc w:val="center"/>
            </w:pPr>
            <w:r>
              <w:rPr>
                <w:rFonts w:ascii="Times New Roman" w:eastAsia="宋体" w:hAnsi="Times New Roman"/>
                <w:b w:val="0"/>
                <w:i w:val="0"/>
                <w:sz w:val="18"/>
              </w:rPr>
              <w:t>原生支持</w:t>
            </w:r>
          </w:p>
        </w:tc>
      </w:tr>
    </w:tbl>
    <w:p>
      <w:pPr>
        <w:spacing w:before="240" w:after="120" w:line="360" w:lineRule="auto"/>
        <w:jc w:val="center"/>
      </w:pPr>
      <w:r>
        <w:rPr>
          <w:rFonts w:ascii="Times New Roman" w:eastAsia="黑体" w:hAnsi="Times New Roman"/>
          <w:b/>
          <w:i w:val="0"/>
          <w:sz w:val="28"/>
        </w:rPr>
        <w:t>6  实验方案与评估设计</w:t>
      </w:r>
    </w:p>
    <w:p>
      <w:pPr>
        <w:spacing w:before="0" w:after="0" w:line="360" w:lineRule="auto"/>
        <w:jc w:val="both"/>
      </w:pPr>
      <w:r>
        <w:rPr>
          <w:rFonts w:ascii="Times New Roman" w:eastAsia="宋体" w:hAnsi="Times New Roman"/>
          <w:b w:val="0"/>
          <w:i w:val="0"/>
          <w:sz w:val="21"/>
        </w:rPr>
        <w:t>本章为预注册实验方案，暂未开展原型实证。搭建轻量原型系统：公理、碎片、冲突日志以结构化文档实现，核验交互通过消息卡片完成，公理引用机制约束输出格式，现有具备文件存储与指令遵循能力的智能体均可作为实现载体。设置四类对照模式：长上下文拼接、全自动向量记忆、会话自动压缩、本文分片式架构。</w:t>
      </w:r>
    </w:p>
    <w:p>
      <w:pPr>
        <w:spacing w:before="0" w:after="0" w:line="360" w:lineRule="auto"/>
        <w:jc w:val="both"/>
      </w:pPr>
      <w:r>
        <w:rPr>
          <w:rFonts w:ascii="Times New Roman" w:eastAsia="宋体" w:hAnsi="Times New Roman"/>
          <w:b w:val="0"/>
          <w:i w:val="0"/>
          <w:sz w:val="21"/>
        </w:rPr>
        <w:t>设计三组测试任务：原创理论多轮迭代（包含公理修改与连续推演）；长篇文学多角色设定一致性维护；普通用户长期记忆（关键事实、社会关系记忆，包含用户自身认知矛盾对齐）。</w:t>
      </w:r>
    </w:p>
    <w:p>
      <w:pPr>
        <w:spacing w:before="0" w:after="0" w:line="360" w:lineRule="auto"/>
        <w:jc w:val="both"/>
      </w:pPr>
      <w:r>
        <w:rPr>
          <w:rFonts w:ascii="Times New Roman" w:eastAsia="宋体" w:hAnsi="Times New Roman"/>
          <w:b w:val="0"/>
          <w:i w:val="0"/>
          <w:sz w:val="21"/>
        </w:rPr>
        <w:t>评估指标：概念曲解次数（含引用制审计命中数量）、平均Token消耗、过时知识召回次数、人工修复交互轮次、分支混淆次数、核验负担与闸门留存率（单位时间核验卡片弹出数量、用户平均处理耗时、长期使用下闸门主动关闭比例，该指标为本架构可行性的关键实证）。</w:t>
      </w:r>
    </w:p>
    <w:p>
      <w:pPr>
        <w:spacing w:before="0" w:after="0" w:line="360" w:lineRule="auto"/>
        <w:jc w:val="both"/>
      </w:pPr>
      <w:r>
        <w:rPr>
          <w:rFonts w:ascii="Times New Roman" w:eastAsia="宋体" w:hAnsi="Times New Roman"/>
          <w:b w:val="0"/>
          <w:i w:val="0"/>
          <w:sz w:val="21"/>
        </w:rPr>
        <w:t>待验证假设：相较于对照组，本架构可显著降低漂移相关指标；单轮Token消耗优于长上下文与全自动记忆方案；定点修订机制减少人工修复轮次；显式触发机制不会显著增加用户操作负担；冲突暴露提示对用户自我认知对齐具备正向效用。</w:t>
      </w:r>
    </w:p>
    <w:p>
      <w:pPr>
        <w:spacing w:before="0" w:after="0" w:line="360" w:lineRule="auto"/>
        <w:jc w:val="both"/>
      </w:pPr>
      <w:r>
        <w:rPr>
          <w:rFonts w:ascii="Times New Roman" w:eastAsia="宋体" w:hAnsi="Times New Roman"/>
          <w:b w:val="0"/>
          <w:i w:val="0"/>
          <w:sz w:val="21"/>
        </w:rPr>
        <w:t>落地路径方面，可按本章方案开展对照实验补充实证数据，也可采用开源原型交付的方式：将三层分片存储、核验-校准闸门、分支存储、公理引用、归档导出实现为可运行代码原型，参数调优、性能优化与产品化适配交由厂商及开源社区迭代完成。</w:t>
      </w:r>
    </w:p>
    <w:p>
      <w:pPr>
        <w:spacing w:before="240" w:after="120" w:line="360" w:lineRule="auto"/>
        <w:jc w:val="center"/>
      </w:pPr>
      <w:r>
        <w:rPr>
          <w:rFonts w:ascii="Times New Roman" w:eastAsia="黑体" w:hAnsi="Times New Roman"/>
          <w:b/>
          <w:i w:val="0"/>
          <w:sz w:val="28"/>
        </w:rPr>
        <w:t>7  讨论</w:t>
      </w:r>
    </w:p>
    <w:p>
      <w:pPr>
        <w:spacing w:before="160" w:after="80" w:line="360" w:lineRule="auto"/>
        <w:jc w:val="left"/>
      </w:pPr>
      <w:r>
        <w:rPr>
          <w:rFonts w:ascii="Times New Roman" w:eastAsia="黑体" w:hAnsi="Times New Roman"/>
          <w:b/>
          <w:i w:val="0"/>
          <w:sz w:val="24"/>
        </w:rPr>
        <w:t>7.1  人在回路属于总成本优化设计</w:t>
      </w:r>
    </w:p>
    <w:p>
      <w:pPr>
        <w:spacing w:before="0" w:after="0" w:line="360" w:lineRule="auto"/>
        <w:jc w:val="both"/>
      </w:pPr>
      <w:r>
        <w:rPr>
          <w:rFonts w:ascii="Times New Roman" w:eastAsia="宋体" w:hAnsi="Times New Roman"/>
          <w:b w:val="0"/>
          <w:i w:val="0"/>
          <w:sz w:val="21"/>
        </w:rPr>
        <w:t>公理入库阶段的确认校准会带来一定交互成本，但该前置一次性成本可以规避概念漂移带来的后续修复成本，漂移问题属于随交互累积放大的后置成本。架构将核验成本约束在人类长期记忆自然写入频次，不对全部会话语句执行核准。核验环节的核心目标是确认模型归纳输出与用户原始表述之间是否存在理解偏差，该确认过程交互负担较低，仅发生在需要固化重要记忆的低频节点。</w:t>
      </w:r>
    </w:p>
    <w:p>
      <w:pPr>
        <w:spacing w:before="160" w:after="80" w:line="360" w:lineRule="auto"/>
        <w:jc w:val="left"/>
      </w:pPr>
      <w:r>
        <w:rPr>
          <w:rFonts w:ascii="Times New Roman" w:eastAsia="黑体" w:hAnsi="Times New Roman"/>
          <w:b/>
          <w:i w:val="0"/>
          <w:sz w:val="24"/>
        </w:rPr>
        <w:t>7.2  召回率导向与保真度导向的分工</w:t>
      </w:r>
    </w:p>
    <w:p>
      <w:pPr>
        <w:spacing w:before="0" w:after="0" w:line="360" w:lineRule="auto"/>
        <w:jc w:val="both"/>
      </w:pPr>
      <w:r>
        <w:rPr>
          <w:rFonts w:ascii="Times New Roman" w:eastAsia="宋体" w:hAnsi="Times New Roman"/>
          <w:b w:val="0"/>
          <w:i w:val="0"/>
          <w:sz w:val="21"/>
        </w:rPr>
        <w:t>自动记忆体系以召回率为核心优化目标，适配偏好类记忆场景；但高价值知识场景下，少量记忆条目失真就会造成整套推演建立在错误前提之上，经过模型润色的错误结论危害高于记忆缺失。本架构并非主张完全替代自动记忆，而是为高风险记忆任务提供等级匹配的写入规范，实现两类记忆机制分工协作。</w:t>
      </w:r>
    </w:p>
    <w:p>
      <w:pPr>
        <w:spacing w:before="160" w:after="80" w:line="360" w:lineRule="auto"/>
        <w:jc w:val="left"/>
      </w:pPr>
      <w:r>
        <w:rPr>
          <w:rFonts w:ascii="Times New Roman" w:eastAsia="黑体" w:hAnsi="Times New Roman"/>
          <w:b/>
          <w:i w:val="0"/>
          <w:sz w:val="24"/>
        </w:rPr>
        <w:t>7.3  记忆的认识论：记忆主体而非记忆会话</w:t>
      </w:r>
    </w:p>
    <w:p>
      <w:pPr>
        <w:spacing w:before="0" w:after="0" w:line="360" w:lineRule="auto"/>
        <w:jc w:val="both"/>
      </w:pPr>
      <w:r>
        <w:rPr>
          <w:rFonts w:ascii="Times New Roman" w:eastAsia="宋体" w:hAnsi="Times New Roman"/>
          <w:b w:val="0"/>
          <w:i w:val="0"/>
          <w:sz w:val="21"/>
        </w:rPr>
        <w:t>全量记忆方案与人类记忆机制的底层分歧在于对“记忆”的定义。人与人之间的记忆留存，并不依靠完整存储全部对话，而是留存彼此的关键信息。日记的价值来自筛选，完整录音档案的价值来自完备记录，二者定位存在本质区别。记忆系统的评价标准不在于存储体量，而在于存储内容是否持续获得用户认可。全量会话记录保存的是交互文本；记忆系统需要还原的是用户主体本身。</w:t>
      </w:r>
    </w:p>
    <w:p>
      <w:pPr>
        <w:spacing w:before="160" w:after="80" w:line="360" w:lineRule="auto"/>
        <w:jc w:val="left"/>
      </w:pPr>
      <w:r>
        <w:rPr>
          <w:rFonts w:ascii="Times New Roman" w:eastAsia="黑体" w:hAnsi="Times New Roman"/>
          <w:b/>
          <w:i w:val="0"/>
          <w:sz w:val="24"/>
        </w:rPr>
        <w:t>7.4  分支存储的认识论</w:t>
      </w:r>
    </w:p>
    <w:p>
      <w:pPr>
        <w:spacing w:before="0" w:after="0" w:line="360" w:lineRule="auto"/>
        <w:jc w:val="both"/>
      </w:pPr>
      <w:r>
        <w:rPr>
          <w:rFonts w:ascii="Times New Roman" w:eastAsia="宋体" w:hAnsi="Times New Roman"/>
          <w:b w:val="0"/>
          <w:i w:val="0"/>
          <w:sz w:val="21"/>
        </w:rPr>
        <w:t>原创探索与文学创作过程具备不确定性，用户会同时持有多个相互矛盾的假说或者人物设定。系统自动合并、自动择优违背创造性思维规律。架构仅负责隔离存储与按需加载，认知收敛的决策权完全交还用户；不执行自动合并是对思想复杂性的尊重。</w:t>
      </w:r>
    </w:p>
    <w:p>
      <w:pPr>
        <w:spacing w:before="160" w:after="80" w:line="360" w:lineRule="auto"/>
        <w:jc w:val="left"/>
      </w:pPr>
      <w:r>
        <w:rPr>
          <w:rFonts w:ascii="Times New Roman" w:eastAsia="黑体" w:hAnsi="Times New Roman"/>
          <w:b/>
          <w:i w:val="0"/>
          <w:sz w:val="24"/>
        </w:rPr>
        <w:t>7.5  双层冲突检测及其边界</w:t>
      </w:r>
    </w:p>
    <w:p>
      <w:pPr>
        <w:spacing w:before="0" w:after="0" w:line="360" w:lineRule="auto"/>
        <w:jc w:val="both"/>
      </w:pPr>
      <w:r>
        <w:rPr>
          <w:rFonts w:ascii="Times New Roman" w:eastAsia="宋体" w:hAnsi="Times New Roman"/>
          <w:b w:val="0"/>
          <w:i w:val="0"/>
          <w:sz w:val="21"/>
        </w:rPr>
        <w:t>（1）表层即时筛查：公理写入完成后触发，检测同名条目、正反谓词、标签-引用图邻接条目相似度超限等情形，计算开销较低。</w:t>
      </w:r>
    </w:p>
    <w:p>
      <w:pPr>
        <w:spacing w:before="0" w:after="0" w:line="360" w:lineRule="auto"/>
        <w:jc w:val="both"/>
      </w:pPr>
      <w:r>
        <w:rPr>
          <w:rFonts w:ascii="Times New Roman" w:eastAsia="宋体" w:hAnsi="Times New Roman"/>
          <w:b w:val="0"/>
          <w:i w:val="0"/>
          <w:sz w:val="21"/>
        </w:rPr>
        <w:t>（2）深层串联校验：表层筛查命中后按需启动，借助模型推理构建推理链识别矛盾，检索范围限定在标签关联图邻接集合，不执行全库两两比对。</w:t>
      </w:r>
    </w:p>
    <w:p>
      <w:pPr>
        <w:spacing w:before="0" w:after="0" w:line="360" w:lineRule="auto"/>
        <w:jc w:val="both"/>
      </w:pPr>
      <w:r>
        <w:rPr>
          <w:rFonts w:ascii="Times New Roman" w:eastAsia="宋体" w:hAnsi="Times New Roman"/>
          <w:b w:val="0"/>
          <w:i w:val="0"/>
          <w:sz w:val="21"/>
        </w:rPr>
        <w:t>双层机制明确边界：深层推理校验存在误报、漏报，输出线索仅写入冲突-版本日志，不自动修改知识库；遵循“记录-提示-用户对齐”的处理流程。</w:t>
      </w:r>
    </w:p>
    <w:p>
      <w:pPr>
        <w:spacing w:before="160" w:after="80" w:line="360" w:lineRule="auto"/>
        <w:jc w:val="left"/>
      </w:pPr>
      <w:r>
        <w:rPr>
          <w:rFonts w:ascii="Times New Roman" w:eastAsia="黑体" w:hAnsi="Times New Roman"/>
          <w:b/>
          <w:i w:val="0"/>
          <w:sz w:val="24"/>
        </w:rPr>
        <w:t>7.6  可配置性作为基础设计原则</w:t>
      </w:r>
    </w:p>
    <w:p>
      <w:pPr>
        <w:spacing w:before="0" w:after="0" w:line="360" w:lineRule="auto"/>
        <w:jc w:val="both"/>
      </w:pPr>
      <w:r>
        <w:rPr>
          <w:rFonts w:ascii="Times New Roman" w:eastAsia="宋体" w:hAnsi="Times New Roman"/>
          <w:b w:val="0"/>
          <w:i w:val="0"/>
          <w:sz w:val="21"/>
        </w:rPr>
        <w:t>静默阈值、话题转换阈值、活跃度阈值、核验闸门、公理引用开关均为用户可配置显式参数，不设置模型内部黑盒决策。该设计是人在回路理念的延伸，记忆价值与触发时机的裁量权归属用户；同时便于实验迭代，参数调整即可完成策略调优，无需改动整体架构。</w:t>
      </w:r>
    </w:p>
    <w:p>
      <w:pPr>
        <w:spacing w:before="240" w:after="120" w:line="360" w:lineRule="auto"/>
        <w:jc w:val="center"/>
      </w:pPr>
      <w:r>
        <w:rPr>
          <w:rFonts w:ascii="Times New Roman" w:eastAsia="黑体" w:hAnsi="Times New Roman"/>
          <w:b/>
          <w:i w:val="0"/>
          <w:sz w:val="28"/>
        </w:rPr>
        <w:t>8  结论</w:t>
      </w:r>
    </w:p>
    <w:p>
      <w:pPr>
        <w:spacing w:before="0" w:after="0" w:line="360" w:lineRule="auto"/>
        <w:jc w:val="both"/>
      </w:pPr>
      <w:r>
        <w:rPr>
          <w:rFonts w:ascii="Times New Roman" w:eastAsia="宋体" w:hAnsi="Times New Roman"/>
          <w:b w:val="0"/>
          <w:i w:val="0"/>
          <w:sz w:val="21"/>
        </w:rPr>
        <w:t>针对大模型长周期对话下高价值知识沉淀任务，覆盖原创理论迭代、长篇创作设定维护、普通用户长期记忆等场景，本文提出人在回路驱动的分片式记忆架构，包含三层分片隔离存储、用户显式优先的归纳触发机制、前置核验-校准闸门（客观信号卡片替代模型置信度自评）、分布式分支存储与显式分支选择、话题触发按需加载、可机械化审计漂移的公理引用制、版本冲突日志以及标准化归档导出方案。该架构定位为可配置的通用工作模式记忆层，面向一切记忆出错会产生实际负面影响的场景；低风险闲聊场景可关闭闸门降级使用。</w:t>
      </w:r>
    </w:p>
    <w:p>
      <w:pPr>
        <w:spacing w:before="0" w:after="0" w:line="360" w:lineRule="auto"/>
        <w:jc w:val="both"/>
      </w:pPr>
      <w:r>
        <w:rPr>
          <w:rFonts w:ascii="Times New Roman" w:eastAsia="宋体" w:hAnsi="Times New Roman"/>
          <w:b w:val="0"/>
          <w:i w:val="0"/>
          <w:sz w:val="21"/>
        </w:rPr>
        <w:t>本文核心观点总结为三点：</w:t>
      </w:r>
    </w:p>
    <w:p>
      <w:pPr>
        <w:spacing w:before="0" w:after="0" w:line="360" w:lineRule="auto"/>
        <w:jc w:val="both"/>
      </w:pPr>
      <w:r>
        <w:rPr>
          <w:rFonts w:ascii="Times New Roman" w:eastAsia="宋体" w:hAnsi="Times New Roman"/>
          <w:b w:val="0"/>
          <w:i w:val="0"/>
          <w:sz w:val="21"/>
        </w:rPr>
        <w:t>第一，记忆对齐基准应当是用户自身记忆状态。模拟人类选择性沉淀、自然遗忘、话题触发提取、矛盾事实交互确认的认知机制，而非逆向对抗人类记忆特征。全量会话记录存储的是交互文本，记忆系统需要还原用户主体。用户已经遗忘、不予追认的会话片段，不应在常规交互中取出使用，避免出现语境错位与串台问题。</w:t>
      </w:r>
    </w:p>
    <w:p>
      <w:pPr>
        <w:spacing w:before="0" w:after="0" w:line="360" w:lineRule="auto"/>
        <w:jc w:val="both"/>
      </w:pPr>
      <w:r>
        <w:rPr>
          <w:rFonts w:ascii="Times New Roman" w:eastAsia="宋体" w:hAnsi="Times New Roman"/>
          <w:b w:val="0"/>
          <w:i w:val="0"/>
          <w:sz w:val="21"/>
        </w:rPr>
        <w:t>第二，面向高后果记忆任务，核验校准不是需要消除的交互摩擦，而是匹配知识风险等级的写入规范。模型仅负责归纳草稿，记忆生效的批准权归属思想主体。</w:t>
      </w:r>
    </w:p>
    <w:p>
      <w:pPr>
        <w:spacing w:before="0" w:after="0" w:line="360" w:lineRule="auto"/>
        <w:jc w:val="both"/>
      </w:pPr>
      <w:r>
        <w:rPr>
          <w:rFonts w:ascii="Times New Roman" w:eastAsia="宋体" w:hAnsi="Times New Roman"/>
          <w:b w:val="0"/>
          <w:i w:val="0"/>
          <w:sz w:val="21"/>
        </w:rPr>
        <w:t>第三，算力可以优化检索速度，但无法解决语义保真问题。只要记忆写入、压缩流程完全交由机器自主执行，系统就不存在经过用户确认的版本；算力提升无法溯源推演结论对应的用户原始认知，这正是高价值记忆场景的核心矛盾。</w:t>
      </w:r>
      <w:bookmarkStart w:id="0" w:name="_GoBack"/>
      <w:bookmarkEnd w:id="0"/>
    </w:p>
    <w:p>
      <w:pPr>
        <w:spacing w:before="240" w:after="120" w:line="360" w:lineRule="auto"/>
        <w:jc w:val="center"/>
      </w:pPr>
      <w:r>
        <w:rPr>
          <w:rFonts w:ascii="Times New Roman" w:eastAsia="黑体" w:hAnsi="Times New Roman"/>
          <w:b/>
          <w:i w:val="0"/>
          <w:sz w:val="28"/>
        </w:rPr>
        <w:t>参考文献</w:t>
      </w:r>
    </w:p>
    <w:p>
      <w:pPr>
        <w:spacing w:before="0" w:after="0" w:line="288" w:lineRule="auto"/>
        <w:ind w:left="283" w:hanging="283"/>
        <w:jc w:val="both"/>
      </w:pPr>
      <w:r>
        <w:rPr>
          <w:rFonts w:ascii="Times New Roman" w:eastAsia="宋体" w:hAnsi="Times New Roman"/>
          <w:b w:val="0"/>
          <w:i w:val="0"/>
          <w:sz w:val="18"/>
        </w:rPr>
        <w:t>[1] Han C, et al. StreamingLLM: Efficient Streaming Language Models with Attention Sinks[J]. arXiv:2309.17453, 2023.</w:t>
      </w:r>
    </w:p>
    <w:p>
      <w:pPr>
        <w:spacing w:before="0" w:after="0" w:line="288" w:lineRule="auto"/>
        <w:ind w:left="283" w:hanging="283"/>
        <w:jc w:val="both"/>
      </w:pPr>
      <w:r>
        <w:rPr>
          <w:rFonts w:ascii="Times New Roman" w:eastAsia="宋体" w:hAnsi="Times New Roman"/>
          <w:b w:val="0"/>
          <w:i w:val="0"/>
          <w:sz w:val="18"/>
        </w:rPr>
        <w:t>[2] Packer C, et al. MemGPT: Towards LLMs as Operating Systems[J]. arXiv:2310.08560, 2023.</w:t>
      </w:r>
    </w:p>
    <w:p>
      <w:pPr>
        <w:spacing w:before="0" w:after="0" w:line="288" w:lineRule="auto"/>
        <w:ind w:left="283" w:hanging="283"/>
        <w:jc w:val="both"/>
      </w:pPr>
      <w:r>
        <w:rPr>
          <w:rFonts w:ascii="Times New Roman" w:eastAsia="宋体" w:hAnsi="Times New Roman"/>
          <w:b w:val="0"/>
          <w:i w:val="0"/>
          <w:sz w:val="18"/>
        </w:rPr>
        <w:t>[3] Wu Q, et al. Mem0: Building Production-Ready AI Agents with Scalable Long-Term Memory[J]. arXiv:2406.11428, 2024.</w:t>
      </w:r>
    </w:p>
    <w:p>
      <w:pPr>
        <w:spacing w:before="0" w:after="0" w:line="288" w:lineRule="auto"/>
        <w:ind w:left="283" w:hanging="283"/>
        <w:jc w:val="both"/>
      </w:pPr>
      <w:r>
        <w:rPr>
          <w:rFonts w:ascii="Times New Roman" w:eastAsia="宋体" w:hAnsi="Times New Roman"/>
          <w:b w:val="0"/>
          <w:i w:val="0"/>
          <w:sz w:val="18"/>
        </w:rPr>
        <w:t>[4] Letta. Memory blocks (core memory)[EB/OL]. https://docs.letta.com/guides/core-concepts/memory/memory-blocks/</w:t>
      </w:r>
    </w:p>
    <w:p>
      <w:pPr>
        <w:spacing w:before="0" w:after="0" w:line="288" w:lineRule="auto"/>
        <w:ind w:left="283" w:hanging="283"/>
        <w:jc w:val="both"/>
      </w:pPr>
      <w:r>
        <w:rPr>
          <w:rFonts w:ascii="Times New Roman" w:eastAsia="宋体" w:hAnsi="Times New Roman"/>
          <w:b w:val="0"/>
          <w:i w:val="0"/>
          <w:sz w:val="18"/>
        </w:rPr>
        <w:t>[5] OpenAI. 记忆常见问题[EB/OL]. https://help.openai.com/zh-hans-cn/articles/8590148-memory-faq</w:t>
      </w:r>
    </w:p>
    <w:p>
      <w:pPr>
        <w:spacing w:before="0" w:after="0" w:line="288" w:lineRule="auto"/>
        <w:ind w:left="283" w:hanging="283"/>
        <w:jc w:val="both"/>
      </w:pPr>
      <w:r>
        <w:rPr>
          <w:rFonts w:ascii="Times New Roman" w:eastAsia="宋体" w:hAnsi="Times New Roman"/>
          <w:b w:val="0"/>
          <w:i w:val="0"/>
          <w:sz w:val="18"/>
        </w:rPr>
        <w:t>[6] Park J S, et al. Generative Agents: Interactive Simulacra of Human Behavior[C]. UIST, 2023. arXiv:2304.03442.</w:t>
      </w:r>
    </w:p>
    <w:p>
      <w:pPr>
        <w:spacing w:before="0" w:after="0" w:line="288" w:lineRule="auto"/>
        <w:ind w:left="283" w:hanging="283"/>
        <w:jc w:val="both"/>
      </w:pPr>
      <w:r>
        <w:rPr>
          <w:rFonts w:ascii="Times New Roman" w:eastAsia="宋体" w:hAnsi="Times New Roman"/>
          <w:b w:val="0"/>
          <w:i w:val="0"/>
          <w:sz w:val="18"/>
        </w:rPr>
        <w:t>[7] A-MemGuard: A Proactive Defense Framework for LLM-Based Agent Memory[C]. OpenReview, 2025.</w:t>
      </w:r>
    </w:p>
    <w:p>
      <w:pPr>
        <w:spacing w:before="0" w:after="0" w:line="288" w:lineRule="auto"/>
        <w:ind w:left="283" w:hanging="283"/>
        <w:jc w:val="both"/>
      </w:pPr>
      <w:r>
        <w:rPr>
          <w:rFonts w:ascii="Times New Roman" w:eastAsia="宋体" w:hAnsi="Times New Roman"/>
          <w:b w:val="0"/>
          <w:i w:val="0"/>
          <w:sz w:val="18"/>
        </w:rPr>
        <w:t>[8] Anderson J R. How Can the Human Mind Occur in the Physical Universe?[M]. Oxford University Press, 2007.</w:t>
      </w:r>
    </w:p>
    <w:p>
      <w:pPr>
        <w:spacing w:before="0" w:after="0" w:line="288" w:lineRule="auto"/>
        <w:ind w:left="283" w:hanging="283"/>
        <w:jc w:val="both"/>
      </w:pPr>
      <w:r>
        <w:rPr>
          <w:rFonts w:ascii="Times New Roman" w:eastAsia="宋体" w:hAnsi="Times New Roman"/>
          <w:b w:val="0"/>
          <w:i w:val="0"/>
          <w:sz w:val="18"/>
        </w:rPr>
        <w:t>[9] Tulving E. Elements of Episodic Memory[M]. Oxford University Press, 1983.</w:t>
      </w:r>
    </w:p>
    <w:p>
      <w:pPr>
        <w:spacing w:before="0" w:after="0" w:line="288" w:lineRule="auto"/>
        <w:ind w:left="283" w:hanging="283"/>
        <w:jc w:val="both"/>
      </w:pPr>
      <w:r>
        <w:rPr>
          <w:rFonts w:ascii="Times New Roman" w:eastAsia="宋体" w:hAnsi="Times New Roman"/>
          <w:b w:val="0"/>
          <w:i w:val="0"/>
          <w:sz w:val="18"/>
        </w:rPr>
        <w:t>[10] Ahrens S. How to Take Smart Notes[M]. 2017.</w:t>
      </w:r>
    </w:p>
    <w:p>
      <w:pPr>
        <w:spacing w:before="0" w:after="0" w:line="288" w:lineRule="auto"/>
        <w:ind w:left="283" w:hanging="283"/>
        <w:jc w:val="both"/>
      </w:pPr>
      <w:r>
        <w:rPr>
          <w:rFonts w:ascii="Times New Roman" w:eastAsia="宋体" w:hAnsi="Times New Roman"/>
          <w:b w:val="0"/>
          <w:i w:val="0"/>
          <w:sz w:val="18"/>
        </w:rPr>
        <w:t>[11] Li Y, et al. Long-context compression for large language models: a survey[J]. arXiv:2402.08757, 2024.</w:t>
      </w:r>
    </w:p>
    <w:sectPr>
      <w:footerReference w:type="default" r:id="rId2"/>
      <w:pgSz w:w="11906" w:h="16838"/>
      <w:pgMar w:top="1417" w:right="1417" w:bottom="1417" w:left="1417"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黑体">
    <w:panose1 w:val="00000000000000000000"/>
    <w:charset w:val="00"/>
    <w:family w:val="auto"/>
    <w:pitch w:val="variable"/>
    <w:sig w:usb0="00000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rFonts w:ascii="Times New Roman" w:eastAsia="宋体" w:hAnsi="Times New Roman"/>
        <w:b w:val="0"/>
        <w:i w:val="0"/>
        <w:sz w:val="18"/>
      </w:rPr>
      <w:fldChar w:fldCharType="begin"/>
    </w:r>
    <w:r>
      <w:rPr>
        <w:rFonts w:ascii="Times New Roman" w:eastAsia="宋体" w:hAnsi="Times New Roman"/>
        <w:b w:val="0"/>
        <w:i w:val="0"/>
        <w:sz w:val="18"/>
      </w:rPr>
      <w:instrText>PAGE</w:instrText>
    </w:r>
    <w:r>
      <w:rPr>
        <w:rFonts w:ascii="Times New Roman" w:eastAsia="宋体" w:hAnsi="Times New Roman"/>
        <w:b w:val="0"/>
        <w:i w:val="0"/>
        <w:sz w:val="18"/>
      </w:rPr>
      <w:fldChar w:fldCharType="separate"/>
    </w:r>
    <w:r>
      <w:rPr>
        <w:rFonts w:ascii="Times New Roman" w:eastAsia="宋体" w:hAnsi="Times New Roman"/>
        <w:b w:val="0"/>
        <w:i w:val="0"/>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81"/>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before="0" w:after="0" w:line="360" w:lineRule="auto"/>
      <w:jc w:val="both"/>
    </w:pPr>
    <w:rPr>
      <w:rFonts w:ascii="Times New Roman" w:eastAsia="宋体" w:cs="Arial" w:hAnsi="Times New Roman"/>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Office</Application>
  <Pages>11</Pages>
  <Words>9780</Words>
  <Characters>10978</Characters>
  <Lines>372</Lines>
  <Paragraphs>207</Paragraphs>
  <CharactersWithSpaces>11185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手机用户</cp:lastModifiedBy>
  <cp:revision>1</cp:revision>
  <dcterms:created xsi:type="dcterms:W3CDTF">2013-12-23T23:15:00Z</dcterms:created>
  <dcterms:modified xsi:type="dcterms:W3CDTF">2026-08-31T10:33:12Z</dcterms:modified>
</cp:coreProperties>
</file>