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iti SC" w:hAnsi="Heiti SC" w:eastAsia="Heiti SC" w:cs="Heiti SC"/>
          <w:b w:val="0"/>
        </w:rPr>
        <w:t>SocialGrowth年度技术规划与预算汇报</w:t>
      </w:r>
    </w:p>
    <w:p>
      <w:pPr>
        <w:pStyle w:val="Subtitle"/>
      </w:pPr>
      <w:r>
        <w:rPr>
          <w:rFonts w:ascii="Heiti SC" w:hAnsi="Heiti SC" w:eastAsia="Heiti SC" w:cs="Heiti SC"/>
          <w:b w:val="0"/>
        </w:rPr>
        <w:t>汇报对象  CEO    汇报单位  项目技术团队</w:t>
      </w:r>
    </w:p>
    <w:p>
      <w:pPr>
        <w:pStyle w:val="Subtitle"/>
      </w:pPr>
      <w:r>
        <w:rPr>
          <w:rFonts w:ascii="Heiti SC" w:hAnsi="Heiti SC" w:eastAsia="Heiti SC" w:cs="Heiti SC"/>
          <w:b w:val="0"/>
        </w:rPr>
        <w:t>规划周期  项目启动后十二个月    日期  2026年9月8日</w:t>
      </w:r>
    </w:p>
    <w:p>
      <w:pPr>
        <w:pStyle w:val="Heading1"/>
        <w:spacing w:before="240"/>
      </w:pPr>
      <w:r>
        <w:rPr>
          <w:rFonts w:ascii="Heiti SC" w:hAnsi="Heiti SC" w:eastAsia="Heiti SC" w:cs="Heiti SC"/>
        </w:rPr>
        <w:t>一 汇报摘要</w:t>
      </w:r>
    </w:p>
    <w:p>
      <w:r>
        <w:rPr>
          <w:rFonts w:ascii="Heiti SC" w:hAnsi="Heiti SC" w:eastAsia="Heiti SC" w:cs="Heiti SC"/>
          <w:b w:val="0"/>
        </w:rPr>
        <w:t>拟建设面向企业的 AI 社交媒体运营与增长系统，以 AI 漫剧切片运营验证内容匹配、策略决策、自动分发和效果反馈能力；第六个月拓展第二条业务线，第十个月形成四条业务并行运行或试点，第十二个月完成同类客户接入验证及年度验收。</w:t>
      </w:r>
    </w:p>
    <w:p>
      <w:r>
        <w:rPr>
          <w:rFonts w:ascii="Heiti SC" w:hAnsi="Heiti SC" w:eastAsia="Heiti SC" w:cs="Heiti SC"/>
          <w:b/>
        </w:rPr>
        <w:t>年度技术预算为 162–196 万元，覆盖三人团队、AI 研发工具、基础设施、产品 AI 调用和软件服务五类投入。团队全年配置保持三人，模型调用、基础设施和软件服务随业务规模分阶段增加。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核心事项</w:t>
            </w:r>
          </w:p>
        </w:tc>
        <w:tc>
          <w:tcPr>
            <w:tcW w:type="dxa" w:w="7937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年度规划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人员配置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技术负责人、研发、产品测试，共三人；人力合计 8 万元/月。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首期平台</w:t>
            </w:r>
          </w:p>
        </w:tc>
        <w:tc>
          <w:tcPr>
            <w:tcW w:type="dxa" w:w="793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Facebook、Instagram、YouTube 同步验证，首月每平台 10 个账号；第二月累计试点 90 个账号。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账号增长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第 4–7 月累计万粉账号目标依次为 2–3、5–7、9–13、15–20 个。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业务扩展</w:t>
            </w:r>
          </w:p>
        </w:tc>
        <w:tc>
          <w:tcPr>
            <w:tcW w:type="dxa" w:w="793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第六个月一个新业务场景完成真实试点；第十个月新增两条，总计四条业务。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年度成果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四条业务持续运营，已验证场景自主处理，至少一个同类客户真实接入验证。</w:t>
            </w:r>
          </w:p>
        </w:tc>
      </w:tr>
    </w:tbl>
    <w:p>
      <w:pPr>
        <w:spacing w:after="0" w:before="0" w:line="240" w:lineRule="auto"/>
      </w:pPr>
      <w:r>
        <w:rPr>
          <w:rFonts w:ascii="Heiti SC" w:hAnsi="Heiti SC" w:eastAsia="Heiti SC" w:cs="Heiti SC"/>
          <w:sz w:val="6"/>
        </w:rPr>
      </w:r>
    </w:p>
    <w:p>
      <w:pPr>
        <w:pStyle w:val="Heading1"/>
        <w:spacing w:before="240"/>
      </w:pPr>
      <w:r>
        <w:rPr>
          <w:rFonts w:ascii="Heiti SC" w:hAnsi="Heiti SC" w:eastAsia="Heiti SC" w:cs="Heiti SC"/>
        </w:rPr>
        <w:t>二 业务定位与服务范围</w:t>
      </w:r>
    </w:p>
    <w:p>
      <w:r>
        <w:rPr>
          <w:rFonts w:ascii="Heiti SC" w:hAnsi="Heiti SC" w:eastAsia="Heiti SC" w:cs="Heiti SC"/>
          <w:b w:val="0"/>
        </w:rPr>
        <w:t>系统服务 MCN 及有出海内容增长需求的企业，按地区、语言、人群和垂直领域管理账号，将适合的短视频内容匹配到对应账号。AI 负责分析、策略拟定及已验证场景的执行，人员负责业务确认、异常处理和效果核对。</w:t>
      </w:r>
    </w:p>
    <w:p>
      <w:r>
        <w:rPr>
          <w:rFonts w:ascii="Heiti SC" w:hAnsi="Heiti SC" w:eastAsia="Heiti SC" w:cs="Heiti SC"/>
          <w:b w:val="0"/>
        </w:rPr>
        <w:t>业务范围为内容生产与加工、账号运营、导流及效果分析。甲方负责承接平台；实物电商场景下，甲方负责商品、店铺、交易、库存、物流与售后。新业务线可包括出海实物电商品类。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  <w:spacing w:before="240"/>
      </w:pPr>
      <w:r>
        <w:rPr>
          <w:rFonts w:ascii="Heiti SC" w:hAnsi="Heiti SC" w:eastAsia="Heiti SC" w:cs="Heiti SC"/>
        </w:rPr>
        <w:t>三 人员配置与费用用途</w:t>
      </w:r>
    </w:p>
    <w:p>
      <w:r>
        <w:rPr>
          <w:rFonts w:ascii="Heiti SC" w:hAnsi="Heiti SC" w:eastAsia="Heiti SC" w:cs="Heiti SC"/>
          <w:b w:val="0"/>
        </w:rPr>
        <w:t>三人团队按每月 8 万元统一核算，全年 96 万元，包含公司完整用人成本，不按个人拆分预算。各岗位职责如下。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025"/>
        <w:gridCol w:w="4139"/>
      </w:tblGrid>
      <w:tr>
        <w:trPr>
          <w:cantSplit/>
          <w:tblHeader/>
        </w:trPr>
        <w:tc>
          <w:tcPr>
            <w:tcW w:type="dxa" w:w="1474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岗位</w:t>
            </w:r>
          </w:p>
        </w:tc>
        <w:tc>
          <w:tcPr>
            <w:tcW w:type="dxa" w:w="4025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主要职责</w:t>
            </w:r>
          </w:p>
        </w:tc>
        <w:tc>
          <w:tcPr>
            <w:tcW w:type="dxa" w:w="4139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交付责任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技术负责人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技术架构、AI 决策与规则设计、研发统筹、关键问题处理。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系统方案、关键技术评审、集成与技术验收。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研发</w:t>
            </w:r>
          </w:p>
        </w:tc>
        <w:tc>
          <w:tcPr>
            <w:tcW w:type="dxa" w:w="402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业务系统开发、接口集成、任务执行与数据采集、技术验证和维护。</w:t>
            </w:r>
          </w:p>
        </w:tc>
        <w:tc>
          <w:tcPr>
            <w:tcW w:type="dxa" w:w="4139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可运行版本、平台与设备对接、运行修复。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产品测试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需求梳理、对接沟通、运营测试、统计指标核对及部分账号处理。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需求与验收清单、业务测试记录、运营反馈；暂不参与代码开发。</w:t>
            </w:r>
          </w:p>
        </w:tc>
      </w:tr>
    </w:tbl>
    <w:p>
      <w:pPr>
        <w:spacing w:after="0" w:before="0" w:line="240" w:lineRule="auto"/>
      </w:pPr>
      <w:r>
        <w:rPr>
          <w:rFonts w:ascii="Heiti SC" w:hAnsi="Heiti SC" w:eastAsia="Heiti SC" w:cs="Heiti SC"/>
          <w:sz w:val="6"/>
        </w:rPr>
      </w:r>
    </w:p>
    <w:p>
      <w:pPr>
        <w:pStyle w:val="Heading1"/>
        <w:spacing w:before="240"/>
      </w:pPr>
      <w:r>
        <w:rPr>
          <w:rFonts w:ascii="Heiti SC" w:hAnsi="Heiti SC" w:eastAsia="Heiti SC" w:cs="Heiti SC"/>
        </w:rPr>
        <w:t>四 工具与运行资源用途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4195"/>
        <w:gridCol w:w="3912"/>
      </w:tblGrid>
      <w:tr>
        <w:trPr>
          <w:cantSplit/>
          <w:tblHeader/>
        </w:trPr>
        <w:tc>
          <w:tcPr>
            <w:tcW w:type="dxa" w:w="1531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费用类别</w:t>
            </w:r>
          </w:p>
        </w:tc>
        <w:tc>
          <w:tcPr>
            <w:tcW w:type="dxa" w:w="4195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具体作用</w:t>
            </w:r>
          </w:p>
        </w:tc>
        <w:tc>
          <w:tcPr>
            <w:tcW w:type="dxa" w:w="3912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核算范围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AI 研发工具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Codex 与 Claude Code 用于辅助开发、代码理解、调试和测试，提升研发交付效率。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团队合计 1 万元/月。服务研发过程，与线上产品 AI 调用分别核算。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基础设施</w:t>
            </w:r>
          </w:p>
        </w:tc>
        <w:tc>
          <w:tcPr>
            <w:tcW w:type="dxa" w:w="419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承载业务系统与任务调度，提供数据库、素材存储、流量、日志、监控和备份。</w:t>
            </w:r>
          </w:p>
        </w:tc>
        <w:tc>
          <w:tcPr>
            <w:tcW w:type="dxa" w:w="391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按共享资源统一配置，月预算从 1 万元提高至 1.5 万元、2 万元。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产品 AI 调用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分析视频与运营数据、生成策略和调整方案，并按需完成文案、字幕、配音、图片及视频生成。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按实际产品任务消耗计费，月额度随阶段从 2–5 万元提高至 3–5 万元、4–7 万元。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软件服务</w:t>
            </w:r>
          </w:p>
        </w:tc>
        <w:tc>
          <w:tcPr>
            <w:tcW w:type="dxa" w:w="419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邮件通知与对接、第三方统计分析、数据查询及相关接口服务，支撑运营协同与数据补充。</w:t>
            </w:r>
          </w:p>
        </w:tc>
        <w:tc>
          <w:tcPr>
            <w:tcW w:type="dxa" w:w="391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全年 6 万元，月均 5,000 元；前期较少，后期增加。与基础设施、AI 调用及研发工具分别核算。</w:t>
            </w:r>
          </w:p>
        </w:tc>
      </w:tr>
    </w:tbl>
    <w:p>
      <w:pPr>
        <w:spacing w:after="0" w:before="0" w:line="240" w:lineRule="auto"/>
      </w:pPr>
      <w:r>
        <w:rPr>
          <w:rFonts w:ascii="Heiti SC" w:hAnsi="Heiti SC" w:eastAsia="Heiti SC" w:cs="Heiti SC"/>
          <w:sz w:val="6"/>
        </w:rPr>
      </w:r>
    </w:p>
    <w:p>
      <w:r>
        <w:rPr>
          <w:rFonts w:ascii="Heiti SC" w:hAnsi="Heiti SC" w:eastAsia="Heiti SC" w:cs="Heiti SC"/>
          <w:b w:val="0"/>
        </w:rPr>
        <w:t>设备端已有自动化执行能力，技术工作以接口对接、任务下发和执行反馈为主。软件服务中的统计与查询能力按实际可用数据接入，避免同一订阅或接口费用在多类预算中重复计入。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  <w:spacing w:before="240"/>
      </w:pPr>
      <w:r>
        <w:rPr>
          <w:rFonts w:ascii="Heiti SC" w:hAnsi="Heiti SC" w:eastAsia="Heiti SC" w:cs="Heiti SC"/>
        </w:rPr>
        <w:t>五 年度预算及投入节奏</w:t>
      </w:r>
    </w:p>
    <w:p>
      <w:r>
        <w:rPr>
          <w:rFonts w:ascii="Heiti SC" w:hAnsi="Heiti SC" w:eastAsia="Heiti SC" w:cs="Heiti SC"/>
          <w:b w:val="0"/>
        </w:rPr>
        <w:t>以下金额均为人民币万元。预算下沿对应较低调用负载，上沿覆盖较高模型及内容生产消耗；实际支出按月统计。后期产品 AI 额度已包含按需视频生成，不再额外叠加生成预算。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361"/>
        <w:gridCol w:w="6406"/>
      </w:tblGrid>
      <w:tr>
        <w:trPr>
          <w:cantSplit/>
          <w:tblHeader/>
        </w:trPr>
        <w:tc>
          <w:tcPr>
            <w:tcW w:type="dxa" w:w="1871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预算类别</w:t>
            </w:r>
          </w:p>
        </w:tc>
        <w:tc>
          <w:tcPr>
            <w:tcW w:type="dxa" w:w="1361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年度金额</w:t>
            </w:r>
          </w:p>
        </w:tc>
        <w:tc>
          <w:tcPr>
            <w:tcW w:type="dxa" w:w="6406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计算口径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三人团队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96</w:t>
            </w:r>
          </w:p>
        </w:tc>
        <w:tc>
          <w:tcPr>
            <w:tcW w:type="dxa" w:w="64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8 × 12 个月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AI 研发工具</w:t>
            </w:r>
          </w:p>
        </w:tc>
        <w:tc>
          <w:tcPr>
            <w:tcW w:type="dxa" w:w="136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64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 × 12 个月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基础设施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64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 × 7 个月 + 1.5 × 2 个月 + 2 × 3 个月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产品 AI 调用</w:t>
            </w:r>
          </w:p>
        </w:tc>
        <w:tc>
          <w:tcPr>
            <w:tcW w:type="dxa" w:w="136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32–66</w:t>
            </w:r>
          </w:p>
        </w:tc>
        <w:tc>
          <w:tcPr>
            <w:tcW w:type="dxa" w:w="64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第 1–7 月 2–5/月；第 8–9 月 3–5/月；第 10–12 月 4–7/月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软件服务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64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第 1–4 月 0.3/月；第 5–8 月 0.5/月；第 9–12 月 0.7/月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年度合计</w:t>
            </w:r>
          </w:p>
        </w:tc>
        <w:tc>
          <w:tcPr>
            <w:tcW w:type="dxa" w:w="136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162–196</w:t>
            </w:r>
          </w:p>
        </w:tc>
        <w:tc>
          <w:tcPr>
            <w:tcW w:type="dxa" w:w="64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五类技术投入合并核算</w:t>
            </w:r>
          </w:p>
        </w:tc>
      </w:tr>
    </w:tbl>
    <w:p>
      <w:pPr>
        <w:spacing w:after="0" w:before="0" w:line="240" w:lineRule="auto"/>
      </w:pPr>
      <w:r>
        <w:rPr>
          <w:rFonts w:ascii="Heiti SC" w:hAnsi="Heiti SC" w:eastAsia="Heiti SC" w:cs="Heiti SC"/>
          <w:sz w:val="6"/>
        </w:rPr>
      </w:r>
    </w:p>
    <w:p>
      <w:pPr>
        <w:pStyle w:val="Heading2"/>
        <w:spacing w:before="320"/>
      </w:pPr>
      <w:r>
        <w:rPr>
          <w:rFonts w:ascii="Heiti SC" w:hAnsi="Heiti SC" w:eastAsia="Heiti SC" w:cs="Heiti SC"/>
        </w:rPr>
        <w:t>月度预算明细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5"/>
        <w:gridCol w:w="907"/>
        <w:gridCol w:w="907"/>
        <w:gridCol w:w="907"/>
        <w:gridCol w:w="1502"/>
        <w:gridCol w:w="1191"/>
        <w:gridCol w:w="3288"/>
      </w:tblGrid>
      <w:tr>
        <w:trPr>
          <w:cantSplit/>
          <w:tblHeader/>
        </w:trPr>
        <w:tc>
          <w:tcPr>
            <w:tcW w:type="dxa" w:w="935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/>
                <w:color w:val="000000"/>
                <w:sz w:val="19"/>
              </w:rPr>
              <w:t>月份</w:t>
            </w:r>
          </w:p>
        </w:tc>
        <w:tc>
          <w:tcPr>
            <w:tcW w:type="dxa" w:w="907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/>
                <w:color w:val="000000"/>
                <w:sz w:val="19"/>
              </w:rPr>
              <w:t>人员</w:t>
            </w:r>
          </w:p>
        </w:tc>
        <w:tc>
          <w:tcPr>
            <w:tcW w:type="dxa" w:w="907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/>
                <w:color w:val="000000"/>
                <w:sz w:val="19"/>
              </w:rPr>
              <w:t>工具</w:t>
            </w:r>
          </w:p>
        </w:tc>
        <w:tc>
          <w:tcPr>
            <w:tcW w:type="dxa" w:w="907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/>
                <w:color w:val="000000"/>
                <w:sz w:val="19"/>
              </w:rPr>
              <w:t>设施</w:t>
            </w:r>
          </w:p>
        </w:tc>
        <w:tc>
          <w:tcPr>
            <w:tcW w:type="dxa" w:w="1502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/>
                <w:color w:val="000000"/>
                <w:sz w:val="19"/>
              </w:rPr>
              <w:t>AI调用</w:t>
            </w:r>
          </w:p>
        </w:tc>
        <w:tc>
          <w:tcPr>
            <w:tcW w:type="dxa" w:w="1191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/>
                <w:color w:val="000000"/>
                <w:sz w:val="19"/>
              </w:rPr>
              <w:t>软件服务</w:t>
            </w:r>
          </w:p>
        </w:tc>
        <w:tc>
          <w:tcPr>
            <w:tcW w:type="dxa" w:w="3288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/>
                <w:color w:val="000000"/>
                <w:sz w:val="19"/>
              </w:rPr>
              <w:t>合计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第1月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2–5</w:t>
            </w:r>
          </w:p>
        </w:tc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0.3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12.3–15.3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第2月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0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2–5</w:t>
            </w:r>
          </w:p>
        </w:tc>
        <w:tc>
          <w:tcPr>
            <w:tcW w:type="dxa" w:w="119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0.3</w:t>
            </w:r>
          </w:p>
        </w:tc>
        <w:tc>
          <w:tcPr>
            <w:tcW w:type="dxa" w:w="3288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12.3–15.3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第3月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2–5</w:t>
            </w:r>
          </w:p>
        </w:tc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0.3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12.3–15.3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第4月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0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2–5</w:t>
            </w:r>
          </w:p>
        </w:tc>
        <w:tc>
          <w:tcPr>
            <w:tcW w:type="dxa" w:w="119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0.3</w:t>
            </w:r>
          </w:p>
        </w:tc>
        <w:tc>
          <w:tcPr>
            <w:tcW w:type="dxa" w:w="3288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12.3–15.3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第5月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2–5</w:t>
            </w:r>
          </w:p>
        </w:tc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12.5–15.5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第6月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0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2–5</w:t>
            </w:r>
          </w:p>
        </w:tc>
        <w:tc>
          <w:tcPr>
            <w:tcW w:type="dxa" w:w="119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3288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12.5–15.5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第7月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2–5</w:t>
            </w:r>
          </w:p>
        </w:tc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12.5–15.5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第8月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1.5</w:t>
            </w:r>
          </w:p>
        </w:tc>
        <w:tc>
          <w:tcPr>
            <w:tcW w:type="dxa" w:w="150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3–5</w:t>
            </w:r>
          </w:p>
        </w:tc>
        <w:tc>
          <w:tcPr>
            <w:tcW w:type="dxa" w:w="119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3288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14–16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第9月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1.5</w:t>
            </w:r>
          </w:p>
        </w:tc>
        <w:tc>
          <w:tcPr>
            <w:tcW w:type="dxa" w:w="15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3–5</w:t>
            </w:r>
          </w:p>
        </w:tc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0.7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14.2–16.2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第10月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0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119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0.7</w:t>
            </w:r>
          </w:p>
        </w:tc>
        <w:tc>
          <w:tcPr>
            <w:tcW w:type="dxa" w:w="3288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15.7–18.7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第11月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0.7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15.7–18.7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第12月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0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1191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0.7</w:t>
            </w:r>
          </w:p>
        </w:tc>
        <w:tc>
          <w:tcPr>
            <w:tcW w:type="dxa" w:w="3288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15.7–18.7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全年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5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32–66</w:t>
            </w:r>
          </w:p>
        </w:tc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Heiti SC" w:hAnsi="Heiti SC" w:eastAsia="Heiti SC" w:cs="Heiti SC"/>
                <w:b w:val="0"/>
                <w:color w:val="000000"/>
                <w:sz w:val="19"/>
              </w:rPr>
              <w:t>162–196</w:t>
            </w:r>
          </w:p>
        </w:tc>
      </w:tr>
    </w:tbl>
    <w:p>
      <w:pPr>
        <w:spacing w:after="0" w:before="0" w:line="240" w:lineRule="auto"/>
      </w:pPr>
      <w:r>
        <w:rPr>
          <w:rFonts w:ascii="Heiti SC" w:hAnsi="Heiti SC" w:eastAsia="Heiti SC" w:cs="Heiti SC"/>
          <w:sz w:val="6"/>
        </w:rPr>
      </w:r>
    </w:p>
    <w:p>
      <w:r>
        <w:rPr>
          <w:rFonts w:ascii="Heiti SC" w:hAnsi="Heiti SC" w:eastAsia="Heiti SC" w:cs="Heiti SC"/>
          <w:b w:val="0"/>
        </w:rPr>
        <w:t>软件服务按前低后高排期，全年平均每月 0.5 万元。上述预算覆盖列示五类费用；新增硬件采购及独立专项费用按实际需求另行核算。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  <w:spacing w:before="240"/>
      </w:pPr>
      <w:r>
        <w:rPr>
          <w:rFonts w:ascii="Heiti SC" w:hAnsi="Heiti SC" w:eastAsia="Heiti SC" w:cs="Heiti SC"/>
        </w:rPr>
        <w:t>六 月度交付清单</w:t>
      </w:r>
    </w:p>
    <w:p>
      <w:r>
        <w:rPr>
          <w:rFonts w:ascii="Heiti SC" w:hAnsi="Heiti SC" w:eastAsia="Heiti SC" w:cs="Heiti SC"/>
          <w:b w:val="0"/>
        </w:rPr>
        <w:t>第 1–6 月以漫剧业务建立可运行、可验证的增长流程，并开始新业务试点。所有目标按项目启动后的月份计，不对应固定自然月。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6"/>
        <w:gridCol w:w="4450"/>
        <w:gridCol w:w="4082"/>
      </w:tblGrid>
      <w:tr>
        <w:trPr>
          <w:cantSplit/>
          <w:tblHeader/>
        </w:trPr>
        <w:tc>
          <w:tcPr>
            <w:tcW w:type="dxa" w:w="1106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月份</w:t>
            </w:r>
          </w:p>
        </w:tc>
        <w:tc>
          <w:tcPr>
            <w:tcW w:type="dxa" w:w="4450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主要交付与业务目标</w:t>
            </w:r>
          </w:p>
        </w:tc>
        <w:tc>
          <w:tcPr>
            <w:tcW w:type="dxa" w:w="4082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验收材料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第1月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四周内三平台分别跑通策略确认、设备执行、短链导流和数据反馈；各 10 个初始账号。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三平台真实发布与执行记录、指标回收记录、短链统计；首期以已有切片为主。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第2月</w:t>
            </w:r>
          </w:p>
        </w:tc>
        <w:tc>
          <w:tcPr>
            <w:tcW w:type="dxa" w:w="4450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持续运营并开放已验证场景自动决策；每平台新增 20 个，累计试点 90 个。</w:t>
            </w:r>
          </w:p>
        </w:tc>
        <w:tc>
          <w:tcPr>
            <w:tcW w:type="dxa" w:w="408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连续运行、人工干预与异常处理、策略调整、效果及成本记录。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第3月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形成可验证的策略优化流程，AI 根据效果提出改进并分批验证。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候选策略版本、对照记录、实验结果及保留或回退依据。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第4月</w:t>
            </w:r>
          </w:p>
        </w:tc>
        <w:tc>
          <w:tcPr>
            <w:tcW w:type="dxa" w:w="4450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形成 2–3 个标准万粉账号，持续验证内容匹配与运营策略。</w:t>
            </w:r>
          </w:p>
        </w:tc>
        <w:tc>
          <w:tcPr>
            <w:tcW w:type="dxa" w:w="408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账号名单、粉丝或订阅数据、运营状态与策略效果记录。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第5月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累计形成 5–7 个万粉账号，扩大有效策略应用范围。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新增及退出达标记录、内容效果、人工投入与成本复盘。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第6月</w:t>
            </w:r>
          </w:p>
        </w:tc>
        <w:tc>
          <w:tcPr>
            <w:tcW w:type="dxa" w:w="4450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累计形成 9–13 个万粉账号；一个新业务场景完成首个真实运营试点。</w:t>
            </w:r>
          </w:p>
        </w:tc>
        <w:tc>
          <w:tcPr>
            <w:tcW w:type="dxa" w:w="408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原业务运行记录；新业务资料与规则、真实发布、导流反馈及首轮复盘。</w:t>
            </w:r>
          </w:p>
        </w:tc>
      </w:tr>
    </w:tbl>
    <w:p>
      <w:pPr>
        <w:spacing w:after="0" w:before="0" w:line="240" w:lineRule="auto"/>
      </w:pPr>
      <w:r>
        <w:rPr>
          <w:rFonts w:ascii="Heiti SC" w:hAnsi="Heiti SC" w:eastAsia="Heiti SC" w:cs="Heiti SC"/>
          <w:sz w:val="6"/>
        </w:rPr>
      </w:r>
    </w:p>
    <w:p>
      <w:pPr>
        <w:pStyle w:val="Heading2"/>
        <w:spacing w:before="320"/>
      </w:pPr>
      <w:r>
        <w:rPr>
          <w:rFonts w:ascii="Heiti SC" w:hAnsi="Heiti SC" w:eastAsia="Heiti SC" w:cs="Heiti SC"/>
        </w:rPr>
        <w:t>关键业务指标</w:t>
      </w:r>
    </w:p>
    <w:p>
      <w:r>
        <w:rPr>
          <w:rFonts w:ascii="Heiti SC" w:hAnsi="Heiti SC" w:eastAsia="Heiti SC" w:cs="Heiti SC"/>
          <w:b w:val="0"/>
        </w:rPr>
        <w:t>重点跟踪观看量、可取得的观看完成情况、互动数、粉丝增长与短链点击。万粉账号指单账号粉丝或订阅数达到 10,000 以上；累计形成数量与当月仍达标、可运营数量分别展示，并记录掉粉、受限和恢复情况。</w:t>
      </w:r>
    </w:p>
    <w:p>
      <w:r>
        <w:rPr>
          <w:rFonts w:ascii="Heiti SC" w:hAnsi="Heiti SC" w:eastAsia="Heiti SC" w:cs="Heiti SC"/>
          <w:b w:val="0"/>
        </w:rPr>
        <w:t>账号数量是运营资产规模指标。增长质量同时结合内容表现、受众匹配和导流效果判断，不能只用粉丝数替代业务效果。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  <w:spacing w:before="240"/>
      </w:pPr>
      <w:r>
        <w:rPr>
          <w:rFonts w:ascii="Heiti SC" w:hAnsi="Heiti SC" w:eastAsia="Heiti SC" w:cs="Heiti SC"/>
        </w:rPr>
        <w:t>七 多业务扩展及年度交付</w:t>
      </w:r>
    </w:p>
    <w:p>
      <w:r>
        <w:rPr>
          <w:rFonts w:ascii="Heiti SC" w:hAnsi="Heiti SC" w:eastAsia="Heiti SC" w:cs="Heiti SC"/>
          <w:b w:val="0"/>
        </w:rPr>
        <w:t>第 7–12 月复用已有系统扩展业务，形成四条业务并行运营或试点，并验证同类客户接入能力。各业务分别配置内容规则、策略、导流目标和指标。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6"/>
        <w:gridCol w:w="4450"/>
        <w:gridCol w:w="4082"/>
      </w:tblGrid>
      <w:tr>
        <w:trPr>
          <w:cantSplit/>
          <w:tblHeader/>
        </w:trPr>
        <w:tc>
          <w:tcPr>
            <w:tcW w:type="dxa" w:w="1106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月份</w:t>
            </w:r>
          </w:p>
        </w:tc>
        <w:tc>
          <w:tcPr>
            <w:tcW w:type="dxa" w:w="4450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主要交付与业务目标</w:t>
            </w:r>
          </w:p>
        </w:tc>
        <w:tc>
          <w:tcPr>
            <w:tcW w:type="dxa" w:w="4082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验收材料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第7月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累计形成 15–20 个万粉账号；两业务持续运营，完成新业务策略优化。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两线运行记录、新业务实验报告及可复用的同类客户接入配置。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第8月</w:t>
            </w:r>
          </w:p>
        </w:tc>
        <w:tc>
          <w:tcPr>
            <w:tcW w:type="dxa" w:w="4450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完善两业务的资料输入、内容规则、策略及效果和费用统计的配置复用。</w:t>
            </w:r>
          </w:p>
        </w:tc>
        <w:tc>
          <w:tcPr>
            <w:tcW w:type="dxa" w:w="408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可配置流程、复用结果、逐业务运行及费用报告。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第9月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确定新增两条业务场景，完成资料、内容规则、账号执行和数据接口适配。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两条新业务的适配验证记录及可进入真实试点的版本。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第10月</w:t>
            </w:r>
          </w:p>
        </w:tc>
        <w:tc>
          <w:tcPr>
            <w:tcW w:type="dxa" w:w="4450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原两条持续运营，新增两条分别完成真实试点；总计四条业务进入运行或试点。</w:t>
            </w:r>
          </w:p>
        </w:tc>
        <w:tc>
          <w:tcPr>
            <w:tcW w:type="dxa" w:w="408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四条业务分别提供真实执行、反馈、效果、成本和人工干预记录。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第11月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四条业务持续运营，已验证场景由 AI 自主处理。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逐业务运行、策略优化、人工耗时、单位任务成本及异常恢复验证。</w:t>
            </w:r>
          </w:p>
        </w:tc>
      </w:tr>
      <w:tr>
        <w:trPr>
          <w:cantSplit/>
        </w:trPr>
        <w:tc>
          <w:tcPr>
            <w:tcW w:type="dxa" w:w="1106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第12月</w:t>
            </w:r>
          </w:p>
        </w:tc>
        <w:tc>
          <w:tcPr>
            <w:tcW w:type="dxa" w:w="4450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至少一个新增同类客户完成真实接入验证，完成年度验收。</w:t>
            </w:r>
          </w:p>
        </w:tc>
        <w:tc>
          <w:tcPr>
            <w:tcW w:type="dxa" w:w="408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客户接入与真实闭环记录、配置模板、操作说明及四业务年度报告。</w:t>
            </w:r>
          </w:p>
        </w:tc>
      </w:tr>
    </w:tbl>
    <w:p>
      <w:pPr>
        <w:spacing w:after="0" w:before="0" w:line="240" w:lineRule="auto"/>
      </w:pPr>
      <w:r>
        <w:rPr>
          <w:rFonts w:ascii="Heiti SC" w:hAnsi="Heiti SC" w:eastAsia="Heiti SC" w:cs="Heiti SC"/>
          <w:sz w:val="6"/>
        </w:rPr>
      </w:r>
    </w:p>
    <w:p>
      <w:pPr>
        <w:pStyle w:val="Heading2"/>
        <w:spacing w:before="320"/>
      </w:pPr>
      <w:r>
        <w:rPr>
          <w:rFonts w:ascii="Heiti SC" w:hAnsi="Heiti SC" w:eastAsia="Heiti SC" w:cs="Heiti SC"/>
        </w:rPr>
        <w:t>复制能力的验收方式</w:t>
      </w:r>
    </w:p>
    <w:p>
      <w:r>
        <w:rPr>
          <w:rFonts w:ascii="Heiti SC" w:hAnsi="Heiti SC" w:eastAsia="Heiti SC" w:cs="Heiti SC"/>
          <w:b w:val="0"/>
        </w:rPr>
        <w:t>第十二个月从一条已验证业务中选择同类客户，利用现有模板和配置完成资料接入、内容策略、真实发布和数据反馈。记录接入时间、人工投入及新增适配工作，判断系统复用是否减少重复开发。该客户接入属于既有业务复制。</w:t>
      </w:r>
    </w:p>
    <w:p>
      <w:r>
        <w:rPr>
          <w:rFonts w:ascii="Heiti SC" w:hAnsi="Heiti SC" w:eastAsia="Heiti SC" w:cs="Heiti SC"/>
          <w:b w:val="0"/>
        </w:rPr>
        <w:t>第十个月四条业务进入运行或试点，第十一、十二个月进一步验证持续运营和复用能力；各阶段以实际运行证据验收。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  <w:spacing w:before="240"/>
      </w:pPr>
      <w:r>
        <w:rPr>
          <w:rFonts w:ascii="Heiti SC" w:hAnsi="Heiti SC" w:eastAsia="Heiti SC" w:cs="Heiti SC"/>
        </w:rPr>
        <w:t>八 运营机制与管理检查清单</w:t>
      </w:r>
    </w:p>
    <w:p>
      <w:pPr>
        <w:pStyle w:val="Heading2"/>
        <w:spacing w:before="320"/>
      </w:pPr>
      <w:r>
        <w:rPr>
          <w:rFonts w:ascii="Heiti SC" w:hAnsi="Heiti SC" w:eastAsia="Heiti SC" w:cs="Heiti SC"/>
        </w:rPr>
        <w:t>决策与执行流程</w:t>
      </w:r>
    </w:p>
    <w:p>
      <w:r>
        <w:rPr>
          <w:rFonts w:ascii="Heiti SC" w:hAnsi="Heiti SC" w:eastAsia="Heiti SC" w:cs="Heiti SC"/>
          <w:b w:val="0"/>
        </w:rPr>
        <w:t>客户目标与素材输入后，系统按账号定位匹配内容，结合平台规则、人工经验和运营数据生成策略。策略经约定审核后下发执行，系统回收发布结果、社媒数据和短链点击，形成下一轮优化。已验证场景逐步由 AI 自主处理，未知异常、规则冲突及重大调整由人员介入。</w:t>
      </w:r>
    </w:p>
    <w:p>
      <w:pPr>
        <w:pStyle w:val="Heading2"/>
        <w:spacing w:before="320"/>
      </w:pPr>
      <w:r>
        <w:rPr>
          <w:rFonts w:ascii="Heiti SC" w:hAnsi="Heiti SC" w:eastAsia="Heiti SC" w:cs="Heiti SC"/>
        </w:rPr>
        <w:t>月度管理检查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592"/>
        <w:gridCol w:w="3288"/>
      </w:tblGrid>
      <w:tr>
        <w:trPr>
          <w:cantSplit/>
          <w:tblHeader/>
        </w:trPr>
        <w:tc>
          <w:tcPr>
            <w:tcW w:type="dxa" w:w="1757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4592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汇报内容</w:t>
            </w:r>
          </w:p>
        </w:tc>
        <w:tc>
          <w:tcPr>
            <w:tcW w:type="dxa" w:w="3288"/>
            <w:vAlign w:val="center"/>
            <w:shd w:fill="DCE6F1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/>
                <w:color w:val="000000"/>
                <w:sz w:val="21"/>
              </w:rPr>
              <w:t>管理用途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交付完成情况</w:t>
            </w:r>
          </w:p>
        </w:tc>
        <w:tc>
          <w:tcPr>
            <w:tcW w:type="dxa" w:w="459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当月系统版本、真实闭环记录及未完成事项。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核对月度目标与实际结果，明确后续工作。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业务效果</w:t>
            </w:r>
          </w:p>
        </w:tc>
        <w:tc>
          <w:tcPr>
            <w:tcW w:type="dxa" w:w="459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按平台、业务和账号呈现观看、互动、粉丝及短链点击。</w:t>
            </w:r>
          </w:p>
        </w:tc>
        <w:tc>
          <w:tcPr>
            <w:tcW w:type="dxa" w:w="3288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识别有效场景，确定扩大或调整策略。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自动化与稳定性</w:t>
            </w:r>
          </w:p>
        </w:tc>
        <w:tc>
          <w:tcPr>
            <w:tcW w:type="dxa" w:w="459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自动处理范围、人工干预次数和耗时、任务异常及恢复结果。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判断团队承载能力和运行稳定性。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费用消耗</w:t>
            </w:r>
          </w:p>
        </w:tc>
        <w:tc>
          <w:tcPr>
            <w:tcW w:type="dxa" w:w="4592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人员、工具、设施、产品 AI、软件服务分别列预算与实际；模型消耗按业务归集。</w:t>
            </w:r>
          </w:p>
        </w:tc>
        <w:tc>
          <w:tcPr>
            <w:tcW w:type="dxa" w:w="3288"/>
            <w:vAlign w:val="center"/>
            <w:shd w:fill="F5F7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定位费用增长来源，控制重复订阅与无效调用。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业务复用</w:t>
            </w:r>
          </w:p>
        </w:tc>
        <w:tc>
          <w:tcPr>
            <w:tcW w:type="dxa" w:w="459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资料与规则复用情况、新客户接入耗时及必要适配工作。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 w:cs="Heiti SC"/>
                <w:b w:val="0"/>
                <w:color w:val="000000"/>
                <w:sz w:val="21"/>
              </w:rPr>
              <w:t>评估新业务和同类客户扩展效率。</w:t>
            </w:r>
          </w:p>
        </w:tc>
      </w:tr>
    </w:tbl>
    <w:p>
      <w:pPr>
        <w:spacing w:after="0" w:before="0" w:line="240" w:lineRule="auto"/>
      </w:pPr>
      <w:r>
        <w:rPr>
          <w:rFonts w:ascii="Heiti SC" w:hAnsi="Heiti SC" w:eastAsia="Heiti SC" w:cs="Heiti SC"/>
          <w:sz w:val="6"/>
        </w:rPr>
      </w:r>
    </w:p>
    <w:p>
      <w:pPr>
        <w:pStyle w:val="Heading2"/>
        <w:spacing w:before="320"/>
      </w:pPr>
      <w:r>
        <w:rPr>
          <w:rFonts w:ascii="Heiti SC" w:hAnsi="Heiti SC" w:eastAsia="Heiti SC" w:cs="Heiti SC"/>
        </w:rPr>
        <w:t>数据与验收口径</w:t>
      </w:r>
    </w:p>
    <w:p>
      <w:r>
        <w:rPr>
          <w:rFonts w:ascii="Heiti SC" w:hAnsi="Heiti SC" w:eastAsia="Heiti SC" w:cs="Heiti SC"/>
          <w:b w:val="0"/>
        </w:rPr>
        <w:t>短链统计反映导流点击。甲方平台内的注册、观看、下单等转化，仅在甲方授权并能够取得数据时纳入。不同平台的指标按各自可用定义记录，保留数据来源与采集时间。</w:t>
      </w:r>
    </w:p>
    <w:p>
      <w:r>
        <w:rPr>
          <w:rFonts w:ascii="Heiti SC" w:hAnsi="Heiti SC" w:eastAsia="Heiti SC" w:cs="Heiti SC"/>
          <w:b w:val="0"/>
        </w:rPr>
        <w:t>真实试点应具备客户资料、可执行账号和数据访问条件。阶段验收逐业务核对持续运行、有效样本、异常处理和人工干预情况；具体阈值纳入实施验收清单，业务目标以真实数据复盘。</w:t>
      </w:r>
    </w:p>
    <w:p>
      <w:pPr>
        <w:pStyle w:val="Heading2"/>
        <w:spacing w:before="320"/>
      </w:pPr>
      <w:r>
        <w:rPr>
          <w:rFonts w:ascii="Heiti SC" w:hAnsi="Heiti SC" w:eastAsia="Heiti SC" w:cs="Heiti SC"/>
        </w:rPr>
        <w:t>提请审阅事项</w:t>
      </w:r>
    </w:p>
    <w:p>
      <w:r>
        <w:rPr>
          <w:rFonts w:ascii="Heiti SC" w:hAnsi="Heiti SC" w:eastAsia="Heiti SC" w:cs="Heiti SC"/>
          <w:b w:val="0"/>
        </w:rPr>
        <w:t>提请审阅十二个月交付计划、三人团队配置及五类技术投入安排。执行中按月提交交付和费用报告，依据业务结果、资源负载及模型消耗调整投入节奏；第六个月和第十个月分别结合新业务试点进行阶段评估。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 w:cs="Heiti SC"/>
        <w:sz w:val="18"/>
      </w:rPr>
      <w:t xml:space="preserve">第 </w:t>
    </w:r>
    <w:fldSimple w:instr="PAGE"/>
    <w:r>
      <w:rPr>
        <w:rFonts w:ascii="Heiti SC" w:hAnsi="Heiti SC" w:eastAsia="Heiti SC" w:cs="Heiti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iti SC" w:hAnsi="Heiti SC" w:eastAsia="Heiti SC" w:cs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8" w:lineRule="auto"/>
    </w:pPr>
    <w:rPr>
      <w:rFonts w:ascii="Heiti SC" w:hAnsi="Heiti SC" w:eastAsia="Heiti SC" w:cs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ascii="Heiti SC" w:hAnsi="Heiti SC" w:eastAsia="Heiti SC" w:cs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8" w:lineRule="auto"/>
      <w:outlineLvl w:val="1"/>
    </w:pPr>
    <w:rPr>
      <w:rFonts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iti SC" w:hAnsi="Heiti SC" w:eastAsia="Heiti SC" w:cs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iti SC" w:hAnsi="Heiti SC" w:eastAsia="Heiti SC" w:cs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iti SC" w:hAnsi="Heiti SC" w:eastAsia="Heiti SC" w:cs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iti SC" w:hAnsi="Heiti SC" w:eastAsia="Heiti SC" w:cs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iti SC" w:hAnsi="Heiti SC" w:eastAsia="Heiti SC" w:cs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iti SC" w:hAnsi="Heiti SC" w:eastAsia="Heiti SC" w:cs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iti SC" w:hAnsi="Heiti SC" w:eastAsia="Heiti SC" w:cs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iti SC" w:hAnsi="Heiti SC" w:eastAsia="Heiti SC" w:cs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iti SC" w:hAnsi="Heiti SC" w:eastAsia="Heiti SC" w:cs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="Heiti SC" w:hAnsi="Heiti SC" w:eastAsia="Heiti SC" w:cs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iti SC" w:hAnsi="Heiti SC" w:eastAsia="Heiti SC" w:cs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="Heiti SC" w:hAnsi="Heiti SC" w:eastAsia="Heiti SC" w:cs="Heiti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iti SC" w:hAnsi="Heiti SC" w:eastAsia="Heiti SC" w:cs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 w:cs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iti SC" w:hAnsi="Heiti SC" w:eastAsia="Heiti SC" w:cs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iti SC" w:hAnsi="Heiti SC" w:eastAsia="Heiti SC" w:cs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iti SC" w:hAnsi="Heiti SC" w:eastAsia="Heiti SC" w:cs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iti SC" w:hAnsi="Heiti SC" w:eastAsia="Heiti SC" w:cs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iti SC" w:hAnsi="Heiti SC" w:eastAsia="Heiti SC" w:cs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SocialGrowth年度技术规划与预算汇报</dc:title>
  <dc:subject>年度技术投入 业务扩展及月度交付</dc:subject>
  <dc:creator>项目技术团队</dc:creator>
  <cp:keywords>SocialGrowth 年度规划 技术预算 月度交付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