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General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Data-driven Personalized Asset Management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High Dimensional User Profiling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Stock Transaction Data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Account Cash In/Out Transaction Data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Credit Card Transactions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Personalization Model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Personalized Funds Scoring &amp; Ranking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Fixed Income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Dynamic Portfolio Optimization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風險取向、</w:t>
      </w:r>
    </w:p>
    <w:p w:rsidR="00000000" w:rsidDel="00000000" w:rsidP="00000000" w:rsidRDefault="00000000" w:rsidRPr="00000000" w14:paraId="00000011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財政狀況、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投資經驗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內容：</w:t>
      </w: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專業資訊和分析</w:t>
      </w:r>
    </w:p>
    <w:p w:rsidR="00000000" w:rsidDel="00000000" w:rsidP="00000000" w:rsidRDefault="00000000" w:rsidRPr="00000000" w14:paraId="00000015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目的：輕鬆、每時每地、每個投資機會</w:t>
      </w:r>
    </w:p>
    <w:p w:rsidR="00000000" w:rsidDel="00000000" w:rsidP="00000000" w:rsidRDefault="00000000" w:rsidRPr="00000000" w14:paraId="00000017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3232"/>
          <w:sz w:val="24"/>
          <w:szCs w:val="24"/>
          <w:highlight w:val="white"/>
          <w:rtl w:val="0"/>
        </w:rPr>
        <w:t xml:space="preserve">？？銀行成功案例：投資推薦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