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Bdr>
          <w:top w:color="auto" w:space="0" w:sz="0" w:val="none"/>
          <w:left w:color="auto" w:space="0" w:sz="0" w:val="none"/>
          <w:bottom w:color="auto" w:space="0" w:sz="0" w:val="none"/>
          <w:right w:color="auto" w:space="0" w:sz="0" w:val="none"/>
          <w:between w:color="auto" w:space="0" w:sz="0" w:val="none"/>
        </w:pBdr>
        <w:shd w:fill="ffffff" w:val="clear"/>
        <w:contextualSpacing w:val="0"/>
        <w:jc w:val="center"/>
        <w:rPr>
          <w:b w:val="1"/>
          <w:sz w:val="44"/>
          <w:szCs w:val="44"/>
        </w:rPr>
      </w:pPr>
      <w:r w:rsidDel="00000000" w:rsidR="00000000" w:rsidRPr="00000000">
        <w:rPr>
          <w:b w:val="1"/>
          <w:sz w:val="32"/>
          <w:szCs w:val="32"/>
          <w:rtl w:val="0"/>
        </w:rPr>
        <w:t xml:space="preserve">  </w:t>
      </w:r>
      <w:r w:rsidDel="00000000" w:rsidR="00000000" w:rsidRPr="00000000">
        <w:rPr>
          <w:rFonts w:ascii="Arial Unicode MS" w:cs="Arial Unicode MS" w:eastAsia="Arial Unicode MS" w:hAnsi="Arial Unicode MS"/>
          <w:b w:val="1"/>
          <w:sz w:val="44"/>
          <w:szCs w:val="44"/>
          <w:rtl w:val="0"/>
        </w:rPr>
        <w:t xml:space="preserve">基於循環神經網絡的AI選股模型</w:t>
      </w:r>
    </w:p>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b w:val="1"/>
          <w:sz w:val="44"/>
          <w:szCs w:val="44"/>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b w:val="1"/>
          <w:sz w:val="32"/>
          <w:szCs w:val="32"/>
        </w:rPr>
      </w:pPr>
      <w:r w:rsidDel="00000000" w:rsidR="00000000" w:rsidRPr="00000000">
        <w:rPr>
          <w:rFonts w:ascii="Arial Unicode MS" w:cs="Arial Unicode MS" w:eastAsia="Arial Unicode MS" w:hAnsi="Arial Unicode MS"/>
          <w:b w:val="1"/>
          <w:sz w:val="32"/>
          <w:szCs w:val="32"/>
          <w:rtl w:val="0"/>
        </w:rPr>
        <w:t xml:space="preserve">一、概述</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b w:val="1"/>
          <w:sz w:val="32"/>
          <w:szCs w:val="32"/>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ind w:firstLine="480"/>
        <w:contextualSpacing w:val="0"/>
        <w:jc w:val="both"/>
        <w:rPr>
          <w:b w:val="1"/>
          <w:sz w:val="24"/>
          <w:szCs w:val="24"/>
        </w:rPr>
      </w:pPr>
      <w:r w:rsidDel="00000000" w:rsidR="00000000" w:rsidRPr="00000000">
        <w:rPr>
          <w:rFonts w:ascii="Arial Unicode MS" w:cs="Arial Unicode MS" w:eastAsia="Arial Unicode MS" w:hAnsi="Arial Unicode MS"/>
          <w:sz w:val="24"/>
          <w:szCs w:val="24"/>
          <w:rtl w:val="0"/>
        </w:rPr>
        <w:t xml:space="preserve">“智能形態分析”是一種幫助投資者在股票交易過程中實現從選股、盯盤、風控、復盤等功能的智能化和個性化的投資交易助手，通過機器學習、深度學習和大數據等技術對海量行情數據進行分析，識別形態信號並且根據形態特征進行深度神經網絡建模，實現更加準確的智能選股和盯盤提醒，最終實現降低投資交易的專業門檻，幫助投資者提高投資水平和風險意識，延長投資者投資生命周期的目標。</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sz w:val="24"/>
          <w:szCs w:val="24"/>
        </w:rPr>
      </w:pPr>
      <w:r w:rsidDel="00000000" w:rsidR="00000000" w:rsidRPr="00000000">
        <w:rPr>
          <w:b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我們建立的基於循環神經網絡的AI股票預測模型，根据最有效的多种形态信号数据和技术指标数据抽取出最能有效決定價格走勢的時間序列數據，通過使用</w:t>
      </w:r>
      <w:r w:rsidDel="00000000" w:rsidR="00000000" w:rsidRPr="00000000">
        <w:rPr>
          <w:rFonts w:ascii="Arial Unicode MS" w:cs="Arial Unicode MS" w:eastAsia="Arial Unicode MS" w:hAnsi="Arial Unicode MS"/>
          <w:sz w:val="24"/>
          <w:szCs w:val="24"/>
          <w:highlight w:val="white"/>
          <w:rtl w:val="0"/>
        </w:rPr>
        <w:t xml:space="preserve">大数据、人工智能和</w:t>
      </w:r>
      <w:r w:rsidDel="00000000" w:rsidR="00000000" w:rsidRPr="00000000">
        <w:rPr>
          <w:rFonts w:ascii="Arial Unicode MS" w:cs="Arial Unicode MS" w:eastAsia="Arial Unicode MS" w:hAnsi="Arial Unicode MS"/>
          <w:sz w:val="24"/>
          <w:szCs w:val="24"/>
          <w:rtl w:val="0"/>
        </w:rPr>
        <w:t xml:space="preserve">深度學習技術，訓練學習出更能快速、有效預測未來價格走勢的深度神經網路模型，從而為產品提供更加準確、更加快速的智能股票推薦、智能股票預測、智能盯盤等功能。</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ind w:left="0" w:firstLine="0"/>
        <w:contextualSpacing w:val="0"/>
        <w:jc w:val="both"/>
        <w:rPr>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b w:val="1"/>
          <w:sz w:val="32"/>
          <w:szCs w:val="32"/>
          <w:highlight w:val="white"/>
        </w:rPr>
      </w:pPr>
      <w:r w:rsidDel="00000000" w:rsidR="00000000" w:rsidRPr="00000000">
        <w:rPr>
          <w:rFonts w:ascii="Arial Unicode MS" w:cs="Arial Unicode MS" w:eastAsia="Arial Unicode MS" w:hAnsi="Arial Unicode MS"/>
          <w:b w:val="1"/>
          <w:sz w:val="32"/>
          <w:szCs w:val="32"/>
          <w:highlight w:val="white"/>
          <w:rtl w:val="0"/>
        </w:rPr>
        <w:t xml:space="preserve">二、數據抽取：</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sz w:val="24"/>
          <w:szCs w:val="24"/>
          <w:highlight w:val="white"/>
        </w:rPr>
      </w:pPr>
      <w:r w:rsidDel="00000000" w:rsidR="00000000" w:rsidRPr="00000000">
        <w:rPr>
          <w:rFonts w:ascii="Arial Unicode MS" w:cs="Arial Unicode MS" w:eastAsia="Arial Unicode MS" w:hAnsi="Arial Unicode MS"/>
          <w:b w:val="1"/>
          <w:sz w:val="24"/>
          <w:szCs w:val="24"/>
          <w:highlight w:val="white"/>
          <w:rtl w:val="0"/>
        </w:rPr>
        <w:t xml:space="preserve">數據更新說明：</w:t>
      </w:r>
      <w:r w:rsidDel="00000000" w:rsidR="00000000" w:rsidRPr="00000000">
        <w:rPr>
          <w:rFonts w:ascii="Arial Unicode MS" w:cs="Arial Unicode MS" w:eastAsia="Arial Unicode MS" w:hAnsi="Arial Unicode MS"/>
          <w:sz w:val="24"/>
          <w:szCs w:val="24"/>
          <w:highlight w:val="white"/>
          <w:rtl w:val="0"/>
        </w:rPr>
        <w:t xml:space="preserve">進行日K級別分析，更新數據基於上一交易日收盤價</w:t>
      </w:r>
    </w:p>
    <w:p w:rsidR="00000000" w:rsidDel="00000000" w:rsidP="00000000" w:rsidRDefault="00000000" w:rsidRPr="00000000" w14:paraId="00000009">
      <w:pPr>
        <w:pBdr>
          <w:top w:color="auto" w:space="0" w:sz="0" w:val="none"/>
          <w:left w:color="auto" w:space="0" w:sz="0" w:val="none"/>
          <w:bottom w:color="000000" w:space="0" w:sz="8" w:val="single"/>
          <w:right w:color="auto" w:space="0" w:sz="0" w:val="none"/>
          <w:between w:color="auto" w:space="0" w:sz="0" w:val="none"/>
        </w:pBdr>
        <w:shd w:fill="ffffff" w:val="clear"/>
        <w:contextualSpacing w:val="0"/>
        <w:jc w:val="both"/>
        <w:rPr>
          <w:sz w:val="24"/>
          <w:szCs w:val="24"/>
          <w:highlight w:val="white"/>
        </w:rPr>
      </w:pPr>
      <w:r w:rsidDel="00000000" w:rsidR="00000000" w:rsidRPr="00000000">
        <w:rPr>
          <w:rFonts w:ascii="Arial Unicode MS" w:cs="Arial Unicode MS" w:eastAsia="Arial Unicode MS" w:hAnsi="Arial Unicode MS"/>
          <w:b w:val="1"/>
          <w:sz w:val="24"/>
          <w:szCs w:val="24"/>
          <w:highlight w:val="white"/>
          <w:rtl w:val="0"/>
        </w:rPr>
        <w:t xml:space="preserve">數據源：</w:t>
      </w:r>
      <w:r w:rsidDel="00000000" w:rsidR="00000000" w:rsidRPr="00000000">
        <w:rPr>
          <w:rFonts w:ascii="Arial Unicode MS" w:cs="Arial Unicode MS" w:eastAsia="Arial Unicode MS" w:hAnsi="Arial Unicode MS"/>
          <w:sz w:val="24"/>
          <w:szCs w:val="24"/>
          <w:highlight w:val="white"/>
          <w:rtl w:val="0"/>
        </w:rPr>
        <w:t xml:space="preserve">滬港通、深港通、港股藍籌三年日K級別的歷史數據</w:t>
      </w:r>
    </w:p>
    <w:p w:rsidR="00000000" w:rsidDel="00000000" w:rsidP="00000000" w:rsidRDefault="00000000" w:rsidRPr="00000000" w14:paraId="0000000A">
      <w:pPr>
        <w:pBdr>
          <w:top w:color="auto" w:space="0" w:sz="0" w:val="none"/>
          <w:left w:color="auto" w:space="0" w:sz="0" w:val="none"/>
          <w:bottom w:color="000000" w:space="0" w:sz="8" w:val="single"/>
          <w:right w:color="auto" w:space="0" w:sz="0" w:val="none"/>
          <w:between w:color="auto" w:space="0" w:sz="0" w:val="none"/>
        </w:pBdr>
        <w:shd w:fill="ffffff" w:val="clear"/>
        <w:contextualSpacing w:val="0"/>
        <w:jc w:val="both"/>
        <w:rPr>
          <w:sz w:val="24"/>
          <w:szCs w:val="24"/>
          <w:highlight w:val="white"/>
        </w:rPr>
      </w:pPr>
      <w:r w:rsidDel="00000000" w:rsidR="00000000" w:rsidRPr="00000000">
        <w:rPr>
          <w:rFonts w:ascii="Arial Unicode MS" w:cs="Arial Unicode MS" w:eastAsia="Arial Unicode MS" w:hAnsi="Arial Unicode MS"/>
          <w:b w:val="1"/>
          <w:sz w:val="24"/>
          <w:szCs w:val="24"/>
          <w:highlight w:val="white"/>
          <w:rtl w:val="0"/>
        </w:rPr>
        <w:t xml:space="preserve">數據抽取：</w:t>
      </w:r>
      <w:r w:rsidDel="00000000" w:rsidR="00000000" w:rsidRPr="00000000">
        <w:rPr>
          <w:rFonts w:ascii="Arial Unicode MS" w:cs="Arial Unicode MS" w:eastAsia="Arial Unicode MS" w:hAnsi="Arial Unicode MS"/>
          <w:sz w:val="24"/>
          <w:szCs w:val="24"/>
          <w:rtl w:val="0"/>
        </w:rPr>
        <w:t xml:space="preserve">基於人工智能和大數據技術，</w:t>
      </w:r>
      <w:r w:rsidDel="00000000" w:rsidR="00000000" w:rsidRPr="00000000">
        <w:rPr>
          <w:rFonts w:ascii="Arial Unicode MS" w:cs="Arial Unicode MS" w:eastAsia="Arial Unicode MS" w:hAnsi="Arial Unicode MS"/>
          <w:sz w:val="24"/>
          <w:szCs w:val="24"/>
          <w:highlight w:val="white"/>
          <w:rtl w:val="0"/>
        </w:rPr>
        <w:t xml:space="preserve">將</w:t>
      </w:r>
      <w:r w:rsidDel="00000000" w:rsidR="00000000" w:rsidRPr="00000000">
        <w:rPr>
          <w:rFonts w:ascii="Arial Unicode MS" w:cs="Arial Unicode MS" w:eastAsia="Arial Unicode MS" w:hAnsi="Arial Unicode MS"/>
          <w:sz w:val="24"/>
          <w:szCs w:val="24"/>
          <w:highlight w:val="white"/>
          <w:rtl w:val="0"/>
        </w:rPr>
        <w:t xml:space="preserve">當前15交易日內出現的有效性最高的7種形態信號和8個技術指標信號的數據抽取出來，並挑選其未來10日內的平均收益最高回報值作為目標值，建立重要的正樣本數據集。</w:t>
      </w:r>
    </w:p>
    <w:p w:rsidR="00000000" w:rsidDel="00000000" w:rsidP="00000000" w:rsidRDefault="00000000" w:rsidRPr="00000000" w14:paraId="0000000B">
      <w:pPr>
        <w:pBdr>
          <w:top w:color="auto" w:space="0" w:sz="0" w:val="none"/>
          <w:left w:color="auto" w:space="0" w:sz="0" w:val="none"/>
          <w:bottom w:color="000000" w:space="0" w:sz="8" w:val="single"/>
          <w:right w:color="auto" w:space="0" w:sz="0" w:val="none"/>
          <w:between w:color="auto" w:space="0" w:sz="0" w:val="none"/>
        </w:pBdr>
        <w:shd w:fill="ffffff" w:val="clear"/>
        <w:contextualSpacing w:val="0"/>
        <w:jc w:val="both"/>
        <w:rPr>
          <w:b w:val="1"/>
          <w:sz w:val="24"/>
          <w:szCs w:val="24"/>
          <w:highlight w:val="white"/>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ind w:left="0" w:firstLine="0"/>
        <w:contextualSpacing w:val="0"/>
        <w:jc w:val="both"/>
        <w:rPr>
          <w:b w:val="1"/>
          <w:sz w:val="24"/>
          <w:szCs w:val="24"/>
          <w:highlight w:val="white"/>
        </w:rPr>
      </w:pPr>
      <w:r w:rsidDel="00000000" w:rsidR="00000000" w:rsidRPr="00000000">
        <w:rPr>
          <w:rFonts w:ascii="Arial Unicode MS" w:cs="Arial Unicode MS" w:eastAsia="Arial Unicode MS" w:hAnsi="Arial Unicode MS"/>
          <w:b w:val="1"/>
          <w:sz w:val="24"/>
          <w:szCs w:val="24"/>
          <w:highlight w:val="white"/>
          <w:rtl w:val="0"/>
        </w:rPr>
        <w:t xml:space="preserve">形態信號：</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ind w:firstLine="480"/>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形態分類：倒錘線、陽十字線、早晨之星、光頭光腳陽線、看漲三外升、射擊之星、箱體下破（7個）</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b w:val="1"/>
          <w:sz w:val="24"/>
          <w:szCs w:val="24"/>
          <w:highlight w:val="white"/>
        </w:rPr>
      </w:pPr>
      <w:r w:rsidDel="00000000" w:rsidR="00000000" w:rsidRPr="00000000">
        <w:rPr>
          <w:rFonts w:ascii="Arial Unicode MS" w:cs="Arial Unicode MS" w:eastAsia="Arial Unicode MS" w:hAnsi="Arial Unicode MS"/>
          <w:b w:val="1"/>
          <w:sz w:val="24"/>
          <w:szCs w:val="24"/>
          <w:highlight w:val="white"/>
          <w:rtl w:val="0"/>
        </w:rPr>
        <w:t xml:space="preserve">指標信號</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ind w:firstLine="480"/>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指標分類：MACD(金叉、死叉)、KDJ（金叉、死叉）、RSI（金叉、死叉）、VOL（金叉、死叉）</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備註：</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MACD金叉應用（DIFF上穿DEA，底背離， 0軸以上）</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MACD死叉應用（DIFF下破DEA，頂背離，0軸以下）</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KDJ金叉應用（K線上穿D線，底背離，KD&lt;=20或者J&lt;0）</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KDJ死叉應用（K線下破D線,頂背離，KD&gt;=80或者J&gt;100）</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RSI金叉應用（RSI6日線上穿RSI12日線，底背離，交叉位置&lt;20）</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RSI死叉應用（RSI6日線下破RSI12日線，頂背離，交叉位置&gt;80）</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VOL金叉應用（5日均量線上穿10日均量線）</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VOL金叉應用（5日均量線下破10日均量線）</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sz w:val="24"/>
          <w:szCs w:val="24"/>
          <w:highlight w:val="white"/>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b w:val="1"/>
          <w:sz w:val="32"/>
          <w:szCs w:val="32"/>
          <w:highlight w:val="white"/>
        </w:rPr>
      </w:pPr>
      <w:r w:rsidDel="00000000" w:rsidR="00000000" w:rsidRPr="00000000">
        <w:rPr>
          <w:sz w:val="24"/>
          <w:szCs w:val="24"/>
          <w:highlight w:val="white"/>
          <w:rtl w:val="0"/>
        </w:rPr>
        <w:t xml:space="preserve">  </w:t>
      </w:r>
      <w:r w:rsidDel="00000000" w:rsidR="00000000" w:rsidRPr="00000000">
        <w:rPr>
          <w:rFonts w:ascii="Arial Unicode MS" w:cs="Arial Unicode MS" w:eastAsia="Arial Unicode MS" w:hAnsi="Arial Unicode MS"/>
          <w:b w:val="1"/>
          <w:sz w:val="32"/>
          <w:szCs w:val="32"/>
          <w:highlight w:val="white"/>
          <w:rtl w:val="0"/>
        </w:rPr>
        <w:t xml:space="preserve">三、數據採樣</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b w:val="1"/>
          <w:sz w:val="32"/>
          <w:szCs w:val="32"/>
          <w:highlight w:val="white"/>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ind w:left="0" w:firstLine="0"/>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如果我們的數據集中只包含通過以上非隨機採樣操作抽取出來的有效預測的數據，那麼那個數據集就是典型的非平衡數據集。用这些不平衡的數據训练出来的模型，其预测结果會偏向于训练数据中数据比较多的那一类，從而降低預測結果的準確性。發生這種情況的原因是機器學習算法通常被設計成通過減少誤差來提高準確率，所以它們並沒有考慮類別的分佈比例或者是類別的平衡。為了避免數據的不平衡，我們需要在歷史數據中隨機採樣一些非形態信號與技術指標信號的數據，從而達到隨機採樣數據與非隨機採樣數據的平衡。</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ind w:left="0" w:firstLine="0"/>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從正樣本數據集對應的滬港通、深港通、港股藍籌三年日K級別的歷史數據中，通過隨機採樣的方法抽取出等比例的由15交易日內股票日數據與未來10日內的平均收益的最高回報值作為目標值組成的負樣本數據集。然後將正樣本數據集與負樣本數據集合成一個統一的數據集，從而組成一個正負樣本比例對等的數據集。</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0" w:firstLine="0"/>
        <w:contextualSpacing w:val="0"/>
        <w:jc w:val="both"/>
        <w:rPr>
          <w:sz w:val="24"/>
          <w:szCs w:val="24"/>
          <w:highlight w:val="white"/>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b w:val="1"/>
          <w:sz w:val="32"/>
          <w:szCs w:val="32"/>
          <w:highlight w:val="white"/>
        </w:rPr>
      </w:pPr>
      <w:r w:rsidDel="00000000" w:rsidR="00000000" w:rsidRPr="00000000">
        <w:rPr>
          <w:sz w:val="24"/>
          <w:szCs w:val="24"/>
          <w:highlight w:val="white"/>
          <w:rtl w:val="0"/>
        </w:rPr>
        <w:t xml:space="preserve">  </w:t>
      </w:r>
      <w:r w:rsidDel="00000000" w:rsidR="00000000" w:rsidRPr="00000000">
        <w:rPr>
          <w:rFonts w:ascii="Arial Unicode MS" w:cs="Arial Unicode MS" w:eastAsia="Arial Unicode MS" w:hAnsi="Arial Unicode MS"/>
          <w:b w:val="1"/>
          <w:sz w:val="32"/>
          <w:szCs w:val="32"/>
          <w:highlight w:val="white"/>
          <w:rtl w:val="0"/>
        </w:rPr>
        <w:t xml:space="preserve">四、數據預處理</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b w:val="1"/>
          <w:sz w:val="32"/>
          <w:szCs w:val="32"/>
          <w:highlight w:val="white"/>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數據預處理在眾多深度學習算法中都起著重要作用。數據預處理包括數據清洗、數據的歸一化，去除重復數據，修改錯誤數據，填充無效數據，抽象數據表示，篩選特征值，分配權重等等，以得到更準確的數據和更有效的結果。</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left="0" w:firstLine="0"/>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對於當日停牌的數據，它的開盤價收盤價最高價最低價都是同一個值，如果加入到數據集中，會形成一個無意義的峰值，因此需要在預處理中把它去掉。</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ind w:left="0" w:firstLine="0"/>
        <w:contextualSpacing w:val="0"/>
        <w:jc w:val="both"/>
        <w:rPr>
          <w:sz w:val="24"/>
          <w:szCs w:val="24"/>
          <w:highlight w:val="white"/>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left="0" w:firstLine="0"/>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四、特征提取</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left="0" w:firstLine="0"/>
        <w:contextualSpacing w:val="0"/>
        <w:jc w:val="both"/>
        <w:rPr>
          <w:sz w:val="24"/>
          <w:szCs w:val="24"/>
          <w:highlight w:val="white"/>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left="0" w:firstLine="0"/>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五、模型训练</w:t>
      </w:r>
    </w:p>
    <w:p w:rsidR="00000000" w:rsidDel="00000000" w:rsidP="00000000" w:rsidRDefault="00000000" w:rsidRPr="00000000" w14:paraId="0000002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contextualSpacing w:val="1"/>
        <w:jc w:val="both"/>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经典模型</w:t>
      </w:r>
    </w:p>
    <w:p w:rsidR="00000000" w:rsidDel="00000000" w:rsidP="00000000" w:rsidRDefault="00000000" w:rsidRPr="00000000" w14:paraId="0000002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contextualSpacing w:val="1"/>
        <w:jc w:val="both"/>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深度学习加强模型</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left="0" w:firstLine="0"/>
        <w:contextualSpacing w:val="0"/>
        <w:jc w:val="both"/>
        <w:rPr>
          <w:sz w:val="24"/>
          <w:szCs w:val="24"/>
          <w:highlight w:val="white"/>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b w:val="1"/>
          <w:sz w:val="32"/>
          <w:szCs w:val="32"/>
          <w:highlight w:val="white"/>
        </w:rPr>
      </w:pPr>
      <w:r w:rsidDel="00000000" w:rsidR="00000000" w:rsidRPr="00000000">
        <w:rPr>
          <w:rFonts w:ascii="Arial Unicode MS" w:cs="Arial Unicode MS" w:eastAsia="Arial Unicode MS" w:hAnsi="Arial Unicode MS"/>
          <w:b w:val="1"/>
          <w:sz w:val="32"/>
          <w:szCs w:val="32"/>
          <w:highlight w:val="white"/>
          <w:rtl w:val="0"/>
        </w:rPr>
        <w:t xml:space="preserve">五、循環神經網絡模型</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contextualSpacing w:val="0"/>
        <w:jc w:val="both"/>
        <w:rPr>
          <w:b w:val="1"/>
          <w:sz w:val="32"/>
          <w:szCs w:val="32"/>
          <w:highlight w:val="white"/>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left="0" w:firstLine="0"/>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LSTM Networks是循環神經網絡（RNNs）的一種，該算法由Sepp Hochreiter和Jurgen Schmidhuber在Neural Computation上首次公布。後經過人們的不斷改進，LSTM的內部結構逐漸變得完善起來。在處理和預測時間序列相關的數據時會比一般的RNNs表現的更好。目前，LSTM_Networks已經被廣泛應用在機器人控制、文本識別及預測、語音識別、蛋白質同源檢測等領域。基於LSTM_Networks在這些方面的優異表現，因此我們採用LSTM模型來對股票時間序列進行預測。</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left="0" w:firstLine="0"/>
        <w:contextualSpacing w:val="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LSTM對於數據標準化的要求很高，因此所有input數據均經過z-score標準化處理。對於處理好的股票數據，我們以15交易日內股票日數據作為模型的輸入，以未來10日內的平均收益值作為輸出，建立一個包含15個LSTM神經元的循環神經網絡模型。通過訓練學習，得到收益率預測準確度更高的LSTM模型。然後將該模型應用到智能選股、智能盯盤的產品功能中去。具體流程可參見下圖：</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left="0" w:firstLine="0"/>
        <w:contextualSpacing w:val="0"/>
        <w:jc w:val="both"/>
        <w:rPr>
          <w:sz w:val="24"/>
          <w:szCs w:val="24"/>
          <w:highlight w:val="white"/>
        </w:rPr>
      </w:pPr>
      <w:r w:rsidDel="00000000" w:rsidR="00000000" w:rsidRPr="00000000">
        <w:rPr>
          <w:sz w:val="24"/>
          <w:szCs w:val="24"/>
          <w:highlight w:val="white"/>
        </w:rPr>
        <w:drawing>
          <wp:inline distB="114300" distT="114300" distL="114300" distR="114300">
            <wp:extent cx="5943600" cy="1422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422400"/>
                    </a:xfrm>
                    <a:prstGeom prst="rect"/>
                    <a:ln/>
                  </pic:spPr>
                </pic:pic>
              </a:graphicData>
            </a:graphic>
          </wp:inline>
        </w:drawing>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