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25F4DC4" w14:textId="4543D3C0" w:rsidR="00F361D4" w:rsidRPr="00BD4727" w:rsidRDefault="00F361D4" w:rsidP="00F361D4">
      <w:pPr>
        <w:rPr>
          <w:rFonts w:ascii="KaiTi" w:eastAsia="KaiTi" w:hAnsi="KaiTi"/>
          <w:b/>
          <w:sz w:val="44"/>
          <w:szCs w:val="44"/>
        </w:rPr>
      </w:pPr>
      <w:r w:rsidRPr="003E50E5">
        <w:rPr>
          <w:rFonts w:ascii="KaiTi" w:eastAsia="KaiTi" w:hAnsi="KaiTi" w:hint="eastAsia"/>
          <w:b/>
          <w:sz w:val="32"/>
          <w:szCs w:val="32"/>
        </w:rPr>
        <w:t xml:space="preserve">  </w:t>
      </w:r>
      <w:r>
        <w:rPr>
          <w:rFonts w:ascii="KaiTi" w:eastAsia="KaiTi" w:hAnsi="KaiTi" w:hint="eastAsia"/>
          <w:b/>
          <w:sz w:val="32"/>
          <w:szCs w:val="32"/>
        </w:rPr>
        <w:t xml:space="preserve">       </w:t>
      </w:r>
      <w:r w:rsidR="007A675A">
        <w:rPr>
          <w:rFonts w:ascii="KaiTi" w:eastAsia="KaiTi" w:hAnsi="KaiTi" w:hint="eastAsia"/>
          <w:b/>
          <w:sz w:val="32"/>
          <w:szCs w:val="32"/>
        </w:rPr>
        <w:t xml:space="preserve">  </w:t>
      </w:r>
      <w:r w:rsidRPr="003C7A20">
        <w:rPr>
          <w:rFonts w:ascii="KaiTi" w:eastAsia="KaiTi" w:hAnsi="KaiTi"/>
          <w:b/>
          <w:sz w:val="44"/>
          <w:szCs w:val="44"/>
        </w:rPr>
        <w:t>產品功能簡介</w:t>
      </w:r>
      <w:r w:rsidR="009F1455">
        <w:rPr>
          <w:rFonts w:ascii="KaiTi" w:eastAsia="KaiTi" w:hAnsi="KaiTi" w:hint="eastAsia"/>
          <w:b/>
          <w:sz w:val="44"/>
          <w:szCs w:val="44"/>
        </w:rPr>
        <w:t>及頁面交互設計</w:t>
      </w:r>
    </w:p>
    <w:p w14:paraId="35B126E1" w14:textId="77777777" w:rsidR="009F1455" w:rsidRDefault="009F1455" w:rsidP="00F361D4">
      <w:pPr>
        <w:rPr>
          <w:rFonts w:ascii="KaiTi" w:eastAsia="KaiTi" w:hAnsi="KaiTi"/>
          <w:b/>
          <w:sz w:val="32"/>
          <w:szCs w:val="32"/>
        </w:rPr>
      </w:pPr>
    </w:p>
    <w:p w14:paraId="1AE54CCA" w14:textId="6B2997CB" w:rsidR="00701F8A" w:rsidRDefault="009F1455" w:rsidP="00F361D4">
      <w:pPr>
        <w:rPr>
          <w:rFonts w:ascii="KaiTi" w:eastAsia="KaiTi" w:hAnsi="KaiTi"/>
          <w:b/>
          <w:sz w:val="32"/>
          <w:szCs w:val="32"/>
        </w:rPr>
      </w:pPr>
      <w:r>
        <w:rPr>
          <w:rFonts w:ascii="KaiTi" w:eastAsia="KaiTi" w:hAnsi="KaiTi" w:hint="eastAsia"/>
          <w:b/>
          <w:sz w:val="32"/>
          <w:szCs w:val="32"/>
        </w:rPr>
        <w:t>一、</w:t>
      </w:r>
      <w:r w:rsidR="00F361D4">
        <w:rPr>
          <w:rFonts w:ascii="KaiTi" w:eastAsia="KaiTi" w:hAnsi="KaiTi" w:hint="eastAsia"/>
          <w:b/>
          <w:sz w:val="32"/>
          <w:szCs w:val="32"/>
        </w:rPr>
        <w:t>產品功能簡介</w:t>
      </w:r>
    </w:p>
    <w:p w14:paraId="0911DE76" w14:textId="77777777" w:rsidR="009F1455" w:rsidRPr="00BD4727" w:rsidRDefault="009F1455" w:rsidP="00F361D4">
      <w:pPr>
        <w:rPr>
          <w:rFonts w:ascii="KaiTi" w:eastAsia="KaiTi" w:hAnsi="KaiTi"/>
          <w:b/>
          <w:sz w:val="32"/>
          <w:szCs w:val="32"/>
        </w:rPr>
      </w:pPr>
    </w:p>
    <w:p w14:paraId="21D3DF35" w14:textId="77777777" w:rsidR="00F361D4" w:rsidRPr="002C40EE" w:rsidRDefault="00F361D4" w:rsidP="00F361D4">
      <w:pPr>
        <w:rPr>
          <w:rFonts w:ascii="KaiTi" w:eastAsia="KaiTi" w:hAnsi="KaiTi"/>
          <w:b/>
        </w:rPr>
      </w:pPr>
      <w:r w:rsidRPr="002C40EE">
        <w:rPr>
          <w:rFonts w:ascii="KaiTi" w:eastAsia="KaiTi" w:hAnsi="KaiTi" w:hint="eastAsia"/>
          <w:b/>
        </w:rPr>
        <w:t>1、產品定義：</w:t>
      </w:r>
    </w:p>
    <w:p w14:paraId="5826AA33" w14:textId="0D768911" w:rsidR="00F361D4" w:rsidRDefault="00F361D4" w:rsidP="00F361D4">
      <w:pPr>
        <w:ind w:firstLine="480"/>
        <w:rPr>
          <w:rFonts w:ascii="KaiTi" w:eastAsia="KaiTi" w:hAnsi="KaiTi"/>
        </w:rPr>
      </w:pPr>
      <w:r w:rsidRPr="00437858">
        <w:rPr>
          <w:rFonts w:ascii="KaiTi" w:eastAsia="KaiTi" w:hAnsi="KaiTi"/>
        </w:rPr>
        <w:t>“智能形態分析”是一種幫助投資者在股票交易過程中實現從選股、盯盤、風控、復盤等功能的智能化和個性化的投資交易助手，通過機器學習和大數據等技術對海量行情數據進行分析，識別形態信號並且根據形態特征進行建模，再根據</w:t>
      </w:r>
      <w:r w:rsidR="002603B5">
        <w:rPr>
          <w:rFonts w:ascii="KaiTi" w:eastAsia="KaiTi" w:hAnsi="KaiTi"/>
        </w:rPr>
        <w:t>投資者</w:t>
      </w:r>
      <w:r w:rsidRPr="00437858">
        <w:rPr>
          <w:rFonts w:ascii="KaiTi" w:eastAsia="KaiTi" w:hAnsi="KaiTi"/>
        </w:rPr>
        <w:t>交易畫像和投資需求偏好做出判斷，進行個性化智能匹配，滿足</w:t>
      </w:r>
      <w:r w:rsidR="002603B5">
        <w:rPr>
          <w:rFonts w:ascii="KaiTi" w:eastAsia="KaiTi" w:hAnsi="KaiTi"/>
        </w:rPr>
        <w:t>投資者</w:t>
      </w:r>
      <w:r w:rsidRPr="00437858">
        <w:rPr>
          <w:rFonts w:ascii="KaiTi" w:eastAsia="KaiTi" w:hAnsi="KaiTi"/>
        </w:rPr>
        <w:t>在在投資交易的不同階段中的需求，最終實現降低投資交易的專業門檻，幫助</w:t>
      </w:r>
      <w:r w:rsidR="002603B5">
        <w:rPr>
          <w:rFonts w:ascii="KaiTi" w:eastAsia="KaiTi" w:hAnsi="KaiTi"/>
        </w:rPr>
        <w:t>投資者</w:t>
      </w:r>
      <w:r w:rsidRPr="00437858">
        <w:rPr>
          <w:rFonts w:ascii="KaiTi" w:eastAsia="KaiTi" w:hAnsi="KaiTi"/>
        </w:rPr>
        <w:t>提高投資水平和風險意識，延長</w:t>
      </w:r>
      <w:r w:rsidR="002603B5">
        <w:rPr>
          <w:rFonts w:ascii="KaiTi" w:eastAsia="KaiTi" w:hAnsi="KaiTi"/>
        </w:rPr>
        <w:t>投資者</w:t>
      </w:r>
      <w:r w:rsidRPr="00437858">
        <w:rPr>
          <w:rFonts w:ascii="KaiTi" w:eastAsia="KaiTi" w:hAnsi="KaiTi"/>
        </w:rPr>
        <w:t>投資生命周期的目標。</w:t>
      </w:r>
    </w:p>
    <w:p w14:paraId="5E5C5E56" w14:textId="77777777" w:rsidR="00F361D4" w:rsidRDefault="00F361D4" w:rsidP="00F361D4">
      <w:pPr>
        <w:rPr>
          <w:rFonts w:ascii="KaiTi" w:eastAsia="KaiTi" w:hAnsi="KaiTi"/>
          <w:b/>
        </w:rPr>
      </w:pPr>
    </w:p>
    <w:p w14:paraId="3617E0F7" w14:textId="52CED288" w:rsidR="004B0734" w:rsidRPr="00AB26F9" w:rsidRDefault="00F361D4" w:rsidP="004B0734">
      <w:pPr>
        <w:rPr>
          <w:rFonts w:ascii="KaiTi" w:eastAsia="KaiTi" w:hAnsi="KaiTi"/>
          <w:b/>
        </w:rPr>
      </w:pPr>
      <w:r w:rsidRPr="002C40EE">
        <w:rPr>
          <w:rFonts w:ascii="KaiTi" w:eastAsia="KaiTi" w:hAnsi="KaiTi" w:hint="eastAsia"/>
          <w:b/>
        </w:rPr>
        <w:t>2、產品功能：</w:t>
      </w:r>
    </w:p>
    <w:p w14:paraId="5CFB3E8B" w14:textId="49C1C343" w:rsidR="00F361D4" w:rsidRDefault="00F361D4" w:rsidP="00AB26F9">
      <w:pPr>
        <w:ind w:firstLine="480"/>
        <w:rPr>
          <w:rFonts w:ascii="KaiTi" w:eastAsia="KaiTi" w:hAnsi="KaiTi"/>
        </w:rPr>
      </w:pPr>
      <w:r w:rsidRPr="004B0734">
        <w:rPr>
          <w:rFonts w:ascii="KaiTi" w:eastAsia="KaiTi" w:hAnsi="KaiTi" w:hint="eastAsia"/>
          <w:b/>
        </w:rPr>
        <w:t>盯盤提醒</w:t>
      </w:r>
      <w:r w:rsidR="004B0734">
        <w:rPr>
          <w:rFonts w:ascii="KaiTi" w:eastAsia="KaiTi" w:hAnsi="KaiTi" w:hint="eastAsia"/>
        </w:rPr>
        <w:t>：</w:t>
      </w:r>
      <w:r w:rsidR="00441BCE">
        <w:rPr>
          <w:rFonts w:ascii="KaiTi" w:eastAsia="KaiTi" w:hAnsi="KaiTi" w:hint="eastAsia"/>
        </w:rPr>
        <w:t>對投資者的當前持倉股票</w:t>
      </w:r>
      <w:r w:rsidR="009148AB" w:rsidRPr="005079A0">
        <w:rPr>
          <w:rFonts w:ascii="KaiTi" w:eastAsia="KaiTi" w:hAnsi="KaiTi"/>
        </w:rPr>
        <w:t>15個交易日</w:t>
      </w:r>
      <w:r w:rsidR="009148AB">
        <w:rPr>
          <w:rFonts w:ascii="KaiTi" w:eastAsia="KaiTi" w:hAnsi="KaiTi" w:hint="eastAsia"/>
        </w:rPr>
        <w:t>内</w:t>
      </w:r>
      <w:r w:rsidR="009148AB" w:rsidRPr="005079A0">
        <w:rPr>
          <w:rFonts w:ascii="KaiTi" w:eastAsia="KaiTi" w:hAnsi="KaiTi"/>
        </w:rPr>
        <w:t>的K線形態、技術指標</w:t>
      </w:r>
      <w:r w:rsidR="00441BCE">
        <w:rPr>
          <w:rFonts w:ascii="KaiTi" w:eastAsia="KaiTi" w:hAnsi="KaiTi" w:hint="eastAsia"/>
        </w:rPr>
        <w:t>進行</w:t>
      </w:r>
      <w:r w:rsidR="004222BE">
        <w:rPr>
          <w:rFonts w:ascii="KaiTi" w:eastAsia="KaiTi" w:hAnsi="KaiTi" w:hint="eastAsia"/>
        </w:rPr>
        <w:t>掃描分析，為投資者進行</w:t>
      </w:r>
      <w:r w:rsidR="00C7710A">
        <w:rPr>
          <w:rFonts w:ascii="KaiTi" w:eastAsia="KaiTi" w:hAnsi="KaiTi" w:hint="eastAsia"/>
        </w:rPr>
        <w:t>信號</w:t>
      </w:r>
      <w:r w:rsidR="004222BE">
        <w:rPr>
          <w:rFonts w:ascii="KaiTi" w:eastAsia="KaiTi" w:hAnsi="KaiTi" w:hint="eastAsia"/>
        </w:rPr>
        <w:t>盯盤提醒</w:t>
      </w:r>
      <w:r w:rsidR="009148AB">
        <w:rPr>
          <w:rFonts w:ascii="KaiTi" w:eastAsia="KaiTi" w:hAnsi="KaiTi" w:hint="eastAsia"/>
        </w:rPr>
        <w:t xml:space="preserve"> </w:t>
      </w:r>
    </w:p>
    <w:p w14:paraId="636F8EAF" w14:textId="1F8670A1" w:rsidR="00AB26F9" w:rsidRPr="00AB26F9" w:rsidRDefault="00AB26F9" w:rsidP="00AB26F9">
      <w:pPr>
        <w:rPr>
          <w:rFonts w:ascii="KaiTi" w:eastAsia="KaiTi" w:hAnsi="KaiTi"/>
        </w:rPr>
      </w:pPr>
      <w:r>
        <w:rPr>
          <w:rFonts w:ascii="KaiTi" w:eastAsia="KaiTi" w:hAnsi="KaiTi" w:hint="eastAsia"/>
          <w:b/>
        </w:rPr>
        <w:t xml:space="preserve">    </w:t>
      </w:r>
      <w:r w:rsidRPr="004B0734">
        <w:rPr>
          <w:rFonts w:ascii="KaiTi" w:eastAsia="KaiTi" w:hAnsi="KaiTi"/>
          <w:b/>
        </w:rPr>
        <w:t>形態選股：</w:t>
      </w:r>
      <w:r w:rsidRPr="004B0734">
        <w:rPr>
          <w:rFonts w:ascii="KaiTi" w:eastAsia="KaiTi" w:hAnsi="KaiTi"/>
        </w:rPr>
        <w:t>精準匹配滬港通、深港通及港股藍籌的個股形態，為投資者找到當前持倉股及歷史持倉股中相同形態的個股，同時對挑選出的個股根據市值和PE相似性進行篩選，按照形態成功率和預期回報為投資者擇優</w:t>
      </w:r>
      <w:r>
        <w:rPr>
          <w:rFonts w:ascii="KaiTi" w:eastAsia="KaiTi" w:hAnsi="KaiTi" w:hint="eastAsia"/>
        </w:rPr>
        <w:t>展示相似股票</w:t>
      </w:r>
    </w:p>
    <w:p w14:paraId="7C8CA314" w14:textId="094C8536" w:rsidR="00CE74BE" w:rsidRDefault="004222BE" w:rsidP="00CE74BE">
      <w:pPr>
        <w:ind w:firstLine="480"/>
        <w:rPr>
          <w:rFonts w:ascii="KaiTi" w:eastAsia="KaiTi" w:hAnsi="KaiTi"/>
        </w:rPr>
      </w:pPr>
      <w:r>
        <w:rPr>
          <w:rFonts w:ascii="KaiTi" w:eastAsia="KaiTi" w:hAnsi="KaiTi" w:hint="eastAsia"/>
          <w:b/>
        </w:rPr>
        <w:t>智能畫像</w:t>
      </w:r>
      <w:r w:rsidR="00D3617B">
        <w:rPr>
          <w:rFonts w:ascii="KaiTi" w:eastAsia="KaiTi" w:hAnsi="KaiTi" w:hint="eastAsia"/>
          <w:b/>
        </w:rPr>
        <w:t>：</w:t>
      </w:r>
      <w:r w:rsidRPr="00D751F1">
        <w:rPr>
          <w:rFonts w:ascii="KaiTi" w:eastAsia="KaiTi" w:hAnsi="KaiTi" w:hint="eastAsia"/>
        </w:rPr>
        <w:t>包括個股形態畫像和形態操作畫像</w:t>
      </w:r>
      <w:r w:rsidR="00CE74BE">
        <w:rPr>
          <w:rFonts w:ascii="KaiTi" w:eastAsia="KaiTi" w:hAnsi="KaiTi" w:hint="eastAsia"/>
        </w:rPr>
        <w:t>；</w:t>
      </w:r>
    </w:p>
    <w:p w14:paraId="2D9B310A" w14:textId="0A3A78B7" w:rsidR="00F361D4" w:rsidRDefault="00CE74BE" w:rsidP="00CE74BE">
      <w:pPr>
        <w:ind w:firstLine="480"/>
        <w:rPr>
          <w:rFonts w:ascii="KaiTi" w:eastAsia="KaiTi" w:hAnsi="KaiTi"/>
        </w:rPr>
      </w:pPr>
      <w:r>
        <w:rPr>
          <w:rFonts w:ascii="KaiTi" w:eastAsia="KaiTi" w:hAnsi="KaiTi" w:hint="eastAsia"/>
        </w:rPr>
        <w:t xml:space="preserve">    </w:t>
      </w:r>
      <w:r w:rsidR="004222BE" w:rsidRPr="00D751F1">
        <w:rPr>
          <w:rFonts w:ascii="KaiTi" w:eastAsia="KaiTi" w:hAnsi="KaiTi" w:hint="eastAsia"/>
        </w:rPr>
        <w:t>個股畫像</w:t>
      </w:r>
      <w:r w:rsidR="00C0361A">
        <w:rPr>
          <w:rFonts w:ascii="KaiTi" w:eastAsia="KaiTi" w:hAnsi="KaiTi" w:hint="eastAsia"/>
        </w:rPr>
        <w:t>是基於過去三年的歷史回測數據對個股的平均回報、</w:t>
      </w:r>
      <w:r w:rsidR="00AC3FA2">
        <w:rPr>
          <w:rFonts w:ascii="KaiTi" w:eastAsia="KaiTi" w:hAnsi="KaiTi" w:hint="eastAsia"/>
        </w:rPr>
        <w:t>最佳持有天數、</w:t>
      </w:r>
      <w:r w:rsidR="00C0361A">
        <w:rPr>
          <w:rFonts w:ascii="KaiTi" w:eastAsia="KaiTi" w:hAnsi="KaiTi" w:hint="eastAsia"/>
        </w:rPr>
        <w:t>成功率、出現次數</w:t>
      </w:r>
      <w:r w:rsidR="004F75B8">
        <w:rPr>
          <w:rFonts w:ascii="KaiTi" w:eastAsia="KaiTi" w:hAnsi="KaiTi" w:hint="eastAsia"/>
        </w:rPr>
        <w:t>以及</w:t>
      </w:r>
      <w:r w:rsidR="00C0361A">
        <w:rPr>
          <w:rFonts w:ascii="KaiTi" w:eastAsia="KaiTi" w:hAnsi="KaiTi" w:hint="eastAsia"/>
        </w:rPr>
        <w:t>當前出現天數</w:t>
      </w:r>
      <w:r w:rsidR="004F75B8">
        <w:rPr>
          <w:rFonts w:ascii="KaiTi" w:eastAsia="KaiTi" w:hAnsi="KaiTi" w:hint="eastAsia"/>
        </w:rPr>
        <w:t>等维度</w:t>
      </w:r>
      <w:r w:rsidR="00C0361A">
        <w:rPr>
          <w:rFonts w:ascii="KaiTi" w:eastAsia="KaiTi" w:hAnsi="KaiTi" w:hint="eastAsia"/>
        </w:rPr>
        <w:t>進行</w:t>
      </w:r>
      <w:r w:rsidR="005A07A6">
        <w:rPr>
          <w:rFonts w:ascii="KaiTi" w:eastAsia="KaiTi" w:hAnsi="KaiTi" w:hint="eastAsia"/>
        </w:rPr>
        <w:t>全方位</w:t>
      </w:r>
      <w:r w:rsidR="00C0361A">
        <w:rPr>
          <w:rFonts w:ascii="KaiTi" w:eastAsia="KaiTi" w:hAnsi="KaiTi" w:hint="eastAsia"/>
        </w:rPr>
        <w:t>統計展示</w:t>
      </w:r>
      <w:r>
        <w:rPr>
          <w:rFonts w:ascii="KaiTi" w:eastAsia="KaiTi" w:hAnsi="KaiTi" w:hint="eastAsia"/>
        </w:rPr>
        <w:t>；</w:t>
      </w:r>
    </w:p>
    <w:p w14:paraId="48B81D12" w14:textId="55B0E829" w:rsidR="00CE74BE" w:rsidRPr="00D751F1" w:rsidRDefault="00CE74BE" w:rsidP="00CE74BE">
      <w:pPr>
        <w:ind w:firstLine="480"/>
        <w:rPr>
          <w:rFonts w:ascii="KaiTi" w:eastAsia="KaiTi" w:hAnsi="KaiTi"/>
        </w:rPr>
      </w:pPr>
      <w:r>
        <w:rPr>
          <w:rFonts w:ascii="KaiTi" w:eastAsia="KaiTi" w:hAnsi="KaiTi" w:hint="eastAsia"/>
        </w:rPr>
        <w:t xml:space="preserve">    形態操作畫像是</w:t>
      </w:r>
      <w:r w:rsidR="007A675A">
        <w:rPr>
          <w:rFonts w:ascii="KaiTi" w:eastAsia="KaiTi" w:hAnsi="KaiTi" w:hint="eastAsia"/>
        </w:rPr>
        <w:t>基於</w:t>
      </w:r>
      <w:r w:rsidR="00805672">
        <w:rPr>
          <w:rFonts w:ascii="KaiTi" w:eastAsia="KaiTi" w:hAnsi="KaiTi" w:hint="eastAsia"/>
        </w:rPr>
        <w:t>投資者過去三年</w:t>
      </w:r>
      <w:r w:rsidR="00AC3FA2">
        <w:rPr>
          <w:rFonts w:ascii="KaiTi" w:eastAsia="KaiTi" w:hAnsi="KaiTi" w:hint="eastAsia"/>
        </w:rPr>
        <w:t>的交易記錄，對投資者操作個股形態的歷史回測，包括平均回報、持倉期間出現次數、持倉期間形態平均回報、操作勝率以及操作次數等數據，展示投資者的形態操作表現</w:t>
      </w:r>
    </w:p>
    <w:p w14:paraId="35B51E9B" w14:textId="7A592E62" w:rsidR="00F361D4" w:rsidRPr="00952079" w:rsidRDefault="00D3617B" w:rsidP="004B0734">
      <w:pPr>
        <w:rPr>
          <w:rFonts w:ascii="KaiTi" w:eastAsia="KaiTi" w:hAnsi="KaiTi"/>
        </w:rPr>
      </w:pPr>
      <w:r>
        <w:rPr>
          <w:rFonts w:ascii="KaiTi" w:eastAsia="KaiTi" w:hAnsi="KaiTi" w:hint="eastAsia"/>
          <w:b/>
        </w:rPr>
        <w:t xml:space="preserve">    </w:t>
      </w:r>
      <w:r w:rsidR="00F361D4" w:rsidRPr="004B0734">
        <w:rPr>
          <w:rFonts w:ascii="KaiTi" w:eastAsia="KaiTi" w:hAnsi="KaiTi" w:hint="eastAsia"/>
          <w:b/>
        </w:rPr>
        <w:t>復盤分析</w:t>
      </w:r>
      <w:r>
        <w:rPr>
          <w:rFonts w:ascii="KaiTi" w:eastAsia="KaiTi" w:hAnsi="KaiTi" w:hint="eastAsia"/>
          <w:b/>
        </w:rPr>
        <w:t>：</w:t>
      </w:r>
      <w:r w:rsidR="00257E92" w:rsidRPr="00257E92">
        <w:rPr>
          <w:rFonts w:ascii="KaiTi" w:eastAsia="KaiTi" w:hAnsi="KaiTi" w:hint="eastAsia"/>
        </w:rPr>
        <w:t>根据</w:t>
      </w:r>
      <w:r w:rsidR="00AB26F9">
        <w:rPr>
          <w:rFonts w:ascii="KaiTi" w:eastAsia="KaiTi" w:hAnsi="KaiTi" w:hint="eastAsia"/>
        </w:rPr>
        <w:t>投資者</w:t>
      </w:r>
      <w:r w:rsidR="00952079" w:rsidRPr="00952079">
        <w:rPr>
          <w:rFonts w:ascii="KaiTi" w:eastAsia="KaiTi" w:hAnsi="KaiTi" w:hint="eastAsia"/>
        </w:rPr>
        <w:t>的</w:t>
      </w:r>
      <w:r w:rsidR="00257E92">
        <w:rPr>
          <w:rFonts w:ascii="KaiTi" w:eastAsia="KaiTi" w:hAnsi="KaiTi" w:hint="eastAsia"/>
        </w:rPr>
        <w:t>形态操作画像</w:t>
      </w:r>
      <w:r w:rsidR="00150E60">
        <w:rPr>
          <w:rFonts w:ascii="KaiTi" w:eastAsia="KaiTi" w:hAnsi="KaiTi" w:hint="eastAsia"/>
        </w:rPr>
        <w:t>结合</w:t>
      </w:r>
      <w:r w:rsidR="00AB26F9">
        <w:rPr>
          <w:rFonts w:ascii="KaiTi" w:eastAsia="KaiTi" w:hAnsi="KaiTi" w:hint="eastAsia"/>
        </w:rPr>
        <w:t>形態分析詳情為投資者提供復盤分析功能</w:t>
      </w:r>
    </w:p>
    <w:p w14:paraId="0063EF36" w14:textId="77777777" w:rsidR="00F361D4" w:rsidRPr="004B0734" w:rsidRDefault="00F361D4" w:rsidP="00F361D4">
      <w:pPr>
        <w:rPr>
          <w:rFonts w:ascii="KaiTi" w:eastAsia="KaiTi" w:hAnsi="KaiTi"/>
          <w:b/>
        </w:rPr>
      </w:pPr>
    </w:p>
    <w:p w14:paraId="14DCA85C" w14:textId="77777777" w:rsidR="00F361D4" w:rsidRPr="002C40EE" w:rsidRDefault="00F361D4" w:rsidP="00F361D4">
      <w:pPr>
        <w:rPr>
          <w:rFonts w:ascii="KaiTi" w:eastAsia="KaiTi" w:hAnsi="KaiTi"/>
          <w:b/>
        </w:rPr>
      </w:pPr>
      <w:r w:rsidRPr="002C40EE">
        <w:rPr>
          <w:rFonts w:ascii="KaiTi" w:eastAsia="KaiTi" w:hAnsi="KaiTi" w:hint="eastAsia"/>
          <w:b/>
        </w:rPr>
        <w:t>3、產品優勢：</w:t>
      </w:r>
    </w:p>
    <w:p w14:paraId="70339EAC" w14:textId="7F79C9C0" w:rsidR="00F361D4" w:rsidRDefault="00F361D4" w:rsidP="00F361D4">
      <w:pPr>
        <w:ind w:firstLine="840"/>
        <w:rPr>
          <w:rFonts w:ascii="KaiTi" w:eastAsia="KaiTi" w:hAnsi="KaiTi"/>
        </w:rPr>
      </w:pPr>
      <w:r w:rsidRPr="000A4358">
        <w:rPr>
          <w:rFonts w:ascii="KaiTi" w:eastAsia="KaiTi" w:hAnsi="KaiTi" w:hint="eastAsia"/>
          <w:b/>
        </w:rPr>
        <w:t>信號有效性：</w:t>
      </w:r>
      <w:r w:rsidRPr="000A4358">
        <w:rPr>
          <w:rFonts w:ascii="KaiTi" w:eastAsia="KaiTi" w:hAnsi="KaiTi" w:hint="eastAsia"/>
        </w:rPr>
        <w:t>基於</w:t>
      </w:r>
      <w:r>
        <w:rPr>
          <w:rFonts w:ascii="KaiTi" w:eastAsia="KaiTi" w:hAnsi="KaiTi" w:hint="eastAsia"/>
        </w:rPr>
        <w:t>人工智能和大數據技術對證券二級市場的經典形態和技術指標進行分析識別以及歷史回測，同時結合多指標、多因子綜合回測，根據成功率和平均回報為</w:t>
      </w:r>
      <w:r w:rsidR="002603B5">
        <w:rPr>
          <w:rFonts w:ascii="KaiTi" w:eastAsia="KaiTi" w:hAnsi="KaiTi"/>
        </w:rPr>
        <w:t>投資者</w:t>
      </w:r>
      <w:r>
        <w:rPr>
          <w:rFonts w:ascii="KaiTi" w:eastAsia="KaiTi" w:hAnsi="KaiTi" w:hint="eastAsia"/>
        </w:rPr>
        <w:t>挑選出有效的信號指標</w:t>
      </w:r>
    </w:p>
    <w:p w14:paraId="075B1F1C" w14:textId="638F1BE6" w:rsidR="00F361D4" w:rsidRPr="00437858" w:rsidRDefault="00F361D4" w:rsidP="00F361D4">
      <w:pPr>
        <w:rPr>
          <w:rFonts w:ascii="KaiTi" w:eastAsia="KaiTi" w:hAnsi="KaiTi"/>
          <w:b/>
          <w:sz w:val="32"/>
          <w:szCs w:val="32"/>
        </w:rPr>
      </w:pPr>
      <w:r>
        <w:rPr>
          <w:rFonts w:ascii="KaiTi" w:eastAsia="KaiTi" w:hAnsi="KaiTi" w:hint="eastAsia"/>
          <w:b/>
        </w:rPr>
        <w:lastRenderedPageBreak/>
        <w:t xml:space="preserve">       </w:t>
      </w:r>
      <w:r w:rsidRPr="000A4358">
        <w:rPr>
          <w:rFonts w:ascii="KaiTi" w:eastAsia="KaiTi" w:hAnsi="KaiTi" w:hint="eastAsia"/>
          <w:b/>
        </w:rPr>
        <w:t>智能化</w:t>
      </w:r>
      <w:r>
        <w:rPr>
          <w:rFonts w:ascii="KaiTi" w:eastAsia="KaiTi" w:hAnsi="KaiTi" w:hint="eastAsia"/>
          <w:b/>
        </w:rPr>
        <w:t>精準</w:t>
      </w:r>
      <w:r w:rsidRPr="000A4358">
        <w:rPr>
          <w:rFonts w:ascii="KaiTi" w:eastAsia="KaiTi" w:hAnsi="KaiTi" w:hint="eastAsia"/>
          <w:b/>
        </w:rPr>
        <w:t>匹配</w:t>
      </w:r>
      <w:r>
        <w:rPr>
          <w:rFonts w:ascii="KaiTi" w:eastAsia="KaiTi" w:hAnsi="KaiTi" w:hint="eastAsia"/>
          <w:b/>
        </w:rPr>
        <w:t>：</w:t>
      </w:r>
      <w:r>
        <w:rPr>
          <w:rFonts w:ascii="KaiTi" w:eastAsia="KaiTi" w:hAnsi="KaiTi" w:hint="eastAsia"/>
        </w:rPr>
        <w:t>根據</w:t>
      </w:r>
      <w:r w:rsidR="002603B5">
        <w:rPr>
          <w:rFonts w:ascii="KaiTi" w:eastAsia="KaiTi" w:hAnsi="KaiTi"/>
        </w:rPr>
        <w:t>投資者</w:t>
      </w:r>
      <w:r>
        <w:rPr>
          <w:rFonts w:ascii="KaiTi" w:eastAsia="KaiTi" w:hAnsi="KaiTi" w:hint="eastAsia"/>
        </w:rPr>
        <w:t>的歷史交易記錄、app行為數據等數據分析</w:t>
      </w:r>
      <w:r w:rsidR="00AB26F9">
        <w:rPr>
          <w:rFonts w:ascii="KaiTi" w:eastAsia="KaiTi" w:hAnsi="KaiTi" w:hint="eastAsia"/>
        </w:rPr>
        <w:t>投資者</w:t>
      </w:r>
      <w:r>
        <w:rPr>
          <w:rFonts w:ascii="KaiTi" w:eastAsia="KaiTi" w:hAnsi="KaiTi" w:hint="eastAsia"/>
        </w:rPr>
        <w:t>的交易習慣和偏好，結合技術模型為</w:t>
      </w:r>
      <w:r w:rsidR="002603B5">
        <w:rPr>
          <w:rFonts w:ascii="KaiTi" w:eastAsia="KaiTi" w:hAnsi="KaiTi"/>
        </w:rPr>
        <w:t>投資者</w:t>
      </w:r>
      <w:r w:rsidR="00EE0F9B">
        <w:rPr>
          <w:rFonts w:ascii="KaiTi" w:eastAsia="KaiTi" w:hAnsi="KaiTi" w:hint="eastAsia"/>
        </w:rPr>
        <w:t>展示最佳形態信號方案</w:t>
      </w:r>
    </w:p>
    <w:p w14:paraId="4DC52D25" w14:textId="77777777" w:rsidR="00B8491E" w:rsidRDefault="00676169" w:rsidP="00B8491E">
      <w:r>
        <w:rPr>
          <w:rFonts w:hint="eastAsia"/>
        </w:rPr>
        <w:t xml:space="preserve">       </w:t>
      </w:r>
    </w:p>
    <w:p w14:paraId="205D029D" w14:textId="2B0AC974" w:rsidR="00EE0F9B" w:rsidRDefault="009F1455" w:rsidP="00EE0F9B">
      <w:pPr>
        <w:rPr>
          <w:rFonts w:ascii="KaiTi" w:eastAsia="KaiTi" w:hAnsi="KaiTi"/>
          <w:b/>
          <w:sz w:val="32"/>
          <w:szCs w:val="32"/>
        </w:rPr>
      </w:pPr>
      <w:r w:rsidRPr="009F1455">
        <w:rPr>
          <w:rFonts w:ascii="KaiTi" w:eastAsia="KaiTi" w:hAnsi="KaiTi" w:hint="eastAsia"/>
          <w:b/>
          <w:sz w:val="32"/>
          <w:szCs w:val="32"/>
        </w:rPr>
        <w:t>二、</w:t>
      </w:r>
      <w:r w:rsidR="00EE0F9B" w:rsidRPr="009F1455">
        <w:rPr>
          <w:rFonts w:ascii="KaiTi" w:eastAsia="KaiTi" w:hAnsi="KaiTi" w:hint="eastAsia"/>
          <w:b/>
          <w:sz w:val="32"/>
          <w:szCs w:val="32"/>
        </w:rPr>
        <w:t>數據說明：</w:t>
      </w:r>
    </w:p>
    <w:p w14:paraId="75BC66C6" w14:textId="77777777" w:rsidR="009F1455" w:rsidRPr="009F1455" w:rsidRDefault="009F1455" w:rsidP="00EE0F9B">
      <w:pPr>
        <w:rPr>
          <w:rFonts w:ascii="KaiTi" w:eastAsia="KaiTi" w:hAnsi="KaiTi"/>
          <w:b/>
          <w:sz w:val="32"/>
          <w:szCs w:val="32"/>
        </w:rPr>
      </w:pPr>
    </w:p>
    <w:p w14:paraId="46408C90" w14:textId="4E48C70D" w:rsidR="00EE0F9B" w:rsidRPr="004138C1" w:rsidRDefault="00EE0F9B" w:rsidP="00EE0F9B">
      <w:pPr>
        <w:rPr>
          <w:rFonts w:ascii="KaiTi" w:eastAsia="KaiTi" w:hAnsi="KaiTi"/>
          <w:b/>
        </w:rPr>
      </w:pPr>
      <w:r w:rsidRPr="00EE0F9B">
        <w:rPr>
          <w:rFonts w:ascii="KaiTi" w:eastAsia="KaiTi" w:hAnsi="KaiTi"/>
          <w:b/>
        </w:rPr>
        <w:t>數據更新說明：</w:t>
      </w:r>
      <w:r w:rsidRPr="00EE0F9B">
        <w:rPr>
          <w:rFonts w:ascii="KaiTi" w:eastAsia="KaiTi" w:hAnsi="KaiTi"/>
        </w:rPr>
        <w:t>進行日K級別分析，更新數據基於上一交易日收盤價</w:t>
      </w:r>
    </w:p>
    <w:p w14:paraId="042E3C32" w14:textId="0EC56C38" w:rsidR="00EE0F9B" w:rsidRDefault="00EE0F9B" w:rsidP="00EE0F9B">
      <w:pPr>
        <w:rPr>
          <w:rFonts w:ascii="KaiTi" w:eastAsia="KaiTi" w:hAnsi="KaiTi"/>
        </w:rPr>
      </w:pPr>
      <w:r w:rsidRPr="00EE0F9B">
        <w:rPr>
          <w:rFonts w:ascii="KaiTi" w:eastAsia="KaiTi" w:hAnsi="KaiTi"/>
          <w:b/>
        </w:rPr>
        <w:t>股票形態回測數據：</w:t>
      </w:r>
      <w:r w:rsidRPr="00EE0F9B">
        <w:rPr>
          <w:rFonts w:ascii="KaiTi" w:eastAsia="KaiTi" w:hAnsi="KaiTi"/>
        </w:rPr>
        <w:t>滬港通、深港通、港股藍籌三年的數據</w:t>
      </w:r>
    </w:p>
    <w:p w14:paraId="5E3066AA" w14:textId="77777777" w:rsidR="00EE0F9B" w:rsidRDefault="00EE0F9B" w:rsidP="00EE0F9B">
      <w:pPr>
        <w:rPr>
          <w:rFonts w:ascii="KaiTi" w:eastAsia="KaiTi" w:hAnsi="KaiTi"/>
          <w:b/>
        </w:rPr>
      </w:pPr>
      <w:r w:rsidRPr="00EE0F9B">
        <w:rPr>
          <w:rFonts w:ascii="KaiTi" w:eastAsia="KaiTi" w:hAnsi="KaiTi"/>
          <w:b/>
        </w:rPr>
        <w:t>形態信號：</w:t>
      </w:r>
    </w:p>
    <w:p w14:paraId="3DADDDAF" w14:textId="737B02F5" w:rsidR="00EE0F9B" w:rsidRDefault="00EE0F9B" w:rsidP="00EE0F9B">
      <w:pPr>
        <w:ind w:firstLine="480"/>
        <w:rPr>
          <w:rFonts w:ascii="KaiTi" w:eastAsia="KaiTi" w:hAnsi="KaiTi"/>
        </w:rPr>
      </w:pPr>
      <w:r w:rsidRPr="00EE0F9B">
        <w:rPr>
          <w:rFonts w:ascii="KaiTi" w:eastAsia="KaiTi" w:hAnsi="KaiTi"/>
        </w:rPr>
        <w:t>形態分類：倒錘線、陽十字線、早晨之星、光頭光腳陽線、看漲三外升、射擊之星、箱體下破（7個）</w:t>
      </w:r>
    </w:p>
    <w:p w14:paraId="521E4975" w14:textId="50C42A6B" w:rsidR="00EE0F9B" w:rsidRDefault="00EE0F9B" w:rsidP="00EE0F9B">
      <w:pPr>
        <w:ind w:firstLine="480"/>
        <w:rPr>
          <w:rFonts w:ascii="KaiTi" w:eastAsia="KaiTi" w:hAnsi="KaiTi"/>
        </w:rPr>
      </w:pPr>
      <w:r w:rsidRPr="00EE0F9B">
        <w:rPr>
          <w:rFonts w:ascii="KaiTi" w:eastAsia="KaiTi" w:hAnsi="KaiTi"/>
        </w:rPr>
        <w:t>計算數據：當前15交易日內出現的形態</w:t>
      </w:r>
    </w:p>
    <w:p w14:paraId="4026DF2D" w14:textId="77777777" w:rsidR="00EE0F9B" w:rsidRDefault="00EE0F9B" w:rsidP="00EE0F9B">
      <w:pPr>
        <w:rPr>
          <w:rFonts w:ascii="KaiTi" w:eastAsia="KaiTi" w:hAnsi="KaiTi"/>
          <w:b/>
        </w:rPr>
      </w:pPr>
      <w:r w:rsidRPr="00EE0F9B">
        <w:rPr>
          <w:rFonts w:ascii="KaiTi" w:eastAsia="KaiTi" w:hAnsi="KaiTi"/>
          <w:b/>
        </w:rPr>
        <w:t>關註指數</w:t>
      </w:r>
    </w:p>
    <w:p w14:paraId="17E71F0C" w14:textId="25364992" w:rsidR="00EE0F9B" w:rsidRDefault="00EE0F9B" w:rsidP="00EE0F9B">
      <w:pPr>
        <w:rPr>
          <w:rFonts w:ascii="KaiTi" w:eastAsia="KaiTi" w:hAnsi="KaiTi"/>
        </w:rPr>
      </w:pPr>
      <w:r>
        <w:rPr>
          <w:rFonts w:ascii="KaiTi" w:eastAsia="KaiTi" w:hAnsi="KaiTi" w:hint="eastAsia"/>
        </w:rPr>
        <w:t xml:space="preserve">    </w:t>
      </w:r>
      <w:r w:rsidRPr="00EE0F9B">
        <w:rPr>
          <w:rFonts w:ascii="KaiTi" w:eastAsia="KaiTi" w:hAnsi="KaiTi"/>
        </w:rPr>
        <w:t>根據“形態出現數量”進行星級展示，最低3星</w:t>
      </w:r>
    </w:p>
    <w:p w14:paraId="54D7245E" w14:textId="2B59FEA7" w:rsidR="00EE0F9B" w:rsidRPr="00874AAF" w:rsidRDefault="00EE0F9B" w:rsidP="00EE0F9B">
      <w:pPr>
        <w:rPr>
          <w:rFonts w:ascii="KaiTi" w:eastAsia="KaiTi" w:hAnsi="KaiTi"/>
          <w:b/>
        </w:rPr>
      </w:pPr>
      <w:r w:rsidRPr="00EE0F9B">
        <w:rPr>
          <w:rFonts w:ascii="KaiTi" w:eastAsia="KaiTi" w:hAnsi="KaiTi"/>
          <w:b/>
        </w:rPr>
        <w:t>指標信號</w:t>
      </w:r>
    </w:p>
    <w:p w14:paraId="5C9B1D50" w14:textId="0A022E22" w:rsidR="00EE0F9B" w:rsidRDefault="00EE0F9B" w:rsidP="00EE0F9B">
      <w:pPr>
        <w:ind w:firstLine="480"/>
        <w:rPr>
          <w:rFonts w:ascii="KaiTi" w:eastAsia="KaiTi" w:hAnsi="KaiTi"/>
        </w:rPr>
      </w:pPr>
      <w:r w:rsidRPr="00EE0F9B">
        <w:rPr>
          <w:rFonts w:ascii="KaiTi" w:eastAsia="KaiTi" w:hAnsi="KaiTi"/>
        </w:rPr>
        <w:t>指標分類：MACD(金叉、死叉)、KDJ（金叉、死叉）、RSI（金叉、死叉）、VOL（金叉、死叉）</w:t>
      </w:r>
    </w:p>
    <w:p w14:paraId="0BFA9251" w14:textId="77777777" w:rsidR="00EE0F9B" w:rsidRPr="00EE0F9B" w:rsidRDefault="00EE0F9B" w:rsidP="00EE0F9B">
      <w:pPr>
        <w:rPr>
          <w:rFonts w:ascii="KaiTi" w:eastAsia="KaiTi" w:hAnsi="KaiTi"/>
        </w:rPr>
      </w:pPr>
      <w:r w:rsidRPr="00EE0F9B">
        <w:rPr>
          <w:rFonts w:ascii="KaiTi" w:eastAsia="KaiTi" w:hAnsi="KaiTi"/>
        </w:rPr>
        <w:t>計算數據：當前3個交易日出現的指標</w:t>
      </w:r>
    </w:p>
    <w:p w14:paraId="26CBD49D" w14:textId="77777777" w:rsidR="00EE0F9B" w:rsidRPr="00EE0F9B" w:rsidRDefault="00EE0F9B" w:rsidP="00EE0F9B">
      <w:pPr>
        <w:rPr>
          <w:rFonts w:ascii="KaiTi" w:eastAsia="KaiTi" w:hAnsi="KaiTi"/>
        </w:rPr>
      </w:pPr>
      <w:r w:rsidRPr="00EE0F9B">
        <w:rPr>
          <w:rFonts w:ascii="KaiTi" w:eastAsia="KaiTi" w:hAnsi="KaiTi"/>
        </w:rPr>
        <w:t>備註：MACD金叉應用（DIFF上穿DEA，底背離， 0軸以上）</w:t>
      </w:r>
    </w:p>
    <w:p w14:paraId="74A864CC" w14:textId="77777777" w:rsidR="00EE0F9B" w:rsidRPr="00EE0F9B" w:rsidRDefault="00EE0F9B" w:rsidP="00EE0F9B">
      <w:pPr>
        <w:rPr>
          <w:rFonts w:ascii="KaiTi" w:eastAsia="KaiTi" w:hAnsi="KaiTi"/>
        </w:rPr>
      </w:pPr>
      <w:r w:rsidRPr="00EE0F9B">
        <w:rPr>
          <w:rFonts w:ascii="KaiTi" w:eastAsia="KaiTi" w:hAnsi="KaiTi"/>
        </w:rPr>
        <w:t xml:space="preserve">      MACD死叉應用（DIFF下破DEA，頂背離，0軸以下）</w:t>
      </w:r>
    </w:p>
    <w:p w14:paraId="7B2FD72C" w14:textId="77777777" w:rsidR="00EE0F9B" w:rsidRPr="00EE0F9B" w:rsidRDefault="00EE0F9B" w:rsidP="00EE0F9B">
      <w:pPr>
        <w:rPr>
          <w:rFonts w:ascii="KaiTi" w:eastAsia="KaiTi" w:hAnsi="KaiTi"/>
        </w:rPr>
      </w:pPr>
      <w:r w:rsidRPr="00EE0F9B">
        <w:rPr>
          <w:rFonts w:ascii="KaiTi" w:eastAsia="KaiTi" w:hAnsi="KaiTi"/>
        </w:rPr>
        <w:t xml:space="preserve">      KDJ金叉應用（K線上穿D線，底背離，KD&lt;=20或者J&lt;0）</w:t>
      </w:r>
    </w:p>
    <w:p w14:paraId="755EB6EE" w14:textId="77777777" w:rsidR="00EE0F9B" w:rsidRPr="00EE0F9B" w:rsidRDefault="00EE0F9B" w:rsidP="00EE0F9B">
      <w:pPr>
        <w:rPr>
          <w:rFonts w:ascii="KaiTi" w:eastAsia="KaiTi" w:hAnsi="KaiTi"/>
        </w:rPr>
      </w:pPr>
      <w:r w:rsidRPr="00EE0F9B">
        <w:rPr>
          <w:rFonts w:ascii="KaiTi" w:eastAsia="KaiTi" w:hAnsi="KaiTi"/>
        </w:rPr>
        <w:t xml:space="preserve">      KDJ死叉應用（K線下破D線,頂背離，KD&gt;=80或者J&gt;100）</w:t>
      </w:r>
    </w:p>
    <w:p w14:paraId="4D9CC3B8" w14:textId="77777777" w:rsidR="00EE0F9B" w:rsidRPr="00EE0F9B" w:rsidRDefault="00EE0F9B" w:rsidP="00EE0F9B">
      <w:pPr>
        <w:rPr>
          <w:rFonts w:ascii="KaiTi" w:eastAsia="KaiTi" w:hAnsi="KaiTi"/>
        </w:rPr>
      </w:pPr>
      <w:r w:rsidRPr="00EE0F9B">
        <w:rPr>
          <w:rFonts w:ascii="KaiTi" w:eastAsia="KaiTi" w:hAnsi="KaiTi"/>
        </w:rPr>
        <w:t xml:space="preserve">      RSI金叉應用（RSI6日線上穿RSI12日線，底背離，交叉位置&lt;20）</w:t>
      </w:r>
    </w:p>
    <w:p w14:paraId="120D3C0B" w14:textId="77777777" w:rsidR="00EE0F9B" w:rsidRPr="00EE0F9B" w:rsidRDefault="00EE0F9B" w:rsidP="00EE0F9B">
      <w:pPr>
        <w:rPr>
          <w:rFonts w:ascii="KaiTi" w:eastAsia="KaiTi" w:hAnsi="KaiTi"/>
        </w:rPr>
      </w:pPr>
      <w:r w:rsidRPr="00EE0F9B">
        <w:rPr>
          <w:rFonts w:ascii="KaiTi" w:eastAsia="KaiTi" w:hAnsi="KaiTi"/>
        </w:rPr>
        <w:t xml:space="preserve">      RSI死叉應用（RSI6日線下破RSI12日線，頂背離，交叉位置&gt;80）</w:t>
      </w:r>
    </w:p>
    <w:p w14:paraId="20C52F71" w14:textId="77777777" w:rsidR="00EE0F9B" w:rsidRPr="00EE0F9B" w:rsidRDefault="00EE0F9B" w:rsidP="00EE0F9B">
      <w:pPr>
        <w:rPr>
          <w:rFonts w:ascii="KaiTi" w:eastAsia="KaiTi" w:hAnsi="KaiTi"/>
        </w:rPr>
      </w:pPr>
      <w:r w:rsidRPr="00EE0F9B">
        <w:rPr>
          <w:rFonts w:ascii="KaiTi" w:eastAsia="KaiTi" w:hAnsi="KaiTi"/>
        </w:rPr>
        <w:t xml:space="preserve">      VOL金叉應用（5日均量線上穿10日均量線）</w:t>
      </w:r>
    </w:p>
    <w:p w14:paraId="3A255156" w14:textId="688B798F" w:rsidR="00EE0F9B" w:rsidRDefault="00EE0F9B" w:rsidP="00EE0F9B">
      <w:pPr>
        <w:ind w:firstLine="720"/>
        <w:rPr>
          <w:rFonts w:ascii="KaiTi" w:eastAsia="KaiTi" w:hAnsi="KaiTi"/>
        </w:rPr>
      </w:pPr>
      <w:r w:rsidRPr="00EE0F9B">
        <w:rPr>
          <w:rFonts w:ascii="KaiTi" w:eastAsia="KaiTi" w:hAnsi="KaiTi"/>
        </w:rPr>
        <w:t>VOL金叉應用（5日均量線下破10日均量線）</w:t>
      </w:r>
    </w:p>
    <w:p w14:paraId="37F9D0A2" w14:textId="77777777" w:rsidR="00EE0F9B" w:rsidRDefault="00EE0F9B" w:rsidP="00EE0F9B">
      <w:pPr>
        <w:rPr>
          <w:rFonts w:ascii="KaiTi" w:eastAsia="KaiTi" w:hAnsi="KaiTi"/>
          <w:b/>
        </w:rPr>
      </w:pPr>
      <w:r w:rsidRPr="00EE0F9B">
        <w:rPr>
          <w:rFonts w:ascii="KaiTi" w:eastAsia="KaiTi" w:hAnsi="KaiTi"/>
          <w:b/>
        </w:rPr>
        <w:t>個股形態畫像（基於個股的歷史回測數據）</w:t>
      </w:r>
    </w:p>
    <w:p w14:paraId="4380B2C0" w14:textId="2B835E76" w:rsidR="00EE0F9B" w:rsidRPr="00EE0F9B" w:rsidRDefault="00EE0F9B" w:rsidP="00EE0F9B">
      <w:pPr>
        <w:rPr>
          <w:rFonts w:ascii="KaiTi" w:eastAsia="KaiTi" w:hAnsi="KaiTi"/>
        </w:rPr>
      </w:pPr>
      <w:r>
        <w:rPr>
          <w:rFonts w:ascii="KaiTi" w:eastAsia="KaiTi" w:hAnsi="KaiTi" w:hint="eastAsia"/>
        </w:rPr>
        <w:t xml:space="preserve">    </w:t>
      </w:r>
      <w:r w:rsidRPr="00EE0F9B">
        <w:rPr>
          <w:rFonts w:ascii="KaiTi" w:eastAsia="KaiTi" w:hAnsi="KaiTi"/>
        </w:rPr>
        <w:t>最佳持有天數：以K線形態回測數據中“平均回報”最高的天數作為最佳</w:t>
      </w:r>
    </w:p>
    <w:p w14:paraId="3B5638F5" w14:textId="77777777" w:rsidR="00EE0F9B" w:rsidRPr="00EE0F9B" w:rsidRDefault="00EE0F9B" w:rsidP="00EE0F9B">
      <w:pPr>
        <w:rPr>
          <w:rFonts w:ascii="KaiTi" w:eastAsia="KaiTi" w:hAnsi="KaiTi"/>
        </w:rPr>
      </w:pPr>
      <w:r w:rsidRPr="00EE0F9B">
        <w:rPr>
          <w:rFonts w:ascii="KaiTi" w:eastAsia="KaiTi" w:hAnsi="KaiTi"/>
        </w:rPr>
        <w:t>持有天數</w:t>
      </w:r>
    </w:p>
    <w:p w14:paraId="75D3D43C" w14:textId="4242B23C" w:rsidR="00EE0F9B" w:rsidRPr="00EE0F9B" w:rsidRDefault="00EE0F9B" w:rsidP="00EE0F9B">
      <w:pPr>
        <w:rPr>
          <w:rFonts w:ascii="KaiTi" w:eastAsia="KaiTi" w:hAnsi="KaiTi"/>
        </w:rPr>
      </w:pPr>
      <w:r>
        <w:rPr>
          <w:rFonts w:ascii="KaiTi" w:eastAsia="KaiTi" w:hAnsi="KaiTi" w:hint="eastAsia"/>
        </w:rPr>
        <w:t xml:space="preserve">    </w:t>
      </w:r>
      <w:r w:rsidRPr="00EE0F9B">
        <w:rPr>
          <w:rFonts w:ascii="KaiTi" w:eastAsia="KaiTi" w:hAnsi="KaiTi"/>
        </w:rPr>
        <w:t>平均回報：挑選形態10日內平均收益最高的數值</w:t>
      </w:r>
    </w:p>
    <w:p w14:paraId="5A81FBB4" w14:textId="0A124C55" w:rsidR="00EE0F9B" w:rsidRPr="00EE0F9B" w:rsidRDefault="00EE0F9B" w:rsidP="00EE0F9B">
      <w:pPr>
        <w:rPr>
          <w:rFonts w:ascii="KaiTi" w:eastAsia="KaiTi" w:hAnsi="KaiTi"/>
        </w:rPr>
      </w:pPr>
      <w:r>
        <w:rPr>
          <w:rFonts w:ascii="KaiTi" w:eastAsia="KaiTi" w:hAnsi="KaiTi" w:hint="eastAsia"/>
        </w:rPr>
        <w:t xml:space="preserve">    </w:t>
      </w:r>
      <w:r w:rsidRPr="00EE0F9B">
        <w:rPr>
          <w:rFonts w:ascii="KaiTi" w:eastAsia="KaiTi" w:hAnsi="KaiTi"/>
        </w:rPr>
        <w:t>形態成功率：最佳持有天數對應的形態成功率（收益為正則定義形態成功）</w:t>
      </w:r>
    </w:p>
    <w:p w14:paraId="47A2169C" w14:textId="7B071C89" w:rsidR="00EE0F9B" w:rsidRPr="00EE0F9B" w:rsidRDefault="00EE0F9B" w:rsidP="00EE0F9B">
      <w:pPr>
        <w:rPr>
          <w:rFonts w:ascii="KaiTi" w:eastAsia="KaiTi" w:hAnsi="KaiTi"/>
        </w:rPr>
      </w:pPr>
      <w:r>
        <w:rPr>
          <w:rFonts w:ascii="KaiTi" w:eastAsia="KaiTi" w:hAnsi="KaiTi" w:hint="eastAsia"/>
        </w:rPr>
        <w:t xml:space="preserve">    </w:t>
      </w:r>
      <w:r w:rsidRPr="00EE0F9B">
        <w:rPr>
          <w:rFonts w:ascii="KaiTi" w:eastAsia="KaiTi" w:hAnsi="KaiTi"/>
        </w:rPr>
        <w:t xml:space="preserve">最近3年形態出現次數：無（日期覆蓋一個牛熊周期） </w:t>
      </w:r>
    </w:p>
    <w:p w14:paraId="3C269B9E" w14:textId="1C308D7A" w:rsidR="00EE0F9B" w:rsidRDefault="00EE0F9B" w:rsidP="00EE0F9B">
      <w:pPr>
        <w:rPr>
          <w:rFonts w:ascii="KaiTi" w:eastAsia="KaiTi" w:hAnsi="KaiTi"/>
        </w:rPr>
      </w:pPr>
      <w:r>
        <w:rPr>
          <w:rFonts w:ascii="KaiTi" w:eastAsia="KaiTi" w:hAnsi="KaiTi" w:hint="eastAsia"/>
        </w:rPr>
        <w:t xml:space="preserve">    </w:t>
      </w:r>
      <w:r w:rsidRPr="00EE0F9B">
        <w:rPr>
          <w:rFonts w:ascii="KaiTi" w:eastAsia="KaiTi" w:hAnsi="KaiTi"/>
        </w:rPr>
        <w:t>形態當前出現天數：形態確立之後的天數</w:t>
      </w:r>
    </w:p>
    <w:p w14:paraId="46F9EA34" w14:textId="7F7D2B2D" w:rsidR="00EE0F9B" w:rsidRDefault="001355FB" w:rsidP="00EE0F9B">
      <w:pPr>
        <w:rPr>
          <w:rFonts w:ascii="KaiTi" w:eastAsia="KaiTi" w:hAnsi="KaiTi"/>
          <w:b/>
        </w:rPr>
      </w:pPr>
      <w:r w:rsidRPr="001355FB">
        <w:rPr>
          <w:rFonts w:ascii="KaiTi" w:eastAsia="KaiTi" w:hAnsi="KaiTi"/>
          <w:b/>
        </w:rPr>
        <w:t>形態操作畫像（基於</w:t>
      </w:r>
      <w:r>
        <w:rPr>
          <w:rFonts w:ascii="KaiTi" w:eastAsia="KaiTi" w:hAnsi="KaiTi"/>
          <w:b/>
        </w:rPr>
        <w:t>投資者</w:t>
      </w:r>
      <w:r w:rsidRPr="001355FB">
        <w:rPr>
          <w:rFonts w:ascii="KaiTi" w:eastAsia="KaiTi" w:hAnsi="KaiTi"/>
          <w:b/>
        </w:rPr>
        <w:t>的交易記錄，對</w:t>
      </w:r>
      <w:r>
        <w:rPr>
          <w:rFonts w:ascii="KaiTi" w:eastAsia="KaiTi" w:hAnsi="KaiTi"/>
          <w:b/>
        </w:rPr>
        <w:t>投資者</w:t>
      </w:r>
      <w:r w:rsidRPr="001355FB">
        <w:rPr>
          <w:rFonts w:ascii="KaiTi" w:eastAsia="KaiTi" w:hAnsi="KaiTi"/>
          <w:b/>
        </w:rPr>
        <w:t>操作個股形態的歷史回測）</w:t>
      </w:r>
    </w:p>
    <w:p w14:paraId="37E3BD41" w14:textId="075CAD70" w:rsidR="001355FB" w:rsidRPr="001355FB" w:rsidRDefault="001355FB" w:rsidP="001355FB">
      <w:pPr>
        <w:rPr>
          <w:rFonts w:ascii="KaiTi" w:eastAsia="KaiTi" w:hAnsi="KaiTi"/>
        </w:rPr>
      </w:pPr>
      <w:r>
        <w:rPr>
          <w:rFonts w:ascii="KaiTi" w:eastAsia="KaiTi" w:hAnsi="KaiTi" w:hint="eastAsia"/>
          <w:b/>
        </w:rPr>
        <w:t xml:space="preserve">    </w:t>
      </w:r>
      <w:r w:rsidRPr="001355FB">
        <w:rPr>
          <w:rFonts w:ascii="KaiTi" w:eastAsia="KaiTi" w:hAnsi="KaiTi"/>
        </w:rPr>
        <w:t>平均回報：個股形態畫像中對應的最佳持有天數下，</w:t>
      </w:r>
      <w:r>
        <w:rPr>
          <w:rFonts w:ascii="KaiTi" w:eastAsia="KaiTi" w:hAnsi="KaiTi"/>
        </w:rPr>
        <w:t>投資者</w:t>
      </w:r>
      <w:r w:rsidRPr="001355FB">
        <w:rPr>
          <w:rFonts w:ascii="KaiTi" w:eastAsia="KaiTi" w:hAnsi="KaiTi"/>
        </w:rPr>
        <w:t>操作該股票形態的平均收益</w:t>
      </w:r>
    </w:p>
    <w:p w14:paraId="36E04AF1" w14:textId="5989D034" w:rsidR="001355FB" w:rsidRPr="001355FB" w:rsidRDefault="001355FB" w:rsidP="001355FB">
      <w:pPr>
        <w:rPr>
          <w:rFonts w:ascii="KaiTi" w:eastAsia="KaiTi" w:hAnsi="KaiTi"/>
        </w:rPr>
      </w:pPr>
      <w:r>
        <w:rPr>
          <w:rFonts w:ascii="KaiTi" w:eastAsia="KaiTi" w:hAnsi="KaiTi" w:hint="eastAsia"/>
        </w:rPr>
        <w:t xml:space="preserve">    </w:t>
      </w:r>
      <w:r w:rsidRPr="001355FB">
        <w:rPr>
          <w:rFonts w:ascii="KaiTi" w:eastAsia="KaiTi" w:hAnsi="KaiTi"/>
        </w:rPr>
        <w:t>持倉期間出現次數：根據</w:t>
      </w:r>
      <w:r>
        <w:rPr>
          <w:rFonts w:ascii="KaiTi" w:eastAsia="KaiTi" w:hAnsi="KaiTi"/>
        </w:rPr>
        <w:t>投資者</w:t>
      </w:r>
      <w:r w:rsidRPr="001355FB">
        <w:rPr>
          <w:rFonts w:ascii="KaiTi" w:eastAsia="KaiTi" w:hAnsi="KaiTi"/>
        </w:rPr>
        <w:t>的交易記錄和持倉記錄統計</w:t>
      </w:r>
      <w:r>
        <w:rPr>
          <w:rFonts w:ascii="KaiTi" w:eastAsia="KaiTi" w:hAnsi="KaiTi"/>
        </w:rPr>
        <w:t>投資者</w:t>
      </w:r>
      <w:r w:rsidRPr="001355FB">
        <w:rPr>
          <w:rFonts w:ascii="KaiTi" w:eastAsia="KaiTi" w:hAnsi="KaiTi"/>
        </w:rPr>
        <w:t>交易期間出現的形態次數（涵蓋交易記錄及當前持倉）</w:t>
      </w:r>
    </w:p>
    <w:p w14:paraId="55A7E1B5" w14:textId="3511675F" w:rsidR="001355FB" w:rsidRPr="001355FB" w:rsidRDefault="001355FB" w:rsidP="001355FB">
      <w:pPr>
        <w:rPr>
          <w:rFonts w:ascii="KaiTi" w:eastAsia="KaiTi" w:hAnsi="KaiTi"/>
        </w:rPr>
      </w:pPr>
      <w:r>
        <w:rPr>
          <w:rFonts w:ascii="KaiTi" w:eastAsia="KaiTi" w:hAnsi="KaiTi" w:hint="eastAsia"/>
        </w:rPr>
        <w:t xml:space="preserve">    </w:t>
      </w:r>
      <w:r w:rsidRPr="001355FB">
        <w:rPr>
          <w:rFonts w:ascii="KaiTi" w:eastAsia="KaiTi" w:hAnsi="KaiTi"/>
        </w:rPr>
        <w:t>持倉期間形態平均回報：最佳持有天數下持倉期間出現的形態對應的收益平均值（涵蓋交易記錄及當前持倉）</w:t>
      </w:r>
    </w:p>
    <w:p w14:paraId="248AB4A6" w14:textId="3F48CA26" w:rsidR="001355FB" w:rsidRPr="001355FB" w:rsidRDefault="001355FB" w:rsidP="001355FB">
      <w:pPr>
        <w:rPr>
          <w:rFonts w:ascii="KaiTi" w:eastAsia="KaiTi" w:hAnsi="KaiTi"/>
        </w:rPr>
      </w:pPr>
      <w:r>
        <w:rPr>
          <w:rFonts w:ascii="KaiTi" w:eastAsia="KaiTi" w:hAnsi="KaiTi" w:hint="eastAsia"/>
        </w:rPr>
        <w:t xml:space="preserve">    </w:t>
      </w:r>
      <w:r w:rsidRPr="001355FB">
        <w:rPr>
          <w:rFonts w:ascii="KaiTi" w:eastAsia="KaiTi" w:hAnsi="KaiTi"/>
        </w:rPr>
        <w:t>操作次數：</w:t>
      </w:r>
      <w:r>
        <w:rPr>
          <w:rFonts w:ascii="KaiTi" w:eastAsia="KaiTi" w:hAnsi="KaiTi"/>
        </w:rPr>
        <w:t>投資者</w:t>
      </w:r>
      <w:r w:rsidRPr="001355FB">
        <w:rPr>
          <w:rFonts w:ascii="KaiTi" w:eastAsia="KaiTi" w:hAnsi="KaiTi"/>
        </w:rPr>
        <w:t>交易記錄中操作該形態的次數</w:t>
      </w:r>
    </w:p>
    <w:p w14:paraId="04BC314C" w14:textId="51D8A6A0" w:rsidR="001355FB" w:rsidRPr="001355FB" w:rsidRDefault="001355FB" w:rsidP="001355FB">
      <w:pPr>
        <w:rPr>
          <w:rFonts w:ascii="KaiTi" w:eastAsia="KaiTi" w:hAnsi="KaiTi"/>
        </w:rPr>
      </w:pPr>
      <w:r>
        <w:rPr>
          <w:rFonts w:ascii="KaiTi" w:eastAsia="KaiTi" w:hAnsi="KaiTi" w:hint="eastAsia"/>
        </w:rPr>
        <w:t xml:space="preserve">    </w:t>
      </w:r>
      <w:r w:rsidRPr="001355FB">
        <w:rPr>
          <w:rFonts w:ascii="KaiTi" w:eastAsia="KaiTi" w:hAnsi="KaiTi"/>
        </w:rPr>
        <w:t>操作勝率：</w:t>
      </w:r>
      <w:r>
        <w:rPr>
          <w:rFonts w:ascii="KaiTi" w:eastAsia="KaiTi" w:hAnsi="KaiTi"/>
        </w:rPr>
        <w:t>投資者</w:t>
      </w:r>
      <w:r w:rsidRPr="001355FB">
        <w:rPr>
          <w:rFonts w:ascii="KaiTi" w:eastAsia="KaiTi" w:hAnsi="KaiTi"/>
        </w:rPr>
        <w:t>交易記錄中操作該形態的成功率</w:t>
      </w:r>
    </w:p>
    <w:p w14:paraId="120803D8" w14:textId="77777777" w:rsidR="001355FB" w:rsidRDefault="001355FB" w:rsidP="001355FB">
      <w:pPr>
        <w:rPr>
          <w:rFonts w:ascii="KaiTi" w:eastAsia="KaiTi" w:hAnsi="KaiTi"/>
          <w:b/>
        </w:rPr>
      </w:pPr>
      <w:r w:rsidRPr="001355FB">
        <w:rPr>
          <w:rFonts w:ascii="KaiTi" w:eastAsia="KaiTi" w:hAnsi="KaiTi"/>
          <w:b/>
        </w:rPr>
        <w:t>相似股票（篩選出與當前展示股票相同K線形態下相似PE值和相似市值的股票）</w:t>
      </w:r>
      <w:r>
        <w:rPr>
          <w:rFonts w:ascii="KaiTi" w:eastAsia="KaiTi" w:hAnsi="KaiTi" w:hint="eastAsia"/>
          <w:b/>
        </w:rPr>
        <w:t xml:space="preserve">  </w:t>
      </w:r>
    </w:p>
    <w:p w14:paraId="6F3ECF5C" w14:textId="112A3412" w:rsidR="001355FB" w:rsidRPr="001355FB" w:rsidRDefault="001355FB" w:rsidP="001355FB">
      <w:pPr>
        <w:rPr>
          <w:rFonts w:ascii="KaiTi" w:eastAsia="KaiTi" w:hAnsi="KaiTi"/>
        </w:rPr>
      </w:pPr>
      <w:r>
        <w:rPr>
          <w:rFonts w:ascii="KaiTi" w:eastAsia="KaiTi" w:hAnsi="KaiTi" w:hint="eastAsia"/>
          <w:b/>
        </w:rPr>
        <w:t xml:space="preserve">    </w:t>
      </w:r>
      <w:r w:rsidRPr="001355FB">
        <w:rPr>
          <w:rFonts w:ascii="KaiTi" w:eastAsia="KaiTi" w:hAnsi="KaiTi"/>
        </w:rPr>
        <w:t>PE值：根據不同行業進行分類，然後按照昨日收盤價對應的PE值對股票進行排序劃分為低、中低、中、中高、高五個等級，並匹配同等級的股票</w:t>
      </w:r>
    </w:p>
    <w:p w14:paraId="2001A1CB" w14:textId="13943F6B" w:rsidR="00EE0F9B" w:rsidRDefault="001355FB" w:rsidP="00AD311E">
      <w:pPr>
        <w:ind w:firstLine="480"/>
        <w:rPr>
          <w:rFonts w:ascii="KaiTi" w:eastAsia="KaiTi" w:hAnsi="KaiTi"/>
        </w:rPr>
      </w:pPr>
      <w:r w:rsidRPr="001355FB">
        <w:rPr>
          <w:rFonts w:ascii="KaiTi" w:eastAsia="KaiTi" w:hAnsi="KaiTi"/>
        </w:rPr>
        <w:t>市值：按照昨日收盤價對應的市值進行排序劃分為大盤股、中盤股、小盤股三個等級，並匹配同等級的股票</w:t>
      </w:r>
    </w:p>
    <w:p w14:paraId="584B1C9C" w14:textId="77777777" w:rsidR="00AD311E" w:rsidRDefault="00AD311E" w:rsidP="00AD311E"/>
    <w:p w14:paraId="42136856" w14:textId="2A652B86" w:rsidR="00AD311E" w:rsidRDefault="009F1455" w:rsidP="009F1455">
      <w:pPr>
        <w:rPr>
          <w:rFonts w:ascii="KaiTi" w:eastAsia="KaiTi" w:hAnsi="KaiTi"/>
          <w:b/>
          <w:sz w:val="32"/>
          <w:szCs w:val="32"/>
        </w:rPr>
      </w:pPr>
      <w:r>
        <w:rPr>
          <w:rFonts w:ascii="KaiTi" w:eastAsia="KaiTi" w:hAnsi="KaiTi" w:hint="eastAsia"/>
          <w:b/>
          <w:sz w:val="32"/>
          <w:szCs w:val="32"/>
        </w:rPr>
        <w:t>三、</w:t>
      </w:r>
      <w:r w:rsidR="00AD311E">
        <w:rPr>
          <w:rFonts w:ascii="KaiTi" w:eastAsia="KaiTi" w:hAnsi="KaiTi" w:hint="eastAsia"/>
          <w:b/>
          <w:sz w:val="32"/>
          <w:szCs w:val="32"/>
        </w:rPr>
        <w:t>页面交互</w:t>
      </w:r>
    </w:p>
    <w:p w14:paraId="31D3E172" w14:textId="77777777" w:rsidR="00AD311E" w:rsidRDefault="00AD311E" w:rsidP="00AD311E">
      <w:pPr>
        <w:outlineLvl w:val="0"/>
        <w:rPr>
          <w:rFonts w:ascii="KaiTi" w:eastAsia="KaiTi" w:hAnsi="KaiTi"/>
          <w:b/>
          <w:sz w:val="32"/>
          <w:szCs w:val="32"/>
        </w:rPr>
      </w:pPr>
    </w:p>
    <w:p w14:paraId="3E76D6BA" w14:textId="70186580" w:rsidR="009F1455" w:rsidRPr="003E50E5" w:rsidRDefault="00AD311E" w:rsidP="00AD311E">
      <w:pPr>
        <w:outlineLvl w:val="0"/>
        <w:rPr>
          <w:rFonts w:ascii="KaiTi" w:eastAsia="KaiTi" w:hAnsi="KaiTi"/>
          <w:b/>
          <w:sz w:val="32"/>
          <w:szCs w:val="32"/>
        </w:rPr>
      </w:pPr>
      <w:r w:rsidRPr="003E50E5">
        <w:rPr>
          <w:rFonts w:ascii="KaiTi" w:eastAsia="KaiTi" w:hAnsi="KaiTi" w:hint="eastAsia"/>
          <w:b/>
          <w:sz w:val="32"/>
          <w:szCs w:val="32"/>
        </w:rPr>
        <w:t>首</w:t>
      </w:r>
      <w:r w:rsidRPr="003C7A20">
        <w:rPr>
          <w:rFonts w:ascii="KaiTi" w:eastAsia="KaiTi" w:hAnsi="KaiTi"/>
          <w:b/>
          <w:sz w:val="32"/>
          <w:szCs w:val="32"/>
        </w:rPr>
        <w:t>頁</w:t>
      </w:r>
      <w:r w:rsidRPr="003E50E5">
        <w:rPr>
          <w:rFonts w:ascii="KaiTi" w:eastAsia="KaiTi" w:hAnsi="KaiTi" w:hint="eastAsia"/>
          <w:b/>
          <w:sz w:val="32"/>
          <w:szCs w:val="32"/>
        </w:rPr>
        <w:t>入口</w:t>
      </w:r>
      <w:r>
        <w:rPr>
          <w:rFonts w:ascii="KaiTi" w:eastAsia="KaiTi" w:hAnsi="KaiTi" w:hint="eastAsia"/>
          <w:b/>
          <w:sz w:val="32"/>
          <w:szCs w:val="32"/>
        </w:rPr>
        <w:t>（導航欄按鈕、Banner）</w:t>
      </w:r>
    </w:p>
    <w:p w14:paraId="50E58943" w14:textId="77777777" w:rsidR="00AD311E" w:rsidRPr="003C7A20" w:rsidRDefault="00AD311E" w:rsidP="00AD311E">
      <w:pPr>
        <w:rPr>
          <w:rFonts w:ascii="KaiTi" w:eastAsia="KaiTi" w:hAnsi="KaiTi"/>
          <w:b/>
        </w:rPr>
      </w:pPr>
      <w:r w:rsidRPr="003C7A20">
        <w:rPr>
          <w:rFonts w:ascii="KaiTi" w:eastAsia="KaiTi" w:hAnsi="KaiTi"/>
          <w:b/>
        </w:rPr>
        <w:t>功能展示：</w:t>
      </w:r>
      <w:r w:rsidRPr="003C7A20">
        <w:rPr>
          <w:rFonts w:ascii="KaiTi" w:eastAsia="KaiTi" w:hAnsi="KaiTi"/>
        </w:rPr>
        <w:t>為用戶展示形態分析的案例，</w:t>
      </w:r>
      <w:r>
        <w:rPr>
          <w:rFonts w:ascii="KaiTi" w:eastAsia="KaiTi" w:hAnsi="KaiTi" w:hint="eastAsia"/>
        </w:rPr>
        <w:t>为用户展示完整版</w:t>
      </w:r>
      <w:r w:rsidRPr="003C7A20">
        <w:rPr>
          <w:rFonts w:ascii="KaiTi" w:eastAsia="KaiTi" w:hAnsi="KaiTi"/>
        </w:rPr>
        <w:t>功能</w:t>
      </w:r>
      <w:r>
        <w:rPr>
          <w:rFonts w:ascii="KaiTi" w:eastAsia="KaiTi" w:hAnsi="KaiTi" w:hint="eastAsia"/>
        </w:rPr>
        <w:t>介绍</w:t>
      </w:r>
    </w:p>
    <w:p w14:paraId="10CF9DF1" w14:textId="77777777" w:rsidR="00AD311E" w:rsidRPr="003E50E5" w:rsidRDefault="00AD311E" w:rsidP="00AD311E">
      <w:pPr>
        <w:rPr>
          <w:rFonts w:ascii="KaiTi" w:eastAsia="KaiTi" w:hAnsi="KaiTi"/>
          <w:b/>
        </w:rPr>
      </w:pPr>
      <w:r w:rsidRPr="003C7A20">
        <w:rPr>
          <w:rFonts w:ascii="KaiTi" w:eastAsia="KaiTi" w:hAnsi="KaiTi"/>
          <w:b/>
        </w:rPr>
        <w:t>功能一     形態分析靜態展示</w:t>
      </w:r>
      <w:r w:rsidRPr="003E50E5">
        <w:rPr>
          <w:rFonts w:ascii="KaiTi" w:eastAsia="KaiTi" w:hAnsi="KaiTi" w:hint="eastAsia"/>
          <w:b/>
        </w:rPr>
        <w:t xml:space="preserve">     </w:t>
      </w:r>
    </w:p>
    <w:p w14:paraId="07EAEEC9" w14:textId="77777777" w:rsidR="00AD311E" w:rsidRPr="003E50E5" w:rsidRDefault="00AD311E" w:rsidP="00AD311E">
      <w:pPr>
        <w:rPr>
          <w:rFonts w:ascii="KaiTi" w:eastAsia="KaiTi" w:hAnsi="KaiTi"/>
        </w:rPr>
      </w:pPr>
      <w:r w:rsidRPr="003E50E5">
        <w:rPr>
          <w:rFonts w:ascii="KaiTi" w:eastAsia="KaiTi" w:hAnsi="KaiTi" w:hint="eastAsia"/>
          <w:b/>
        </w:rPr>
        <w:t xml:space="preserve">           </w:t>
      </w:r>
      <w:r w:rsidRPr="003C7A20">
        <w:rPr>
          <w:rFonts w:ascii="KaiTi" w:eastAsia="KaiTi" w:hAnsi="KaiTi"/>
        </w:rPr>
        <w:t>默認展示交銀國際的靜態分析頁面，為用戶展示完整版的功能介紹，該頁面暫時與Banner鏈接共享</w:t>
      </w:r>
    </w:p>
    <w:p w14:paraId="5AD74C64" w14:textId="77777777" w:rsidR="00AD311E" w:rsidRPr="003E50E5" w:rsidRDefault="00AD311E" w:rsidP="00AD311E">
      <w:pPr>
        <w:rPr>
          <w:rFonts w:ascii="KaiTi" w:eastAsia="KaiTi" w:hAnsi="KaiTi"/>
        </w:rPr>
      </w:pPr>
      <w:r w:rsidRPr="003C7A20">
        <w:rPr>
          <w:rFonts w:ascii="KaiTi" w:eastAsia="KaiTi" w:hAnsi="KaiTi"/>
          <w:b/>
        </w:rPr>
        <w:t>交互邏輯及路徑</w:t>
      </w:r>
      <w:r w:rsidRPr="003E50E5">
        <w:rPr>
          <w:rFonts w:ascii="KaiTi" w:eastAsia="KaiTi" w:hAnsi="KaiTi" w:hint="eastAsia"/>
          <w:b/>
        </w:rPr>
        <w:t>：</w:t>
      </w:r>
      <w:r w:rsidRPr="003C7A20">
        <w:rPr>
          <w:rFonts w:ascii="KaiTi" w:eastAsia="KaiTi" w:hAnsi="KaiTi"/>
        </w:rPr>
        <w:t>首頁智能形態分析-交銀國際形態分析</w:t>
      </w:r>
    </w:p>
    <w:p w14:paraId="109A7B16" w14:textId="77777777" w:rsidR="00AD311E" w:rsidRPr="003E50E5" w:rsidRDefault="00AD311E" w:rsidP="00AD311E">
      <w:pPr>
        <w:rPr>
          <w:rFonts w:ascii="KaiTi" w:eastAsia="KaiTi" w:hAnsi="KaiTi"/>
          <w:b/>
          <w:color w:val="FF0000"/>
        </w:rPr>
      </w:pPr>
      <w:r w:rsidRPr="003C7A20">
        <w:rPr>
          <w:rFonts w:ascii="KaiTi" w:eastAsia="KaiTi" w:hAnsi="KaiTi"/>
          <w:b/>
        </w:rPr>
        <w:t>路徑</w:t>
      </w:r>
      <w:r w:rsidRPr="003E50E5">
        <w:rPr>
          <w:rFonts w:ascii="KaiTi" w:eastAsia="KaiTi" w:hAnsi="KaiTi" w:hint="eastAsia"/>
          <w:b/>
        </w:rPr>
        <w:t>：</w:t>
      </w:r>
      <w:r w:rsidRPr="003E50E5">
        <w:rPr>
          <w:rFonts w:ascii="KaiTi" w:eastAsia="KaiTi" w:hAnsi="KaiTi" w:hint="eastAsia"/>
          <w:b/>
          <w:color w:val="FF0000"/>
        </w:rPr>
        <w:t>①</w:t>
      </w:r>
    </w:p>
    <w:p w14:paraId="1170BDE8" w14:textId="77777777" w:rsidR="00AD311E" w:rsidRPr="003E50E5" w:rsidRDefault="00AD311E" w:rsidP="00AD311E">
      <w:pPr>
        <w:tabs>
          <w:tab w:val="center" w:pos="4150"/>
        </w:tabs>
        <w:ind w:left="4040"/>
        <w:rPr>
          <w:rFonts w:ascii="KaiTi" w:eastAsia="KaiTi" w:hAnsi="KaiTi"/>
          <w:b/>
          <w:color w:val="FF0000"/>
        </w:rPr>
      </w:pPr>
      <w:r w:rsidRPr="009708CC">
        <w:rPr>
          <w:rFonts w:ascii="KaiTi" w:eastAsia="KaiTi" w:hAnsi="KaiTi"/>
          <w:b/>
          <w:noProof/>
          <w:color w:val="FF0000"/>
        </w:rPr>
        <w:drawing>
          <wp:anchor distT="0" distB="0" distL="114300" distR="114300" simplePos="0" relativeHeight="251670528" behindDoc="1" locked="0" layoutInCell="1" allowOverlap="1" wp14:anchorId="2AD11ABD" wp14:editId="32FB8D57">
            <wp:simplePos x="0" y="0"/>
            <wp:positionH relativeFrom="column">
              <wp:posOffset>3182620</wp:posOffset>
            </wp:positionH>
            <wp:positionV relativeFrom="paragraph">
              <wp:posOffset>45720</wp:posOffset>
            </wp:positionV>
            <wp:extent cx="2624455" cy="2835493"/>
            <wp:effectExtent l="0" t="0" r="0" b="9525"/>
            <wp:wrapNone/>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2624455" cy="2835493"/>
                    </a:xfrm>
                    <a:prstGeom prst="rect">
                      <a:avLst/>
                    </a:prstGeom>
                  </pic:spPr>
                </pic:pic>
              </a:graphicData>
            </a:graphic>
            <wp14:sizeRelH relativeFrom="margin">
              <wp14:pctWidth>0</wp14:pctWidth>
            </wp14:sizeRelH>
            <wp14:sizeRelV relativeFrom="margin">
              <wp14:pctHeight>0</wp14:pctHeight>
            </wp14:sizeRelV>
          </wp:anchor>
        </w:drawing>
      </w:r>
      <w:r>
        <w:rPr>
          <w:rFonts w:ascii="KaiTi" w:eastAsia="KaiTi" w:hAnsi="KaiTi"/>
          <w:b/>
          <w:noProof/>
          <w:color w:val="FF0000"/>
        </w:rPr>
        <w:drawing>
          <wp:anchor distT="0" distB="0" distL="114300" distR="114300" simplePos="0" relativeHeight="251668480" behindDoc="1" locked="0" layoutInCell="1" allowOverlap="1" wp14:anchorId="776A23C9" wp14:editId="3DEBC66A">
            <wp:simplePos x="0" y="0"/>
            <wp:positionH relativeFrom="column">
              <wp:posOffset>-12699</wp:posOffset>
            </wp:positionH>
            <wp:positionV relativeFrom="paragraph">
              <wp:posOffset>64135</wp:posOffset>
            </wp:positionV>
            <wp:extent cx="2845226" cy="2796540"/>
            <wp:effectExtent l="0" t="0" r="0" b="0"/>
            <wp:wrapNone/>
            <wp:docPr id="13" name="图片 13" descr="../Library/Containers/com.tencent.xinWeChat/Data/Library/Application%20Support/com.tencent.xinWeChat/2.0b4.0.9/0effb3787c99cda447ca8fe0dc5edf41/Message/MessageTemp/f5db8607a80d30ef1990b2b78a54fe2e/Image/17611517210768_.pi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ibrary/Containers/com.tencent.xinWeChat/Data/Library/Application%20Support/com.tencent.xinWeChat/2.0b4.0.9/0effb3787c99cda447ca8fe0dc5edf41/Message/MessageTemp/f5db8607a80d30ef1990b2b78a54fe2e/Image/17611517210768_.pic.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850337" cy="2801563"/>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9708CC">
        <w:rPr>
          <w:noProof/>
        </w:rPr>
        <w:t xml:space="preserve"> </w:t>
      </w:r>
      <w:r w:rsidRPr="003E50E5">
        <w:rPr>
          <w:rFonts w:ascii="KaiTi" w:eastAsia="KaiTi" w:hAnsi="KaiTi" w:hint="eastAsia"/>
          <w:b/>
          <w:color w:val="FF0000"/>
        </w:rPr>
        <w:t xml:space="preserve">   </w:t>
      </w:r>
    </w:p>
    <w:p w14:paraId="2D3228A0" w14:textId="77777777" w:rsidR="00AD311E" w:rsidRPr="00BB2F14" w:rsidRDefault="00AD311E" w:rsidP="00AD311E">
      <w:pPr>
        <w:pStyle w:val="a7"/>
        <w:numPr>
          <w:ilvl w:val="0"/>
          <w:numId w:val="1"/>
        </w:numPr>
        <w:tabs>
          <w:tab w:val="center" w:pos="4150"/>
        </w:tabs>
        <w:ind w:firstLineChars="0"/>
        <w:rPr>
          <w:rFonts w:ascii="KaiTi" w:eastAsia="KaiTi" w:hAnsi="KaiTi"/>
          <w:b/>
          <w:color w:val="FF0000"/>
        </w:rPr>
      </w:pPr>
      <w:r w:rsidRPr="003E50E5">
        <w:rPr>
          <w:noProof/>
        </w:rPr>
        <mc:AlternateContent>
          <mc:Choice Requires="wps">
            <w:drawing>
              <wp:anchor distT="0" distB="0" distL="114300" distR="114300" simplePos="0" relativeHeight="251666432" behindDoc="0" locked="0" layoutInCell="1" allowOverlap="1" wp14:anchorId="192795AB" wp14:editId="1EA58DB3">
                <wp:simplePos x="0" y="0"/>
                <wp:positionH relativeFrom="column">
                  <wp:posOffset>2616200</wp:posOffset>
                </wp:positionH>
                <wp:positionV relativeFrom="paragraph">
                  <wp:posOffset>179070</wp:posOffset>
                </wp:positionV>
                <wp:extent cx="567055" cy="886460"/>
                <wp:effectExtent l="0" t="50800" r="67945" b="27940"/>
                <wp:wrapNone/>
                <wp:docPr id="8" name="直线箭头连接符 8"/>
                <wp:cNvGraphicFramePr/>
                <a:graphic xmlns:a="http://schemas.openxmlformats.org/drawingml/2006/main">
                  <a:graphicData uri="http://schemas.microsoft.com/office/word/2010/wordprocessingShape">
                    <wps:wsp>
                      <wps:cNvCnPr/>
                      <wps:spPr>
                        <a:xfrm flipV="1">
                          <a:off x="0" y="0"/>
                          <a:ext cx="567055" cy="88646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5CCFE33C" id="_x0000_t32" coordsize="21600,21600" o:spt="32" o:oned="t" path="m0,0l21600,21600e" filled="f">
                <v:path arrowok="t" fillok="f" o:connecttype="none"/>
                <o:lock v:ext="edit" shapetype="t"/>
              </v:shapetype>
              <v:shape id="直线箭头连接符 8" o:spid="_x0000_s1026" type="#_x0000_t32" style="position:absolute;left:0;text-align:left;margin-left:206pt;margin-top:14.1pt;width:44.65pt;height:69.8pt;flip:y;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" strokecolor="#4472c4 [3204]" strokeweight=".5pt">
                <v:stroke endarrow="block" joinstyle="miter"/>
              </v:shape>
            </w:pict>
          </mc:Fallback>
        </mc:AlternateContent>
      </w:r>
    </w:p>
    <w:p w14:paraId="784D5691" w14:textId="77777777" w:rsidR="00AD311E" w:rsidRPr="003E50E5" w:rsidRDefault="00AD311E" w:rsidP="00AD311E">
      <w:pPr>
        <w:rPr>
          <w:rFonts w:ascii="KaiTi" w:eastAsia="KaiTi" w:hAnsi="KaiTi"/>
          <w:b/>
          <w:color w:val="FF0000"/>
        </w:rPr>
      </w:pPr>
    </w:p>
    <w:p w14:paraId="49FEEDB7" w14:textId="77777777" w:rsidR="00AD311E" w:rsidRPr="003E50E5" w:rsidRDefault="00AD311E" w:rsidP="00AD311E">
      <w:pPr>
        <w:rPr>
          <w:rFonts w:ascii="KaiTi" w:eastAsia="KaiTi" w:hAnsi="KaiTi"/>
          <w:b/>
          <w:color w:val="FF0000"/>
        </w:rPr>
      </w:pPr>
    </w:p>
    <w:p w14:paraId="53F254D4" w14:textId="77777777" w:rsidR="00AD311E" w:rsidRPr="003E50E5" w:rsidRDefault="00AD311E" w:rsidP="00AD311E">
      <w:pPr>
        <w:rPr>
          <w:rFonts w:ascii="KaiTi" w:eastAsia="KaiTi" w:hAnsi="KaiTi"/>
          <w:b/>
          <w:color w:val="FF0000"/>
        </w:rPr>
      </w:pPr>
      <w:r>
        <w:rPr>
          <w:rFonts w:ascii="KaiTi" w:eastAsia="KaiTi" w:hAnsi="KaiTi"/>
          <w:b/>
          <w:noProof/>
          <w:color w:val="FF0000"/>
        </w:rPr>
        <mc:AlternateContent>
          <mc:Choice Requires="wps">
            <w:drawing>
              <wp:anchor distT="0" distB="0" distL="114300" distR="114300" simplePos="0" relativeHeight="251669504" behindDoc="0" locked="0" layoutInCell="1" allowOverlap="1" wp14:anchorId="5039D7EE" wp14:editId="561D9F60">
                <wp:simplePos x="0" y="0"/>
                <wp:positionH relativeFrom="column">
                  <wp:posOffset>2150110</wp:posOffset>
                </wp:positionH>
                <wp:positionV relativeFrom="paragraph">
                  <wp:posOffset>267335</wp:posOffset>
                </wp:positionV>
                <wp:extent cx="685800" cy="762000"/>
                <wp:effectExtent l="0" t="0" r="25400" b="25400"/>
                <wp:wrapThrough wrapText="bothSides">
                  <wp:wrapPolygon edited="0">
                    <wp:start x="0" y="0"/>
                    <wp:lineTo x="0" y="21600"/>
                    <wp:lineTo x="21600" y="21600"/>
                    <wp:lineTo x="21600" y="0"/>
                    <wp:lineTo x="0" y="0"/>
                  </wp:wrapPolygon>
                </wp:wrapThrough>
                <wp:docPr id="18" name="矩形 18"/>
                <wp:cNvGraphicFramePr/>
                <a:graphic xmlns:a="http://schemas.openxmlformats.org/drawingml/2006/main">
                  <a:graphicData uri="http://schemas.microsoft.com/office/word/2010/wordprocessingShape">
                    <wps:wsp>
                      <wps:cNvSpPr/>
                      <wps:spPr>
                        <a:xfrm>
                          <a:off x="0" y="0"/>
                          <a:ext cx="685800" cy="762000"/>
                        </a:xfrm>
                        <a:prstGeom prst="rect">
                          <a:avLst/>
                        </a:prstGeom>
                        <a:noFill/>
                        <a:ln w="25400">
                          <a:solidFill>
                            <a:srgbClr val="FF0000"/>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D6216D9" id="矩形 18" o:spid="_x0000_s1026" style="position:absolute;left:0;text-align:left;margin-left:169.3pt;margin-top:21.05pt;width:54pt;height:60pt;z-index:251669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" filled="f" strokecolor="red" strokeweight="2pt">
                <w10:wrap type="through"/>
              </v:rect>
            </w:pict>
          </mc:Fallback>
        </mc:AlternateContent>
      </w:r>
    </w:p>
    <w:p w14:paraId="12AD3092" w14:textId="77777777" w:rsidR="00AD311E" w:rsidRPr="003E50E5" w:rsidRDefault="00AD311E" w:rsidP="00AD311E">
      <w:pPr>
        <w:rPr>
          <w:rFonts w:ascii="KaiTi" w:eastAsia="KaiTi" w:hAnsi="KaiTi"/>
          <w:b/>
          <w:color w:val="FF0000"/>
        </w:rPr>
      </w:pPr>
    </w:p>
    <w:p w14:paraId="192D0591" w14:textId="77777777" w:rsidR="00AD311E" w:rsidRPr="003E50E5" w:rsidRDefault="00AD311E" w:rsidP="00AD311E">
      <w:pPr>
        <w:rPr>
          <w:rFonts w:ascii="KaiTi" w:eastAsia="KaiTi" w:hAnsi="KaiTi"/>
          <w:b/>
          <w:color w:val="FF0000"/>
        </w:rPr>
      </w:pPr>
    </w:p>
    <w:p w14:paraId="6F3B4BD0" w14:textId="77777777" w:rsidR="00AD311E" w:rsidRPr="003E50E5" w:rsidRDefault="00AD311E" w:rsidP="00AD311E">
      <w:pPr>
        <w:rPr>
          <w:rFonts w:ascii="KaiTi" w:eastAsia="KaiTi" w:hAnsi="KaiTi"/>
          <w:b/>
          <w:color w:val="FF0000"/>
        </w:rPr>
      </w:pPr>
    </w:p>
    <w:p w14:paraId="6A88CF97" w14:textId="72FAC7B9" w:rsidR="00AD311E" w:rsidRDefault="00AD311E" w:rsidP="00AD311E">
      <w:pPr>
        <w:outlineLvl w:val="0"/>
        <w:rPr>
          <w:rFonts w:ascii="KaiTi" w:eastAsia="KaiTi" w:hAnsi="KaiTi"/>
          <w:b/>
          <w:sz w:val="32"/>
          <w:szCs w:val="32"/>
        </w:rPr>
      </w:pPr>
      <w:r w:rsidRPr="005079A0">
        <w:rPr>
          <w:rFonts w:ascii="KaiTi" w:eastAsia="KaiTi" w:hAnsi="KaiTi"/>
          <w:b/>
          <w:sz w:val="32"/>
          <w:szCs w:val="32"/>
        </w:rPr>
        <w:t>持倉股入口</w:t>
      </w:r>
    </w:p>
    <w:p w14:paraId="1D90B7D0" w14:textId="77777777" w:rsidR="00AD311E" w:rsidRPr="003E50E5" w:rsidRDefault="00AD311E" w:rsidP="00AD311E">
      <w:pPr>
        <w:rPr>
          <w:rFonts w:ascii="KaiTi" w:eastAsia="KaiTi" w:hAnsi="KaiTi"/>
        </w:rPr>
      </w:pPr>
      <w:r w:rsidRPr="003E50E5">
        <w:rPr>
          <w:rFonts w:ascii="KaiTi" w:eastAsia="KaiTi" w:hAnsi="KaiTi" w:hint="eastAsia"/>
          <w:b/>
        </w:rPr>
        <w:t>功能展示：</w:t>
      </w:r>
      <w:r w:rsidRPr="005079A0">
        <w:rPr>
          <w:rFonts w:ascii="KaiTi" w:eastAsia="KaiTi" w:hAnsi="KaiTi"/>
        </w:rPr>
        <w:t>通過形態信號的識別為用戶當前持倉提供的“智能形態盯盤”功能，包括當前15個交易日的K線形態、技術指標提醒，以及基於歷史回測的個股形態畫像</w:t>
      </w:r>
    </w:p>
    <w:p w14:paraId="53E865E0" w14:textId="77777777" w:rsidR="00AD311E" w:rsidRPr="005079A0" w:rsidRDefault="00AD311E" w:rsidP="00AD311E">
      <w:pPr>
        <w:rPr>
          <w:rFonts w:ascii="KaiTi" w:eastAsia="KaiTi" w:hAnsi="KaiTi"/>
        </w:rPr>
      </w:pPr>
      <w:r w:rsidRPr="003E50E5">
        <w:rPr>
          <w:rFonts w:ascii="KaiTi" w:eastAsia="KaiTi" w:hAnsi="KaiTi" w:hint="eastAsia"/>
        </w:rPr>
        <w:t xml:space="preserve">          </w:t>
      </w:r>
      <w:r w:rsidRPr="005079A0">
        <w:rPr>
          <w:rFonts w:ascii="KaiTi" w:eastAsia="KaiTi" w:hAnsi="KaiTi"/>
        </w:rPr>
        <w:t>針對用戶的歷史交易記錄為用戶提供形態操作的“復盤分析”功能，對用戶的歷史交易訂單進行掃描分析，為用戶展示個股形態操作畫像</w:t>
      </w:r>
    </w:p>
    <w:p w14:paraId="30A7FB74" w14:textId="287C91A8" w:rsidR="00AD311E" w:rsidRPr="00AD311E" w:rsidRDefault="00AD311E" w:rsidP="00AD311E">
      <w:pPr>
        <w:rPr>
          <w:rFonts w:ascii="KaiTi" w:eastAsia="KaiTi" w:hAnsi="KaiTi"/>
        </w:rPr>
      </w:pPr>
      <w:r w:rsidRPr="005079A0">
        <w:rPr>
          <w:rFonts w:ascii="KaiTi" w:eastAsia="KaiTi" w:hAnsi="KaiTi"/>
        </w:rPr>
        <w:t xml:space="preserve">          基於當前持倉及歷史持倉為用戶提供“相似股票”功能，為用戶展示當前持倉股、歷史持倉股的相同K線形態下的相近PE和相近市值的“相似股票”</w:t>
      </w:r>
    </w:p>
    <w:p w14:paraId="37664DD5" w14:textId="77777777" w:rsidR="00AD311E" w:rsidRPr="003E50E5" w:rsidRDefault="00AD311E" w:rsidP="00AD311E">
      <w:pPr>
        <w:rPr>
          <w:rFonts w:ascii="KaiTi" w:eastAsia="KaiTi" w:hAnsi="KaiTi"/>
          <w:b/>
        </w:rPr>
      </w:pPr>
      <w:r w:rsidRPr="003E50E5">
        <w:rPr>
          <w:rFonts w:ascii="KaiTi" w:eastAsia="KaiTi" w:hAnsi="KaiTi" w:hint="eastAsia"/>
          <w:b/>
        </w:rPr>
        <w:t>功能一     智能盯</w:t>
      </w:r>
      <w:r w:rsidRPr="005079A0">
        <w:rPr>
          <w:rFonts w:ascii="KaiTi" w:eastAsia="KaiTi" w:hAnsi="KaiTi"/>
          <w:b/>
        </w:rPr>
        <w:t>盤</w:t>
      </w:r>
    </w:p>
    <w:p w14:paraId="6AC4C329" w14:textId="77777777" w:rsidR="00AD311E" w:rsidRPr="003E50E5" w:rsidRDefault="00AD311E" w:rsidP="00AD311E">
      <w:pPr>
        <w:rPr>
          <w:rFonts w:ascii="KaiTi" w:eastAsia="KaiTi" w:hAnsi="KaiTi"/>
        </w:rPr>
      </w:pPr>
      <w:r w:rsidRPr="005079A0">
        <w:rPr>
          <w:rFonts w:ascii="KaiTi" w:eastAsia="KaiTi" w:hAnsi="KaiTi"/>
          <w:b/>
        </w:rPr>
        <w:t>交互邏輯及路徑</w:t>
      </w:r>
      <w:r w:rsidRPr="003E50E5">
        <w:rPr>
          <w:rFonts w:ascii="KaiTi" w:eastAsia="KaiTi" w:hAnsi="KaiTi" w:hint="eastAsia"/>
          <w:b/>
        </w:rPr>
        <w:t>：</w:t>
      </w:r>
      <w:r w:rsidRPr="005079A0">
        <w:rPr>
          <w:rFonts w:ascii="KaiTi" w:eastAsia="KaiTi" w:hAnsi="KaiTi"/>
        </w:rPr>
        <w:t>交易-智能形態分析-當前持倉（默認顯示當前持倉的重倉股，下拉列表進行持倉股切換）</w:t>
      </w:r>
    </w:p>
    <w:p w14:paraId="197FF37C" w14:textId="77777777" w:rsidR="00AD311E" w:rsidRDefault="00AD311E" w:rsidP="00AD311E">
      <w:pPr>
        <w:tabs>
          <w:tab w:val="left" w:pos="4700"/>
        </w:tabs>
        <w:rPr>
          <w:rFonts w:ascii="KaiTi" w:eastAsia="KaiTi" w:hAnsi="KaiTi"/>
        </w:rPr>
      </w:pPr>
      <w:r w:rsidRPr="003E50E5">
        <w:rPr>
          <w:rFonts w:ascii="KaiTi" w:eastAsia="KaiTi" w:hAnsi="KaiTi"/>
          <w:noProof/>
        </w:rPr>
        <w:drawing>
          <wp:anchor distT="0" distB="0" distL="114300" distR="114300" simplePos="0" relativeHeight="251659264" behindDoc="0" locked="0" layoutInCell="1" allowOverlap="1" wp14:anchorId="4977FE84" wp14:editId="1B6BE339">
            <wp:simplePos x="0" y="0"/>
            <wp:positionH relativeFrom="column">
              <wp:posOffset>-23495</wp:posOffset>
            </wp:positionH>
            <wp:positionV relativeFrom="paragraph">
              <wp:posOffset>29210</wp:posOffset>
            </wp:positionV>
            <wp:extent cx="2612967" cy="2453640"/>
            <wp:effectExtent l="0" t="0" r="3810" b="10160"/>
            <wp:wrapNone/>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2612967" cy="2453640"/>
                    </a:xfrm>
                    <a:prstGeom prst="rect">
                      <a:avLst/>
                    </a:prstGeom>
                  </pic:spPr>
                </pic:pic>
              </a:graphicData>
            </a:graphic>
            <wp14:sizeRelH relativeFrom="margin">
              <wp14:pctWidth>0</wp14:pctWidth>
            </wp14:sizeRelH>
            <wp14:sizeRelV relativeFrom="margin">
              <wp14:pctHeight>0</wp14:pctHeight>
            </wp14:sizeRelV>
          </wp:anchor>
        </w:drawing>
      </w:r>
      <w:r w:rsidRPr="006554EB">
        <w:rPr>
          <w:rFonts w:ascii="KaiTi" w:eastAsia="KaiTi" w:hAnsi="KaiTi"/>
          <w:noProof/>
        </w:rPr>
        <w:drawing>
          <wp:anchor distT="0" distB="0" distL="114300" distR="114300" simplePos="0" relativeHeight="251667456" behindDoc="1" locked="0" layoutInCell="1" allowOverlap="1" wp14:anchorId="14F8D04F" wp14:editId="285C2EEF">
            <wp:simplePos x="0" y="0"/>
            <wp:positionH relativeFrom="column">
              <wp:posOffset>2726055</wp:posOffset>
            </wp:positionH>
            <wp:positionV relativeFrom="paragraph">
              <wp:posOffset>25400</wp:posOffset>
            </wp:positionV>
            <wp:extent cx="2707197" cy="5572843"/>
            <wp:effectExtent l="0" t="0" r="10795" b="0"/>
            <wp:wrapNone/>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2707197" cy="5572843"/>
                    </a:xfrm>
                    <a:prstGeom prst="rect">
                      <a:avLst/>
                    </a:prstGeom>
                  </pic:spPr>
                </pic:pic>
              </a:graphicData>
            </a:graphic>
            <wp14:sizeRelH relativeFrom="margin">
              <wp14:pctWidth>0</wp14:pctWidth>
            </wp14:sizeRelH>
            <wp14:sizeRelV relativeFrom="margin">
              <wp14:pctHeight>0</wp14:pctHeight>
            </wp14:sizeRelV>
          </wp:anchor>
        </w:drawing>
      </w:r>
      <w:r>
        <w:rPr>
          <w:rFonts w:ascii="KaiTi" w:eastAsia="KaiTi" w:hAnsi="KaiTi"/>
        </w:rPr>
        <w:tab/>
      </w:r>
    </w:p>
    <w:p w14:paraId="5CAC8BA0" w14:textId="77777777" w:rsidR="00AD311E" w:rsidRDefault="00AD311E" w:rsidP="00AD311E">
      <w:pPr>
        <w:tabs>
          <w:tab w:val="left" w:pos="4700"/>
        </w:tabs>
        <w:rPr>
          <w:rFonts w:ascii="KaiTi" w:eastAsia="KaiTi" w:hAnsi="KaiTi"/>
        </w:rPr>
      </w:pPr>
    </w:p>
    <w:p w14:paraId="62756013" w14:textId="77777777" w:rsidR="00AD311E" w:rsidRDefault="00AD311E" w:rsidP="00AD311E">
      <w:pPr>
        <w:tabs>
          <w:tab w:val="left" w:pos="4700"/>
        </w:tabs>
        <w:rPr>
          <w:rFonts w:ascii="KaiTi" w:eastAsia="KaiTi" w:hAnsi="KaiTi"/>
        </w:rPr>
      </w:pPr>
    </w:p>
    <w:p w14:paraId="4BF3A8C5" w14:textId="77777777" w:rsidR="00AD311E" w:rsidRDefault="00AD311E" w:rsidP="00AD311E">
      <w:pPr>
        <w:tabs>
          <w:tab w:val="left" w:pos="4700"/>
        </w:tabs>
        <w:rPr>
          <w:rFonts w:ascii="KaiTi" w:eastAsia="KaiTi" w:hAnsi="KaiTi"/>
        </w:rPr>
      </w:pPr>
    </w:p>
    <w:p w14:paraId="5D9E6EAC" w14:textId="77777777" w:rsidR="00AD311E" w:rsidRDefault="00AD311E" w:rsidP="00AD311E">
      <w:pPr>
        <w:tabs>
          <w:tab w:val="left" w:pos="4700"/>
        </w:tabs>
        <w:rPr>
          <w:rFonts w:ascii="KaiTi" w:eastAsia="KaiTi" w:hAnsi="KaiTi"/>
        </w:rPr>
      </w:pPr>
    </w:p>
    <w:p w14:paraId="2208A5E9" w14:textId="77777777" w:rsidR="00AD311E" w:rsidRDefault="00AD311E" w:rsidP="00AD311E">
      <w:pPr>
        <w:tabs>
          <w:tab w:val="left" w:pos="4700"/>
        </w:tabs>
        <w:rPr>
          <w:rFonts w:ascii="KaiTi" w:eastAsia="KaiTi" w:hAnsi="KaiTi"/>
        </w:rPr>
      </w:pPr>
    </w:p>
    <w:p w14:paraId="40D1A4ED" w14:textId="77777777" w:rsidR="00AD311E" w:rsidRDefault="00AD311E" w:rsidP="00AD311E">
      <w:pPr>
        <w:tabs>
          <w:tab w:val="left" w:pos="4700"/>
        </w:tabs>
        <w:rPr>
          <w:rFonts w:ascii="KaiTi" w:eastAsia="KaiTi" w:hAnsi="KaiTi"/>
        </w:rPr>
      </w:pPr>
    </w:p>
    <w:p w14:paraId="45B0E44D" w14:textId="77777777" w:rsidR="00AD311E" w:rsidRDefault="00AD311E" w:rsidP="00AD311E">
      <w:pPr>
        <w:tabs>
          <w:tab w:val="left" w:pos="4700"/>
        </w:tabs>
        <w:rPr>
          <w:rFonts w:ascii="KaiTi" w:eastAsia="KaiTi" w:hAnsi="KaiTi"/>
        </w:rPr>
      </w:pPr>
    </w:p>
    <w:p w14:paraId="2E332D66" w14:textId="77777777" w:rsidR="00AD311E" w:rsidRDefault="00AD311E" w:rsidP="00AD311E">
      <w:pPr>
        <w:tabs>
          <w:tab w:val="left" w:pos="4700"/>
        </w:tabs>
        <w:rPr>
          <w:rFonts w:ascii="KaiTi" w:eastAsia="KaiTi" w:hAnsi="KaiTi"/>
        </w:rPr>
      </w:pPr>
    </w:p>
    <w:p w14:paraId="7C616A35" w14:textId="77777777" w:rsidR="00AD311E" w:rsidRDefault="00AD311E" w:rsidP="00AD311E">
      <w:pPr>
        <w:tabs>
          <w:tab w:val="left" w:pos="4700"/>
        </w:tabs>
        <w:rPr>
          <w:rFonts w:ascii="KaiTi" w:eastAsia="KaiTi" w:hAnsi="KaiTi"/>
        </w:rPr>
      </w:pPr>
    </w:p>
    <w:p w14:paraId="40347062" w14:textId="77777777" w:rsidR="00AD311E" w:rsidRDefault="00AD311E" w:rsidP="00AD311E">
      <w:pPr>
        <w:tabs>
          <w:tab w:val="left" w:pos="4700"/>
        </w:tabs>
        <w:rPr>
          <w:rFonts w:ascii="KaiTi" w:eastAsia="KaiTi" w:hAnsi="KaiTi"/>
        </w:rPr>
      </w:pPr>
    </w:p>
    <w:p w14:paraId="36C846A1" w14:textId="77777777" w:rsidR="00AD311E" w:rsidRDefault="00AD311E" w:rsidP="00AD311E">
      <w:pPr>
        <w:tabs>
          <w:tab w:val="left" w:pos="4700"/>
        </w:tabs>
        <w:rPr>
          <w:rFonts w:ascii="KaiTi" w:eastAsia="KaiTi" w:hAnsi="KaiTi"/>
        </w:rPr>
      </w:pPr>
    </w:p>
    <w:p w14:paraId="3C4A5EF6" w14:textId="77777777" w:rsidR="00AD311E" w:rsidRDefault="00AD311E" w:rsidP="00AD311E">
      <w:pPr>
        <w:tabs>
          <w:tab w:val="left" w:pos="4700"/>
        </w:tabs>
        <w:rPr>
          <w:rFonts w:ascii="KaiTi" w:eastAsia="KaiTi" w:hAnsi="KaiTi"/>
        </w:rPr>
      </w:pPr>
    </w:p>
    <w:p w14:paraId="0C29E05B" w14:textId="77777777" w:rsidR="00AD311E" w:rsidRDefault="00AD311E" w:rsidP="00AD311E">
      <w:pPr>
        <w:tabs>
          <w:tab w:val="left" w:pos="4700"/>
        </w:tabs>
        <w:rPr>
          <w:rFonts w:ascii="KaiTi" w:eastAsia="KaiTi" w:hAnsi="KaiTi"/>
        </w:rPr>
      </w:pPr>
    </w:p>
    <w:p w14:paraId="3D90C67F" w14:textId="77777777" w:rsidR="00AD311E" w:rsidRDefault="00AD311E" w:rsidP="00AD311E">
      <w:pPr>
        <w:tabs>
          <w:tab w:val="left" w:pos="4700"/>
        </w:tabs>
        <w:rPr>
          <w:rFonts w:ascii="KaiTi" w:eastAsia="KaiTi" w:hAnsi="KaiTi"/>
        </w:rPr>
      </w:pPr>
    </w:p>
    <w:p w14:paraId="761BBBE4" w14:textId="77777777" w:rsidR="00AD311E" w:rsidRDefault="00AD311E" w:rsidP="00AD311E">
      <w:pPr>
        <w:tabs>
          <w:tab w:val="left" w:pos="4700"/>
        </w:tabs>
        <w:rPr>
          <w:rFonts w:ascii="KaiTi" w:eastAsia="KaiTi" w:hAnsi="KaiTi"/>
        </w:rPr>
      </w:pPr>
    </w:p>
    <w:p w14:paraId="21041E27" w14:textId="77777777" w:rsidR="00AD311E" w:rsidRDefault="00AD311E" w:rsidP="00AD311E">
      <w:pPr>
        <w:tabs>
          <w:tab w:val="left" w:pos="4700"/>
        </w:tabs>
        <w:rPr>
          <w:rFonts w:ascii="KaiTi" w:eastAsia="KaiTi" w:hAnsi="KaiTi"/>
        </w:rPr>
      </w:pPr>
    </w:p>
    <w:p w14:paraId="36058F9E" w14:textId="77777777" w:rsidR="00AD311E" w:rsidRDefault="00AD311E" w:rsidP="00AD311E">
      <w:pPr>
        <w:tabs>
          <w:tab w:val="left" w:pos="4700"/>
        </w:tabs>
        <w:rPr>
          <w:rFonts w:ascii="KaiTi" w:eastAsia="KaiTi" w:hAnsi="KaiTi"/>
        </w:rPr>
      </w:pPr>
    </w:p>
    <w:p w14:paraId="0E6364E3" w14:textId="77777777" w:rsidR="00AD311E" w:rsidRPr="003E50E5" w:rsidRDefault="00AD311E" w:rsidP="00AD311E">
      <w:pPr>
        <w:tabs>
          <w:tab w:val="left" w:pos="4700"/>
        </w:tabs>
        <w:rPr>
          <w:rFonts w:ascii="KaiTi" w:eastAsia="KaiTi" w:hAnsi="KaiTi"/>
        </w:rPr>
      </w:pPr>
    </w:p>
    <w:p w14:paraId="16220CB1" w14:textId="77777777" w:rsidR="00AD311E" w:rsidRDefault="00AD311E" w:rsidP="00AD311E">
      <w:pPr>
        <w:rPr>
          <w:rFonts w:ascii="KaiTi" w:eastAsia="KaiTi" w:hAnsi="KaiTi"/>
          <w:b/>
          <w:color w:val="000000" w:themeColor="text1"/>
        </w:rPr>
      </w:pPr>
    </w:p>
    <w:p w14:paraId="4DEC9932" w14:textId="77777777" w:rsidR="00AD311E" w:rsidRDefault="00AD311E" w:rsidP="00AD311E">
      <w:pPr>
        <w:rPr>
          <w:rFonts w:ascii="KaiTi" w:eastAsia="KaiTi" w:hAnsi="KaiTi"/>
          <w:b/>
          <w:color w:val="000000" w:themeColor="text1"/>
        </w:rPr>
      </w:pPr>
    </w:p>
    <w:p w14:paraId="334DACEE" w14:textId="77777777" w:rsidR="00AD311E" w:rsidRPr="003E50E5" w:rsidRDefault="00AD311E" w:rsidP="00AD311E">
      <w:pPr>
        <w:rPr>
          <w:rFonts w:ascii="KaiTi" w:eastAsia="KaiTi" w:hAnsi="KaiTi"/>
          <w:color w:val="000000" w:themeColor="text1"/>
        </w:rPr>
      </w:pPr>
      <w:r w:rsidRPr="003E50E5">
        <w:rPr>
          <w:rFonts w:ascii="KaiTi" w:eastAsia="KaiTi" w:hAnsi="KaiTi" w:hint="eastAsia"/>
          <w:b/>
          <w:color w:val="000000" w:themeColor="text1"/>
        </w:rPr>
        <w:t xml:space="preserve">功能二     </w:t>
      </w:r>
      <w:r w:rsidRPr="005079A0">
        <w:rPr>
          <w:rFonts w:ascii="KaiTi" w:eastAsia="KaiTi" w:hAnsi="KaiTi"/>
          <w:b/>
          <w:color w:val="000000" w:themeColor="text1"/>
        </w:rPr>
        <w:t>復盤分析</w:t>
      </w:r>
    </w:p>
    <w:p w14:paraId="45EFFD01" w14:textId="77777777" w:rsidR="00AD311E" w:rsidRPr="003E50E5" w:rsidRDefault="00AD311E" w:rsidP="00AD311E">
      <w:pPr>
        <w:rPr>
          <w:rFonts w:ascii="KaiTi" w:eastAsia="KaiTi" w:hAnsi="KaiTi"/>
        </w:rPr>
      </w:pPr>
      <w:r w:rsidRPr="003E50E5">
        <w:rPr>
          <w:rFonts w:ascii="KaiTi" w:eastAsia="KaiTi" w:hAnsi="KaiTi"/>
          <w:noProof/>
        </w:rPr>
        <w:drawing>
          <wp:anchor distT="0" distB="0" distL="114300" distR="114300" simplePos="0" relativeHeight="251660288" behindDoc="0" locked="0" layoutInCell="1" allowOverlap="1" wp14:anchorId="73813E32" wp14:editId="403BE6EB">
            <wp:simplePos x="0" y="0"/>
            <wp:positionH relativeFrom="column">
              <wp:posOffset>-19050</wp:posOffset>
            </wp:positionH>
            <wp:positionV relativeFrom="paragraph">
              <wp:posOffset>510540</wp:posOffset>
            </wp:positionV>
            <wp:extent cx="2580005" cy="2705189"/>
            <wp:effectExtent l="0" t="0" r="10795" b="12700"/>
            <wp:wrapNone/>
            <wp:docPr id="29" name="图片 29" descr="../Library/Containers/com.tencent.xinWeChat/Data/Library/Application%20Support/com.tencent.xinWeChat/2.0b4.0.9/0effb3787c99cda447ca8fe0dc5edf41/Message/MessageTemp/9e20f478899dc29eb19741386f9343c8/Image/5151516704776_.pic_h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ibrary/Containers/com.tencent.xinWeChat/Data/Library/Application%20Support/com.tencent.xinWeChat/2.0b4.0.9/0effb3787c99cda447ca8fe0dc5edf41/Message/MessageTemp/9e20f478899dc29eb19741386f9343c8/Image/5151516704776_.pic_hd.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580005" cy="2705189"/>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5079A0">
        <w:rPr>
          <w:rFonts w:ascii="KaiTi" w:eastAsia="KaiTi" w:hAnsi="KaiTi"/>
          <w:b/>
        </w:rPr>
        <w:t>交互邏輯及路徑</w:t>
      </w:r>
      <w:r w:rsidRPr="003E50E5">
        <w:rPr>
          <w:rFonts w:ascii="KaiTi" w:eastAsia="KaiTi" w:hAnsi="KaiTi" w:hint="eastAsia"/>
          <w:b/>
        </w:rPr>
        <w:t>：</w:t>
      </w:r>
      <w:r w:rsidRPr="005079A0">
        <w:rPr>
          <w:rFonts w:ascii="KaiTi" w:eastAsia="KaiTi" w:hAnsi="KaiTi"/>
        </w:rPr>
        <w:t>交易-智能形態分析-歷史持倉（通過下拉列表進行切換，為用戶展示形態歷史操作記錄）</w:t>
      </w:r>
    </w:p>
    <w:p w14:paraId="22C9E156" w14:textId="77777777" w:rsidR="00AD311E" w:rsidRPr="003E50E5" w:rsidRDefault="00AD311E" w:rsidP="00AD311E">
      <w:pPr>
        <w:tabs>
          <w:tab w:val="left" w:pos="3820"/>
          <w:tab w:val="left" w:pos="5580"/>
        </w:tabs>
        <w:rPr>
          <w:rFonts w:ascii="KaiTi" w:eastAsia="KaiTi" w:hAnsi="KaiTi"/>
        </w:rPr>
      </w:pPr>
      <w:r w:rsidRPr="003E50E5">
        <w:rPr>
          <w:rFonts w:ascii="KaiTi" w:eastAsia="KaiTi" w:hAnsi="KaiTi"/>
          <w:noProof/>
        </w:rPr>
        <w:drawing>
          <wp:anchor distT="0" distB="0" distL="114300" distR="114300" simplePos="0" relativeHeight="251661312" behindDoc="0" locked="0" layoutInCell="1" allowOverlap="1" wp14:anchorId="5516AECB" wp14:editId="623C9163">
            <wp:simplePos x="0" y="0"/>
            <wp:positionH relativeFrom="column">
              <wp:posOffset>2835275</wp:posOffset>
            </wp:positionH>
            <wp:positionV relativeFrom="paragraph">
              <wp:posOffset>-5715</wp:posOffset>
            </wp:positionV>
            <wp:extent cx="2610000" cy="2718000"/>
            <wp:effectExtent l="0" t="0" r="6350" b="0"/>
            <wp:wrapNone/>
            <wp:docPr id="30" name="图片 30" descr="../Library/Containers/com.tencent.xinWeChat/Data/Library/Application%20Support/com.tencent.xinWeChat/2.0b4.0.9/0effb3787c99cda447ca8fe0dc5edf41/Message/MessageTemp/9e20f478899dc29eb19741386f9343c8/Image/5161516705243_.pic_h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Library/Containers/com.tencent.xinWeChat/Data/Library/Application%20Support/com.tencent.xinWeChat/2.0b4.0.9/0effb3787c99cda447ca8fe0dc5edf41/Message/MessageTemp/9e20f478899dc29eb19741386f9343c8/Image/5161516705243_.pic_hd.jp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610000" cy="27180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5D66F25" w14:textId="77777777" w:rsidR="00AD311E" w:rsidRPr="003E50E5" w:rsidRDefault="00AD311E" w:rsidP="00AD311E">
      <w:pPr>
        <w:rPr>
          <w:rFonts w:ascii="KaiTi" w:eastAsia="KaiTi" w:hAnsi="KaiTi"/>
        </w:rPr>
      </w:pPr>
      <w:r w:rsidRPr="003E50E5">
        <w:rPr>
          <w:rFonts w:ascii="KaiTi" w:eastAsia="KaiTi" w:hAnsi="KaiTi"/>
          <w:noProof/>
        </w:rPr>
        <mc:AlternateContent>
          <mc:Choice Requires="wps">
            <w:drawing>
              <wp:anchor distT="0" distB="0" distL="114300" distR="114300" simplePos="0" relativeHeight="251664384" behindDoc="0" locked="0" layoutInCell="1" allowOverlap="1" wp14:anchorId="48A27588" wp14:editId="1B83B1D5">
                <wp:simplePos x="0" y="0"/>
                <wp:positionH relativeFrom="column">
                  <wp:posOffset>2040255</wp:posOffset>
                </wp:positionH>
                <wp:positionV relativeFrom="paragraph">
                  <wp:posOffset>28575</wp:posOffset>
                </wp:positionV>
                <wp:extent cx="457200" cy="381000"/>
                <wp:effectExtent l="0" t="0" r="25400" b="25400"/>
                <wp:wrapThrough wrapText="bothSides">
                  <wp:wrapPolygon edited="0">
                    <wp:start x="0" y="0"/>
                    <wp:lineTo x="0" y="21600"/>
                    <wp:lineTo x="21600" y="21600"/>
                    <wp:lineTo x="21600" y="0"/>
                    <wp:lineTo x="0" y="0"/>
                  </wp:wrapPolygon>
                </wp:wrapThrough>
                <wp:docPr id="33" name="矩形 33"/>
                <wp:cNvGraphicFramePr/>
                <a:graphic xmlns:a="http://schemas.openxmlformats.org/drawingml/2006/main">
                  <a:graphicData uri="http://schemas.microsoft.com/office/word/2010/wordprocessingShape">
                    <wps:wsp>
                      <wps:cNvSpPr/>
                      <wps:spPr>
                        <a:xfrm>
                          <a:off x="0" y="0"/>
                          <a:ext cx="457200" cy="381000"/>
                        </a:xfrm>
                        <a:prstGeom prst="rect">
                          <a:avLst/>
                        </a:prstGeom>
                        <a:noFill/>
                        <a:ln w="25400">
                          <a:solidFill>
                            <a:srgbClr val="FF0000"/>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31CDDBBE" id="矩形 33" o:spid="_x0000_s1026" style="position:absolute;left:0;text-align:left;margin-left:160.65pt;margin-top:2.25pt;width:36pt;height:30pt;z-index:251664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" filled="f" strokecolor="red" strokeweight="2pt">
                <w10:wrap type="through"/>
              </v:rect>
            </w:pict>
          </mc:Fallback>
        </mc:AlternateContent>
      </w:r>
    </w:p>
    <w:p w14:paraId="7E729C2E" w14:textId="77777777" w:rsidR="00AD311E" w:rsidRPr="003E50E5" w:rsidRDefault="00AD311E" w:rsidP="00AD311E">
      <w:pPr>
        <w:rPr>
          <w:rFonts w:ascii="KaiTi" w:eastAsia="KaiTi" w:hAnsi="KaiTi"/>
        </w:rPr>
      </w:pPr>
    </w:p>
    <w:p w14:paraId="0DDE8454" w14:textId="77777777" w:rsidR="00AD311E" w:rsidRPr="003E50E5" w:rsidRDefault="00AD311E" w:rsidP="00AD311E">
      <w:pPr>
        <w:rPr>
          <w:rFonts w:ascii="KaiTi" w:eastAsia="KaiTi" w:hAnsi="KaiTi"/>
        </w:rPr>
      </w:pPr>
    </w:p>
    <w:p w14:paraId="2C87487C" w14:textId="77777777" w:rsidR="00AD311E" w:rsidRPr="003E50E5" w:rsidRDefault="00AD311E" w:rsidP="00AD311E">
      <w:pPr>
        <w:rPr>
          <w:rFonts w:ascii="KaiTi" w:eastAsia="KaiTi" w:hAnsi="KaiTi"/>
        </w:rPr>
      </w:pPr>
    </w:p>
    <w:p w14:paraId="5CF478D7" w14:textId="77777777" w:rsidR="00AD311E" w:rsidRPr="003E50E5" w:rsidRDefault="00AD311E" w:rsidP="00AD311E">
      <w:pPr>
        <w:rPr>
          <w:rFonts w:ascii="KaiTi" w:eastAsia="KaiTi" w:hAnsi="KaiTi"/>
        </w:rPr>
      </w:pPr>
    </w:p>
    <w:p w14:paraId="29CCA7FF" w14:textId="77777777" w:rsidR="00AD311E" w:rsidRPr="003E50E5" w:rsidRDefault="00AD311E" w:rsidP="00AD311E">
      <w:pPr>
        <w:rPr>
          <w:rFonts w:ascii="KaiTi" w:eastAsia="KaiTi" w:hAnsi="KaiTi"/>
        </w:rPr>
      </w:pPr>
    </w:p>
    <w:p w14:paraId="2B55BDF3" w14:textId="77777777" w:rsidR="00AD311E" w:rsidRPr="003E50E5" w:rsidRDefault="00AD311E" w:rsidP="00AD311E">
      <w:pPr>
        <w:rPr>
          <w:rFonts w:ascii="KaiTi" w:eastAsia="KaiTi" w:hAnsi="KaiTi"/>
        </w:rPr>
      </w:pPr>
    </w:p>
    <w:p w14:paraId="1364E4BA" w14:textId="77777777" w:rsidR="00AD311E" w:rsidRPr="003E50E5" w:rsidRDefault="00AD311E" w:rsidP="00AD311E">
      <w:pPr>
        <w:rPr>
          <w:rFonts w:ascii="KaiTi" w:eastAsia="KaiTi" w:hAnsi="KaiTi"/>
        </w:rPr>
      </w:pPr>
    </w:p>
    <w:p w14:paraId="20A7780F" w14:textId="77777777" w:rsidR="00AD311E" w:rsidRPr="003E50E5" w:rsidRDefault="00AD311E" w:rsidP="00AD311E">
      <w:pPr>
        <w:tabs>
          <w:tab w:val="left" w:pos="5280"/>
        </w:tabs>
        <w:rPr>
          <w:rFonts w:ascii="KaiTi" w:eastAsia="KaiTi" w:hAnsi="KaiTi"/>
        </w:rPr>
      </w:pPr>
      <w:r w:rsidRPr="003E50E5">
        <w:rPr>
          <w:rFonts w:ascii="KaiTi" w:eastAsia="KaiTi" w:hAnsi="KaiTi"/>
        </w:rPr>
        <w:tab/>
      </w:r>
    </w:p>
    <w:p w14:paraId="53B58BAC" w14:textId="77777777" w:rsidR="00AD311E" w:rsidRDefault="00AD311E" w:rsidP="00AD311E">
      <w:pPr>
        <w:rPr>
          <w:rFonts w:ascii="KaiTi" w:eastAsia="KaiTi" w:hAnsi="KaiTi"/>
          <w:b/>
          <w:color w:val="000000" w:themeColor="text1"/>
        </w:rPr>
      </w:pPr>
    </w:p>
    <w:p w14:paraId="76BC3679" w14:textId="77777777" w:rsidR="00AD311E" w:rsidRPr="003E50E5" w:rsidRDefault="00AD311E" w:rsidP="00AD311E">
      <w:pPr>
        <w:rPr>
          <w:rFonts w:ascii="KaiTi" w:eastAsia="KaiTi" w:hAnsi="KaiTi"/>
          <w:color w:val="000000" w:themeColor="text1"/>
        </w:rPr>
      </w:pPr>
      <w:r w:rsidRPr="003E50E5">
        <w:rPr>
          <w:rFonts w:ascii="KaiTi" w:eastAsia="KaiTi" w:hAnsi="KaiTi" w:hint="eastAsia"/>
          <w:b/>
          <w:color w:val="000000" w:themeColor="text1"/>
        </w:rPr>
        <w:t>功能三     相似</w:t>
      </w:r>
      <w:r>
        <w:rPr>
          <w:rFonts w:ascii="KaiTi" w:eastAsia="KaiTi" w:hAnsi="KaiTi" w:hint="eastAsia"/>
          <w:b/>
          <w:color w:val="000000" w:themeColor="text1"/>
        </w:rPr>
        <w:t>股票</w:t>
      </w:r>
    </w:p>
    <w:p w14:paraId="2D82BCDD" w14:textId="77777777" w:rsidR="00AD311E" w:rsidRPr="005079A0" w:rsidRDefault="00AD311E" w:rsidP="00AD311E">
      <w:pPr>
        <w:rPr>
          <w:rFonts w:ascii="KaiTi" w:eastAsia="KaiTi" w:hAnsi="KaiTi"/>
        </w:rPr>
      </w:pPr>
      <w:r w:rsidRPr="005079A0">
        <w:rPr>
          <w:rFonts w:ascii="KaiTi" w:eastAsia="KaiTi" w:hAnsi="KaiTi"/>
          <w:b/>
        </w:rPr>
        <w:t>交互邏輯及路徑</w:t>
      </w:r>
      <w:r w:rsidRPr="003E50E5">
        <w:rPr>
          <w:rFonts w:ascii="KaiTi" w:eastAsia="KaiTi" w:hAnsi="KaiTi" w:hint="eastAsia"/>
          <w:b/>
        </w:rPr>
        <w:t>：</w:t>
      </w:r>
      <w:r w:rsidRPr="005079A0">
        <w:rPr>
          <w:rFonts w:ascii="KaiTi" w:eastAsia="KaiTi" w:hAnsi="KaiTi"/>
        </w:rPr>
        <w:t>交易-智能形態分析-相似股票（若無持倉股、歷史持倉股的形態，則不顯示）</w:t>
      </w:r>
    </w:p>
    <w:p w14:paraId="0B943C56" w14:textId="77777777" w:rsidR="00AD311E" w:rsidRDefault="00AD311E" w:rsidP="00AD311E">
      <w:pPr>
        <w:rPr>
          <w:rFonts w:ascii="KaiTi" w:eastAsia="KaiTi" w:hAnsi="KaiTi"/>
        </w:rPr>
      </w:pPr>
      <w:r w:rsidRPr="005079A0">
        <w:rPr>
          <w:rFonts w:ascii="KaiTi" w:eastAsia="KaiTi" w:hAnsi="KaiTi"/>
        </w:rPr>
        <w:t>備註：該界面在智能形態畫像中不顯示用戶形態操作畫像</w:t>
      </w:r>
    </w:p>
    <w:p w14:paraId="50DB5EBF" w14:textId="7DFADE24" w:rsidR="00AD311E" w:rsidRPr="00863A62" w:rsidRDefault="00595568" w:rsidP="00AD311E">
      <w:pPr>
        <w:rPr>
          <w:rFonts w:ascii="KaiTi" w:eastAsia="KaiTi" w:hAnsi="KaiTi"/>
        </w:rPr>
      </w:pPr>
      <w:r w:rsidRPr="00595568">
        <w:rPr>
          <w:rFonts w:ascii="KaiTi" w:eastAsia="KaiTi" w:hAnsi="KaiTi"/>
        </w:rPr>
        <w:drawing>
          <wp:anchor distT="0" distB="0" distL="114300" distR="114300" simplePos="0" relativeHeight="251674624" behindDoc="1" locked="0" layoutInCell="1" allowOverlap="1" wp14:anchorId="11CC6667" wp14:editId="7A7503EA">
            <wp:simplePos x="0" y="0"/>
            <wp:positionH relativeFrom="column">
              <wp:posOffset>2793365</wp:posOffset>
            </wp:positionH>
            <wp:positionV relativeFrom="paragraph">
              <wp:posOffset>177800</wp:posOffset>
            </wp:positionV>
            <wp:extent cx="2743937" cy="2613569"/>
            <wp:effectExtent l="0" t="0" r="0" b="3175"/>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2743937" cy="2613569"/>
                    </a:xfrm>
                    <a:prstGeom prst="rect">
                      <a:avLst/>
                    </a:prstGeom>
                  </pic:spPr>
                </pic:pic>
              </a:graphicData>
            </a:graphic>
            <wp14:sizeRelH relativeFrom="margin">
              <wp14:pctWidth>0</wp14:pctWidth>
            </wp14:sizeRelH>
            <wp14:sizeRelV relativeFrom="margin">
              <wp14:pctHeight>0</wp14:pctHeight>
            </wp14:sizeRelV>
          </wp:anchor>
        </w:drawing>
      </w:r>
      <w:r w:rsidR="005165F0" w:rsidRPr="005165F0">
        <w:rPr>
          <w:rFonts w:ascii="KaiTi" w:eastAsia="KaiTi" w:hAnsi="KaiTi"/>
          <w:noProof/>
        </w:rPr>
        <w:drawing>
          <wp:anchor distT="0" distB="0" distL="114300" distR="114300" simplePos="0" relativeHeight="251673600" behindDoc="1" locked="0" layoutInCell="1" allowOverlap="1" wp14:anchorId="19E67F3F" wp14:editId="500B878A">
            <wp:simplePos x="0" y="0"/>
            <wp:positionH relativeFrom="column">
              <wp:posOffset>-1</wp:posOffset>
            </wp:positionH>
            <wp:positionV relativeFrom="paragraph">
              <wp:posOffset>114299</wp:posOffset>
            </wp:positionV>
            <wp:extent cx="2680335" cy="3131443"/>
            <wp:effectExtent l="0" t="0" r="12065" b="0"/>
            <wp:wrapNone/>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2683632" cy="3135294"/>
                    </a:xfrm>
                    <a:prstGeom prst="rect">
                      <a:avLst/>
                    </a:prstGeom>
                  </pic:spPr>
                </pic:pic>
              </a:graphicData>
            </a:graphic>
            <wp14:sizeRelH relativeFrom="margin">
              <wp14:pctWidth>0</wp14:pctWidth>
            </wp14:sizeRelH>
            <wp14:sizeRelV relativeFrom="margin">
              <wp14:pctHeight>0</wp14:pctHeight>
            </wp14:sizeRelV>
          </wp:anchor>
        </w:drawing>
      </w:r>
    </w:p>
    <w:p w14:paraId="0ACEA560" w14:textId="5FEF64CC" w:rsidR="00AD311E" w:rsidRPr="00C4118E" w:rsidRDefault="00AD311E" w:rsidP="00AD311E">
      <w:pPr>
        <w:rPr>
          <w:rFonts w:ascii="KaiTi" w:eastAsia="KaiTi" w:hAnsi="KaiTi"/>
        </w:rPr>
      </w:pPr>
    </w:p>
    <w:p w14:paraId="34AAFB23" w14:textId="3C18DF54" w:rsidR="00AD311E" w:rsidRPr="00C4118E" w:rsidRDefault="00AD311E" w:rsidP="00AD311E">
      <w:pPr>
        <w:rPr>
          <w:rFonts w:ascii="KaiTi" w:eastAsia="KaiTi" w:hAnsi="KaiTi"/>
        </w:rPr>
      </w:pPr>
    </w:p>
    <w:p w14:paraId="1E714E73" w14:textId="3FF5A261" w:rsidR="00AD311E" w:rsidRPr="00C4118E" w:rsidRDefault="00AD311E" w:rsidP="00AD311E">
      <w:pPr>
        <w:rPr>
          <w:rFonts w:ascii="KaiTi" w:eastAsia="KaiTi" w:hAnsi="KaiTi"/>
        </w:rPr>
      </w:pPr>
    </w:p>
    <w:p w14:paraId="7BDB585B" w14:textId="6289CFB8" w:rsidR="00AD311E" w:rsidRPr="00C4118E" w:rsidRDefault="00AD311E" w:rsidP="00AD311E">
      <w:pPr>
        <w:rPr>
          <w:rFonts w:ascii="KaiTi" w:eastAsia="KaiTi" w:hAnsi="KaiTi"/>
        </w:rPr>
      </w:pPr>
    </w:p>
    <w:p w14:paraId="28D99F4F" w14:textId="16C69E0D" w:rsidR="00AD311E" w:rsidRPr="00C4118E" w:rsidRDefault="00AD311E" w:rsidP="00AD311E">
      <w:pPr>
        <w:rPr>
          <w:rFonts w:ascii="KaiTi" w:eastAsia="KaiTi" w:hAnsi="KaiTi"/>
        </w:rPr>
      </w:pPr>
    </w:p>
    <w:p w14:paraId="3FC1641A" w14:textId="61AAD822" w:rsidR="00AD311E" w:rsidRPr="00C4118E" w:rsidRDefault="00AD311E" w:rsidP="00AD311E">
      <w:pPr>
        <w:rPr>
          <w:rFonts w:ascii="KaiTi" w:eastAsia="KaiTi" w:hAnsi="KaiTi"/>
        </w:rPr>
      </w:pPr>
    </w:p>
    <w:p w14:paraId="792A2171" w14:textId="52E59336" w:rsidR="00AD311E" w:rsidRPr="00C4118E" w:rsidRDefault="00AD311E" w:rsidP="00AD311E">
      <w:pPr>
        <w:rPr>
          <w:rFonts w:ascii="KaiTi" w:eastAsia="KaiTi" w:hAnsi="KaiTi"/>
        </w:rPr>
      </w:pPr>
    </w:p>
    <w:p w14:paraId="6051F0BF" w14:textId="470CB977" w:rsidR="00AD311E" w:rsidRPr="00C4118E" w:rsidRDefault="00AD311E" w:rsidP="00AD311E">
      <w:pPr>
        <w:rPr>
          <w:rFonts w:ascii="KaiTi" w:eastAsia="KaiTi" w:hAnsi="KaiTi"/>
        </w:rPr>
      </w:pPr>
    </w:p>
    <w:p w14:paraId="428DC39A" w14:textId="77777777" w:rsidR="00AD311E" w:rsidRPr="00C4118E" w:rsidRDefault="00AD311E" w:rsidP="00AD311E">
      <w:pPr>
        <w:rPr>
          <w:rFonts w:ascii="KaiTi" w:eastAsia="KaiTi" w:hAnsi="KaiTi"/>
        </w:rPr>
      </w:pPr>
    </w:p>
    <w:p w14:paraId="5395BA38" w14:textId="77777777" w:rsidR="00AD311E" w:rsidRDefault="00AD311E" w:rsidP="00AD311E">
      <w:pPr>
        <w:rPr>
          <w:rFonts w:ascii="KaiTi" w:eastAsia="KaiTi" w:hAnsi="KaiTi"/>
        </w:rPr>
      </w:pPr>
    </w:p>
    <w:p w14:paraId="1E8F2197" w14:textId="77777777" w:rsidR="005165F0" w:rsidRDefault="005165F0" w:rsidP="00AD311E">
      <w:pPr>
        <w:rPr>
          <w:rFonts w:ascii="KaiTi" w:eastAsia="KaiTi" w:hAnsi="KaiTi"/>
        </w:rPr>
      </w:pPr>
    </w:p>
    <w:p w14:paraId="74084F3B" w14:textId="77777777" w:rsidR="005165F0" w:rsidRPr="00C4118E" w:rsidRDefault="005165F0" w:rsidP="00AD311E">
      <w:pPr>
        <w:rPr>
          <w:rFonts w:ascii="KaiTi" w:eastAsia="KaiTi" w:hAnsi="KaiTi"/>
        </w:rPr>
      </w:pPr>
    </w:p>
    <w:p w14:paraId="3215D6ED" w14:textId="77777777" w:rsidR="00AD311E" w:rsidRDefault="00AD311E" w:rsidP="00AD311E">
      <w:pPr>
        <w:tabs>
          <w:tab w:val="left" w:pos="3300"/>
        </w:tabs>
        <w:rPr>
          <w:rFonts w:ascii="KaiTi" w:eastAsia="KaiTi" w:hAnsi="KaiTi"/>
        </w:rPr>
      </w:pPr>
      <w:r w:rsidRPr="005079A0">
        <w:rPr>
          <w:rFonts w:ascii="KaiTi" w:eastAsia="KaiTi" w:hAnsi="KaiTi"/>
        </w:rPr>
        <w:t>附件1 智能形態分析產品UI完整設計</w:t>
      </w:r>
      <w:r>
        <w:rPr>
          <w:rFonts w:ascii="KaiTi" w:eastAsia="KaiTi" w:hAnsi="KaiTi"/>
        </w:rPr>
        <w:tab/>
      </w:r>
    </w:p>
    <w:p w14:paraId="4ED036C4" w14:textId="05C08658" w:rsidR="00AD311E" w:rsidRDefault="00AD311E" w:rsidP="00AD311E">
      <w:pPr>
        <w:tabs>
          <w:tab w:val="left" w:pos="3300"/>
        </w:tabs>
        <w:ind w:firstLine="2400"/>
        <w:rPr>
          <w:rFonts w:ascii="KaiTi" w:eastAsia="KaiTi" w:hAnsi="KaiTi"/>
          <w:b/>
          <w:sz w:val="32"/>
          <w:szCs w:val="32"/>
        </w:rPr>
      </w:pPr>
      <w:r w:rsidRPr="005079A0">
        <w:rPr>
          <w:rFonts w:ascii="KaiTi" w:eastAsia="KaiTi" w:hAnsi="KaiTi"/>
          <w:b/>
          <w:sz w:val="32"/>
          <w:szCs w:val="32"/>
        </w:rPr>
        <w:t>智能形態分析產品UI完整設計</w:t>
      </w:r>
    </w:p>
    <w:p w14:paraId="24D1E548" w14:textId="36934871" w:rsidR="00AD311E" w:rsidRDefault="00AD311E" w:rsidP="00AD311E">
      <w:pPr>
        <w:tabs>
          <w:tab w:val="left" w:pos="3300"/>
        </w:tabs>
        <w:rPr>
          <w:rFonts w:ascii="KaiTi" w:eastAsia="KaiTi" w:hAnsi="KaiTi"/>
          <w:b/>
        </w:rPr>
      </w:pPr>
      <w:r>
        <w:rPr>
          <w:rFonts w:ascii="KaiTi" w:eastAsia="KaiTi" w:hAnsi="KaiTi" w:hint="eastAsia"/>
          <w:b/>
          <w:sz w:val="32"/>
          <w:szCs w:val="32"/>
        </w:rPr>
        <w:t xml:space="preserve">   </w:t>
      </w:r>
      <w:r w:rsidRPr="005079A0">
        <w:rPr>
          <w:rFonts w:ascii="KaiTi" w:eastAsia="KaiTi" w:hAnsi="KaiTi"/>
          <w:b/>
        </w:rPr>
        <w:t>首頁靜態展示頁面</w:t>
      </w:r>
      <w:r w:rsidRPr="00BB2F14">
        <w:rPr>
          <w:rFonts w:ascii="KaiTi" w:eastAsia="KaiTi" w:hAnsi="KaiTi" w:hint="eastAsia"/>
          <w:b/>
        </w:rPr>
        <w:t xml:space="preserve">                    </w:t>
      </w:r>
      <w:r>
        <w:rPr>
          <w:rFonts w:ascii="KaiTi" w:eastAsia="KaiTi" w:hAnsi="KaiTi" w:hint="eastAsia"/>
          <w:b/>
        </w:rPr>
        <w:t xml:space="preserve">      </w:t>
      </w:r>
      <w:r w:rsidRPr="005079A0">
        <w:rPr>
          <w:rFonts w:ascii="KaiTi" w:eastAsia="KaiTi" w:hAnsi="KaiTi"/>
          <w:b/>
        </w:rPr>
        <w:t>持倉入口界面</w:t>
      </w:r>
    </w:p>
    <w:p w14:paraId="16F5F0FC" w14:textId="79F4C52A" w:rsidR="00863A62" w:rsidRPr="00863A62" w:rsidRDefault="00464149" w:rsidP="00863A62">
      <w:pPr>
        <w:tabs>
          <w:tab w:val="left" w:pos="800"/>
        </w:tabs>
        <w:rPr>
          <w:rFonts w:ascii="KaiTi" w:eastAsia="KaiTi" w:hAnsi="KaiTi" w:hint="eastAsia"/>
        </w:rPr>
      </w:pPr>
      <w:bookmarkStart w:id="0" w:name="_GoBack"/>
      <w:bookmarkEnd w:id="0"/>
      <w:r>
        <w:rPr>
          <w:rFonts w:ascii="KaiTi" w:eastAsia="KaiTi" w:hAnsi="KaiTi"/>
          <w:noProof/>
        </w:rPr>
        <w:drawing>
          <wp:anchor distT="0" distB="0" distL="114300" distR="114300" simplePos="0" relativeHeight="251676672" behindDoc="1" locked="0" layoutInCell="1" allowOverlap="1" wp14:anchorId="39592E26" wp14:editId="7AB6C8B1">
            <wp:simplePos x="0" y="0"/>
            <wp:positionH relativeFrom="column">
              <wp:posOffset>51435</wp:posOffset>
            </wp:positionH>
            <wp:positionV relativeFrom="paragraph">
              <wp:posOffset>35560</wp:posOffset>
            </wp:positionV>
            <wp:extent cx="1740724" cy="8257540"/>
            <wp:effectExtent l="0" t="0" r="12065" b="0"/>
            <wp:wrapNone/>
            <wp:docPr id="7" name="图片 7" descr="../../Downloads/倒锤线-无下拉%2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ownloads/倒锤线-无下拉%20(1).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740724" cy="82575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D5F00">
        <w:rPr>
          <w:rFonts w:ascii="KaiTi" w:eastAsia="KaiTi" w:hAnsi="KaiTi"/>
          <w:noProof/>
        </w:rPr>
        <w:drawing>
          <wp:anchor distT="0" distB="0" distL="114300" distR="114300" simplePos="0" relativeHeight="251675648" behindDoc="1" locked="0" layoutInCell="1" allowOverlap="1" wp14:anchorId="78119BCF" wp14:editId="2AE3BA57">
            <wp:simplePos x="0" y="0"/>
            <wp:positionH relativeFrom="column">
              <wp:posOffset>3138170</wp:posOffset>
            </wp:positionH>
            <wp:positionV relativeFrom="paragraph">
              <wp:posOffset>35560</wp:posOffset>
            </wp:positionV>
            <wp:extent cx="1828800" cy="8333740"/>
            <wp:effectExtent l="0" t="0" r="0" b="0"/>
            <wp:wrapNone/>
            <wp:docPr id="6" name="图片 6" descr="../../Downloads/早晨之星.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ownloads/早晨之星.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828800" cy="8333740"/>
                    </a:xfrm>
                    <a:prstGeom prst="rect">
                      <a:avLst/>
                    </a:prstGeom>
                    <a:noFill/>
                    <a:ln>
                      <a:noFill/>
                    </a:ln>
                  </pic:spPr>
                </pic:pic>
              </a:graphicData>
            </a:graphic>
            <wp14:sizeRelV relativeFrom="margin">
              <wp14:pctHeight>0</wp14:pctHeight>
            </wp14:sizeRelV>
          </wp:anchor>
        </w:drawing>
      </w:r>
    </w:p>
    <w:sectPr w:rsidR="00863A62" w:rsidRPr="00863A62" w:rsidSect="00DA643B">
      <w:headerReference w:type="default" r:id="rId17"/>
      <w:pgSz w:w="11900" w:h="16840"/>
      <w:pgMar w:top="1440" w:right="1800" w:bottom="1440" w:left="1800" w:header="851" w:footer="992" w:gutter="0"/>
      <w:cols w:space="425"/>
      <w:docGrid w:type="lines" w:linePitch="423"/>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7F37EE2" w14:textId="77777777" w:rsidR="00EE2BCA" w:rsidRDefault="00EE2BCA" w:rsidP="00F361D4">
      <w:r>
        <w:separator/>
      </w:r>
    </w:p>
  </w:endnote>
  <w:endnote w:type="continuationSeparator" w:id="0">
    <w:p w14:paraId="66A57E82" w14:textId="77777777" w:rsidR="00EE2BCA" w:rsidRDefault="00EE2BCA" w:rsidP="00F361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EF" w:usb1="C0007841" w:usb2="00000009" w:usb3="00000000" w:csb0="000001FF" w:csb1="00000000"/>
  </w:font>
  <w:font w:name="DengXian">
    <w:panose1 w:val="02010600030101010101"/>
    <w:charset w:val="86"/>
    <w:family w:val="script"/>
    <w:pitch w:val="variable"/>
    <w:sig w:usb0="A00002BF" w:usb1="38CF7CFA" w:usb2="00000016" w:usb3="00000000" w:csb0="0004000F" w:csb1="00000000"/>
  </w:font>
  <w:font w:name="KaiTi">
    <w:panose1 w:val="02010609060101010101"/>
    <w:charset w:val="86"/>
    <w:family w:val="auto"/>
    <w:pitch w:val="fixed"/>
    <w:sig w:usb0="800002BF" w:usb1="38CF7CFA" w:usb2="00000016" w:usb3="00000000" w:csb0="00040001" w:csb1="00000000"/>
  </w:font>
  <w:font w:name="Arial">
    <w:panose1 w:val="020B0604020202020204"/>
    <w:charset w:val="00"/>
    <w:family w:val="swiss"/>
    <w:pitch w:val="variable"/>
    <w:sig w:usb0="E0002AFF" w:usb1="C0007843" w:usb2="00000009" w:usb3="00000000" w:csb0="000001FF" w:csb1="00000000"/>
  </w:font>
  <w:font w:name="DengXian Light">
    <w:panose1 w:val="02010600030101010101"/>
    <w:charset w:val="86"/>
    <w:family w:val="script"/>
    <w:pitch w:val="variable"/>
    <w:sig w:usb0="A00002BF" w:usb1="38CF7CFA" w:usb2="00000016" w:usb3="00000000" w:csb0="0004000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2F72397" w14:textId="77777777" w:rsidR="00EE2BCA" w:rsidRDefault="00EE2BCA" w:rsidP="00F361D4">
      <w:r>
        <w:separator/>
      </w:r>
    </w:p>
  </w:footnote>
  <w:footnote w:type="continuationSeparator" w:id="0">
    <w:p w14:paraId="3D36F74F" w14:textId="77777777" w:rsidR="00EE2BCA" w:rsidRDefault="00EE2BCA" w:rsidP="00F361D4">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3D003E0" w14:textId="77777777" w:rsidR="00F361D4" w:rsidRDefault="00F361D4" w:rsidP="00F361D4">
    <w:pPr>
      <w:pStyle w:val="a3"/>
      <w:jc w:val="both"/>
    </w:pPr>
    <w:r>
      <w:rPr>
        <w:noProof/>
      </w:rPr>
      <w:drawing>
        <wp:inline distT="0" distB="0" distL="0" distR="0" wp14:anchorId="5E1FCDC7" wp14:editId="052624C3">
          <wp:extent cx="1129669" cy="504190"/>
          <wp:effectExtent l="0" t="0" r="0" b="3810"/>
          <wp:docPr id="5" name="图片 5" descr="../../../com.tencent.xinWeChat/Data/Library/Application%20Support/com.tencent.xinWeChat/2.0b4.0.9/0effb3787c99cda447ca8fe0dc5edf41/Message/MessageTemp/3d030faa574587641982d1f24a35963f/Image/7281508840246_.pi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m.tencent.xinWeChat/Data/Library/Application%20Support/com.tencent.xinWeChat/2.0b4.0.9/0effb3787c99cda447ca8fe0dc5edf41/Message/MessageTemp/3d030faa574587641982d1f24a35963f/Image/7281508840246_.pic.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57486" cy="516605"/>
                  </a:xfrm>
                  <a:prstGeom prst="rect">
                    <a:avLst/>
                  </a:prstGeom>
                  <a:noFill/>
                  <a:ln>
                    <a:noFill/>
                  </a:ln>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AD92B57"/>
    <w:multiLevelType w:val="hybridMultilevel"/>
    <w:tmpl w:val="F3D62096"/>
    <w:lvl w:ilvl="0" w:tplc="5394D39E">
      <w:start w:val="1"/>
      <w:numFmt w:val="decimalEnclosedCircle"/>
      <w:lvlText w:val="%1"/>
      <w:lvlJc w:val="left"/>
      <w:pPr>
        <w:ind w:left="4896" w:hanging="360"/>
      </w:pPr>
      <w:rPr>
        <w:rFonts w:hint="eastAsia"/>
      </w:rPr>
    </w:lvl>
    <w:lvl w:ilvl="1" w:tplc="04090019" w:tentative="1">
      <w:start w:val="1"/>
      <w:numFmt w:val="lowerLetter"/>
      <w:lvlText w:val="%2)"/>
      <w:lvlJc w:val="left"/>
      <w:pPr>
        <w:ind w:left="5496" w:hanging="480"/>
      </w:pPr>
    </w:lvl>
    <w:lvl w:ilvl="2" w:tplc="0409001B" w:tentative="1">
      <w:start w:val="1"/>
      <w:numFmt w:val="lowerRoman"/>
      <w:lvlText w:val="%3."/>
      <w:lvlJc w:val="right"/>
      <w:pPr>
        <w:ind w:left="5976" w:hanging="480"/>
      </w:pPr>
    </w:lvl>
    <w:lvl w:ilvl="3" w:tplc="0409000F" w:tentative="1">
      <w:start w:val="1"/>
      <w:numFmt w:val="decimal"/>
      <w:lvlText w:val="%4."/>
      <w:lvlJc w:val="left"/>
      <w:pPr>
        <w:ind w:left="6456" w:hanging="480"/>
      </w:pPr>
    </w:lvl>
    <w:lvl w:ilvl="4" w:tplc="04090019" w:tentative="1">
      <w:start w:val="1"/>
      <w:numFmt w:val="lowerLetter"/>
      <w:lvlText w:val="%5)"/>
      <w:lvlJc w:val="left"/>
      <w:pPr>
        <w:ind w:left="6936" w:hanging="480"/>
      </w:pPr>
    </w:lvl>
    <w:lvl w:ilvl="5" w:tplc="0409001B" w:tentative="1">
      <w:start w:val="1"/>
      <w:numFmt w:val="lowerRoman"/>
      <w:lvlText w:val="%6."/>
      <w:lvlJc w:val="right"/>
      <w:pPr>
        <w:ind w:left="7416" w:hanging="480"/>
      </w:pPr>
    </w:lvl>
    <w:lvl w:ilvl="6" w:tplc="0409000F" w:tentative="1">
      <w:start w:val="1"/>
      <w:numFmt w:val="decimal"/>
      <w:lvlText w:val="%7."/>
      <w:lvlJc w:val="left"/>
      <w:pPr>
        <w:ind w:left="7896" w:hanging="480"/>
      </w:pPr>
    </w:lvl>
    <w:lvl w:ilvl="7" w:tplc="04090019" w:tentative="1">
      <w:start w:val="1"/>
      <w:numFmt w:val="lowerLetter"/>
      <w:lvlText w:val="%8)"/>
      <w:lvlJc w:val="left"/>
      <w:pPr>
        <w:ind w:left="8376" w:hanging="480"/>
      </w:pPr>
    </w:lvl>
    <w:lvl w:ilvl="8" w:tplc="0409001B" w:tentative="1">
      <w:start w:val="1"/>
      <w:numFmt w:val="lowerRoman"/>
      <w:lvlText w:val="%9."/>
      <w:lvlJc w:val="right"/>
      <w:pPr>
        <w:ind w:left="8856" w:hanging="4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420"/>
  <w:drawingGridVerticalSpacing w:val="200"/>
  <w:displayHorizontalDrawingGridEvery w:val="0"/>
  <w:displayVerticalDrawingGridEvery w:val="2"/>
  <w:characterSpacingControl w:val="compressPunctuation"/>
  <w:savePreviewPicture/>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491E"/>
    <w:rsid w:val="00044E47"/>
    <w:rsid w:val="0006247E"/>
    <w:rsid w:val="000E75EB"/>
    <w:rsid w:val="001355FB"/>
    <w:rsid w:val="00150E60"/>
    <w:rsid w:val="00215B27"/>
    <w:rsid w:val="00257E92"/>
    <w:rsid w:val="002603B5"/>
    <w:rsid w:val="002D5F00"/>
    <w:rsid w:val="00414F87"/>
    <w:rsid w:val="004222BE"/>
    <w:rsid w:val="00441BCE"/>
    <w:rsid w:val="00464149"/>
    <w:rsid w:val="004B0734"/>
    <w:rsid w:val="004F75B8"/>
    <w:rsid w:val="00504D2A"/>
    <w:rsid w:val="005165F0"/>
    <w:rsid w:val="005659AF"/>
    <w:rsid w:val="00595568"/>
    <w:rsid w:val="005A07A6"/>
    <w:rsid w:val="00676169"/>
    <w:rsid w:val="00701F8A"/>
    <w:rsid w:val="00766D09"/>
    <w:rsid w:val="007A5655"/>
    <w:rsid w:val="007A675A"/>
    <w:rsid w:val="00805672"/>
    <w:rsid w:val="008442C9"/>
    <w:rsid w:val="00863A62"/>
    <w:rsid w:val="009148AB"/>
    <w:rsid w:val="00952079"/>
    <w:rsid w:val="009F1455"/>
    <w:rsid w:val="00AB26F9"/>
    <w:rsid w:val="00AC3FA2"/>
    <w:rsid w:val="00AD311E"/>
    <w:rsid w:val="00B8491E"/>
    <w:rsid w:val="00BD4727"/>
    <w:rsid w:val="00C0361A"/>
    <w:rsid w:val="00C42547"/>
    <w:rsid w:val="00C7710A"/>
    <w:rsid w:val="00CE74BE"/>
    <w:rsid w:val="00D3617B"/>
    <w:rsid w:val="00D424F3"/>
    <w:rsid w:val="00D751F1"/>
    <w:rsid w:val="00DA4D48"/>
    <w:rsid w:val="00DA643B"/>
    <w:rsid w:val="00EE0F9B"/>
    <w:rsid w:val="00EE2BCA"/>
    <w:rsid w:val="00F361D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2FBD1E"/>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4"/>
        <w:szCs w:val="24"/>
        <w:lang w:val="en-US" w:eastAsia="zh-CN"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a">
    <w:name w:val="Normal"/>
    <w:qFormat/>
    <w:rsid w:val="00F361D4"/>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F361D4"/>
    <w:pPr>
      <w:pBdr>
        <w:bottom w:val="single" w:sz="6" w:space="1" w:color="auto"/>
      </w:pBdr>
      <w:tabs>
        <w:tab w:val="center" w:pos="4153"/>
        <w:tab w:val="right" w:pos="8306"/>
      </w:tabs>
      <w:snapToGrid w:val="0"/>
      <w:jc w:val="center"/>
    </w:pPr>
    <w:rPr>
      <w:sz w:val="18"/>
      <w:szCs w:val="18"/>
    </w:rPr>
  </w:style>
  <w:style w:type="character" w:customStyle="1" w:styleId="a4">
    <w:name w:val="页眉字符"/>
    <w:basedOn w:val="a0"/>
    <w:link w:val="a3"/>
    <w:uiPriority w:val="99"/>
    <w:rsid w:val="00F361D4"/>
    <w:rPr>
      <w:sz w:val="18"/>
      <w:szCs w:val="18"/>
    </w:rPr>
  </w:style>
  <w:style w:type="paragraph" w:styleId="a5">
    <w:name w:val="footer"/>
    <w:basedOn w:val="a"/>
    <w:link w:val="a6"/>
    <w:uiPriority w:val="99"/>
    <w:unhideWhenUsed/>
    <w:rsid w:val="00F361D4"/>
    <w:pPr>
      <w:tabs>
        <w:tab w:val="center" w:pos="4153"/>
        <w:tab w:val="right" w:pos="8306"/>
      </w:tabs>
      <w:snapToGrid w:val="0"/>
      <w:jc w:val="left"/>
    </w:pPr>
    <w:rPr>
      <w:sz w:val="18"/>
      <w:szCs w:val="18"/>
    </w:rPr>
  </w:style>
  <w:style w:type="character" w:customStyle="1" w:styleId="a6">
    <w:name w:val="页脚字符"/>
    <w:basedOn w:val="a0"/>
    <w:link w:val="a5"/>
    <w:uiPriority w:val="99"/>
    <w:rsid w:val="00F361D4"/>
    <w:rPr>
      <w:sz w:val="18"/>
      <w:szCs w:val="18"/>
    </w:rPr>
  </w:style>
  <w:style w:type="paragraph" w:styleId="a7">
    <w:name w:val="List Paragraph"/>
    <w:basedOn w:val="a"/>
    <w:uiPriority w:val="34"/>
    <w:qFormat/>
    <w:rsid w:val="00AD311E"/>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pixelsPerInch w:val="96"/>
</w:webSettings>
</file>

<file path=word/_rels/document.xml.rels><?xml version="1.0" encoding="UTF-8" standalone="yes"?>
<Relationships xmlns="http://schemas.openxmlformats.org/package/2006/relationships"><Relationship Id="rId11" Type="http://schemas.openxmlformats.org/officeDocument/2006/relationships/image" Target="media/image5.jpeg"/><Relationship Id="rId12" Type="http://schemas.openxmlformats.org/officeDocument/2006/relationships/image" Target="media/image6.jpeg"/><Relationship Id="rId13" Type="http://schemas.openxmlformats.org/officeDocument/2006/relationships/image" Target="media/image7.png"/><Relationship Id="rId14" Type="http://schemas.openxmlformats.org/officeDocument/2006/relationships/image" Target="media/image8.png"/><Relationship Id="rId15" Type="http://schemas.openxmlformats.org/officeDocument/2006/relationships/image" Target="media/image9.png"/><Relationship Id="rId16" Type="http://schemas.openxmlformats.org/officeDocument/2006/relationships/image" Target="media/image10.png"/><Relationship Id="rId17" Type="http://schemas.openxmlformats.org/officeDocument/2006/relationships/header" Target="header1.xml"/><Relationship Id="rId18" Type="http://schemas.openxmlformats.org/officeDocument/2006/relationships/fontTable" Target="fontTable.xml"/><Relationship Id="rId19"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otnotes" Target="footnotes.xml"/><Relationship Id="rId6" Type="http://schemas.openxmlformats.org/officeDocument/2006/relationships/endnotes" Target="endnotes.xml"/><Relationship Id="rId7" Type="http://schemas.openxmlformats.org/officeDocument/2006/relationships/image" Target="media/image1.png"/><Relationship Id="rId8" Type="http://schemas.openxmlformats.org/officeDocument/2006/relationships/image" Target="media/image2.jpeg"/><Relationship Id="rId9" Type="http://schemas.openxmlformats.org/officeDocument/2006/relationships/image" Target="media/image3.png"/><Relationship Id="rId10"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1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DengXian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DengXian"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80</TotalTime>
  <Pages>6</Pages>
  <Words>400</Words>
  <Characters>2285</Characters>
  <Application>Microsoft Macintosh Word</Application>
  <DocSecurity>0</DocSecurity>
  <Lines>19</Lines>
  <Paragraphs>5</Paragraphs>
  <ScaleCrop>false</ScaleCrop>
  <HeadingPairs>
    <vt:vector size="4" baseType="variant">
      <vt:variant>
        <vt:lpstr>标题</vt:lpstr>
      </vt:variant>
      <vt:variant>
        <vt:i4>1</vt:i4>
      </vt:variant>
      <vt:variant>
        <vt:lpstr>Headings</vt:lpstr>
      </vt:variant>
      <vt:variant>
        <vt:i4>3</vt:i4>
      </vt:variant>
    </vt:vector>
  </HeadingPairs>
  <TitlesOfParts>
    <vt:vector size="4" baseType="lpstr">
      <vt:lpstr/>
      <vt:lpstr/>
      <vt:lpstr>首頁入口（導航欄按鈕、Banner）</vt:lpstr>
      <vt:lpstr>持倉股入口</vt:lpstr>
    </vt:vector>
  </TitlesOfParts>
  <LinksUpToDate>false</LinksUpToDate>
  <CharactersWithSpaces>2680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dc:creator>
  <cp:keywords/>
  <dc:description/>
  <cp:lastModifiedBy>Microsoft Office</cp:lastModifiedBy>
  <cp:revision>15</cp:revision>
  <dcterms:created xsi:type="dcterms:W3CDTF">2018-02-09T06:56:00Z</dcterms:created>
  <dcterms:modified xsi:type="dcterms:W3CDTF">2018-02-26T03:41:00Z</dcterms:modified>
</cp:coreProperties>
</file>