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ind w:firstLine="2760"/>
        <w:contextualSpacing w:val="0"/>
        <w:rPr>
          <w:rFonts w:ascii="SimSun" w:cs="SimSun" w:eastAsia="SimSun" w:hAnsi="SimSun"/>
          <w:b w:val="1"/>
          <w:sz w:val="32"/>
          <w:szCs w:val="32"/>
        </w:rPr>
      </w:pPr>
      <w:bookmarkStart w:colFirst="0" w:colLast="0" w:name="_gjdgxs" w:id="0"/>
      <w:bookmarkEnd w:id="0"/>
      <w:r w:rsidDel="00000000" w:rsidR="00000000" w:rsidRPr="00000000">
        <w:rPr>
          <w:rFonts w:ascii="SimSun" w:cs="SimSun" w:eastAsia="SimSun" w:hAnsi="SimSun"/>
          <w:b w:val="1"/>
          <w:sz w:val="32"/>
          <w:szCs w:val="32"/>
          <w:rtl w:val="0"/>
        </w:rPr>
        <w:t xml:space="preserve">交银国际客户会议交流</w:t>
      </w:r>
    </w:p>
    <w:p w:rsidR="00000000" w:rsidDel="00000000" w:rsidP="00000000" w:rsidRDefault="00000000" w:rsidRPr="00000000" w14:paraId="00000001">
      <w:pPr>
        <w:contextualSpacing w:val="0"/>
        <w:rPr>
          <w:rFonts w:ascii="SimSun" w:cs="SimSun" w:eastAsia="SimSun" w:hAnsi="SimSun"/>
          <w:b w:val="1"/>
        </w:rPr>
      </w:pPr>
      <w:r w:rsidDel="00000000" w:rsidR="00000000" w:rsidRPr="00000000">
        <w:rPr>
          <w:rFonts w:ascii="SimSun" w:cs="SimSun" w:eastAsia="SimSun" w:hAnsi="SimSun"/>
          <w:b w:val="1"/>
          <w:rtl w:val="0"/>
        </w:rPr>
        <w:t xml:space="preserve">一、客户基本情况：</w:t>
      </w:r>
    </w:p>
    <w:p w:rsidR="00000000" w:rsidDel="00000000" w:rsidP="00000000" w:rsidRDefault="00000000" w:rsidRPr="00000000" w14:paraId="00000002">
      <w:pPr>
        <w:widowControl w:val="1"/>
        <w:ind w:firstLine="480"/>
        <w:contextualSpacing w:val="0"/>
        <w:jc w:val="left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简介：银行系券商第一股，成立于1998年，是香港最早具中资背景的持牌证券公司之一，2017年5月19日在港交所主板上市</w:t>
      </w:r>
    </w:p>
    <w:p w:rsidR="00000000" w:rsidDel="00000000" w:rsidP="00000000" w:rsidRDefault="00000000" w:rsidRPr="00000000" w14:paraId="00000003">
      <w:pPr>
        <w:widowControl w:val="1"/>
        <w:ind w:firstLine="480"/>
        <w:contextualSpacing w:val="0"/>
        <w:jc w:val="left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财务状况：2016年营收10.53亿，其中手续费和佣金收入4.87亿，投资收益1.70亿，净利润3.5亿（单位：港币）</w:t>
      </w:r>
    </w:p>
    <w:p w:rsidR="00000000" w:rsidDel="00000000" w:rsidP="00000000" w:rsidRDefault="00000000" w:rsidRPr="00000000" w14:paraId="00000004">
      <w:pPr>
        <w:ind w:firstLine="480"/>
        <w:contextualSpacing w:val="0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主要业务：</w:t>
      </w:r>
      <w:r w:rsidDel="00000000" w:rsidR="00000000" w:rsidRPr="00000000">
        <w:rPr>
          <w:rFonts w:ascii="SimSun" w:cs="SimSun" w:eastAsia="SimSun" w:hAnsi="SimSun"/>
          <w:color w:val="ff0000"/>
          <w:rtl w:val="0"/>
        </w:rPr>
        <w:t xml:space="preserve">证券经纪及保证金融资</w:t>
      </w:r>
      <w:r w:rsidDel="00000000" w:rsidR="00000000" w:rsidRPr="00000000">
        <w:rPr>
          <w:rFonts w:ascii="SimSun" w:cs="SimSun" w:eastAsia="SimSun" w:hAnsi="SimSun"/>
          <w:rtl w:val="0"/>
        </w:rPr>
        <w:t xml:space="preserve">，企业融资及承销，投资及贷款，</w:t>
      </w:r>
      <w:r w:rsidDel="00000000" w:rsidR="00000000" w:rsidRPr="00000000">
        <w:rPr>
          <w:rFonts w:ascii="SimSun" w:cs="SimSun" w:eastAsia="SimSun" w:hAnsi="SimSun"/>
          <w:color w:val="ff0000"/>
          <w:rtl w:val="0"/>
        </w:rPr>
        <w:t xml:space="preserve">资产管理及顾问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480"/>
        <w:contextualSpacing w:val="0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参会人员：席绚桦（副首席执行官）、陆文豪（助理副总裁、资讯科技部）、李伟壮（执行董事、证券业务）、黄育敏（董事、资讯科技部联席主席）、Rachel潘（量化交易员）</w:t>
      </w:r>
    </w:p>
    <w:p w:rsidR="00000000" w:rsidDel="00000000" w:rsidP="00000000" w:rsidRDefault="00000000" w:rsidRPr="00000000" w14:paraId="00000006">
      <w:pPr>
        <w:contextualSpacing w:val="0"/>
        <w:rPr>
          <w:rFonts w:ascii="SimSun" w:cs="SimSun" w:eastAsia="SimSun" w:hAnsi="SimSun"/>
          <w:b w:val="1"/>
        </w:rPr>
      </w:pPr>
      <w:r w:rsidDel="00000000" w:rsidR="00000000" w:rsidRPr="00000000">
        <w:rPr>
          <w:rFonts w:ascii="SimSun" w:cs="SimSun" w:eastAsia="SimSun" w:hAnsi="SimSun"/>
          <w:b w:val="1"/>
          <w:rtl w:val="0"/>
        </w:rPr>
        <w:t xml:space="preserve">二、客户需求：</w:t>
      </w:r>
    </w:p>
    <w:p w:rsidR="00000000" w:rsidDel="00000000" w:rsidP="00000000" w:rsidRDefault="00000000" w:rsidRPr="00000000" w14:paraId="00000007">
      <w:pPr>
        <w:ind w:firstLine="600"/>
        <w:contextualSpacing w:val="0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功能需求：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360"/>
        <w:contextualSpacing w:val="0"/>
        <w:jc w:val="both"/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证券经纪：目前香港券商App同质化，希望借力FDT-AI的智能金融科技服务优化用户体验，提高投资者交易活跃度</w:t>
      </w:r>
    </w:p>
    <w:p w:rsidR="00000000" w:rsidDel="00000000" w:rsidP="00000000" w:rsidRDefault="00000000" w:rsidRPr="00000000" w14:paraId="00000009">
      <w:pPr>
        <w:ind w:left="960" w:firstLine="0"/>
        <w:contextualSpacing w:val="0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期望功能点：风格偏娱乐化、资讯个性化推荐、用户奖励机制</w:t>
      </w:r>
    </w:p>
    <w:p w:rsidR="00000000" w:rsidDel="00000000" w:rsidP="00000000" w:rsidRDefault="00000000" w:rsidRPr="00000000" w14:paraId="0000000A">
      <w:pPr>
        <w:ind w:firstLine="600"/>
        <w:contextualSpacing w:val="0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2、资产管理及顾问：目前该团队使用单一指标、Excel表格进行人工进行管控和绩效分析，希望提高交易员交易效率，优化交易管控方式和绩效评估方式</w:t>
      </w:r>
    </w:p>
    <w:p w:rsidR="00000000" w:rsidDel="00000000" w:rsidP="00000000" w:rsidRDefault="00000000" w:rsidRPr="00000000" w14:paraId="0000000B">
      <w:pPr>
        <w:ind w:firstLine="600"/>
        <w:contextualSpacing w:val="0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上线时间：</w:t>
      </w:r>
    </w:p>
    <w:p w:rsidR="00000000" w:rsidDel="00000000" w:rsidP="00000000" w:rsidRDefault="00000000" w:rsidRPr="00000000" w14:paraId="0000000C">
      <w:pPr>
        <w:ind w:firstLine="600"/>
        <w:contextualSpacing w:val="0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针对散户的投研服务功能于2018年第二季度在手机端实现功能上线</w:t>
      </w:r>
    </w:p>
    <w:p w:rsidR="00000000" w:rsidDel="00000000" w:rsidP="00000000" w:rsidRDefault="00000000" w:rsidRPr="00000000" w14:paraId="0000000D">
      <w:pPr>
        <w:ind w:firstLine="600"/>
        <w:contextualSpacing w:val="0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合作方式：</w:t>
      </w:r>
    </w:p>
    <w:p w:rsidR="00000000" w:rsidDel="00000000" w:rsidP="00000000" w:rsidRDefault="00000000" w:rsidRPr="00000000" w14:paraId="0000000E">
      <w:pPr>
        <w:ind w:firstLine="600"/>
        <w:contextualSpacing w:val="0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IP共享、定制开发</w:t>
      </w:r>
    </w:p>
    <w:p w:rsidR="00000000" w:rsidDel="00000000" w:rsidP="00000000" w:rsidRDefault="00000000" w:rsidRPr="00000000" w14:paraId="0000000F">
      <w:pPr>
        <w:contextualSpacing w:val="0"/>
        <w:rPr>
          <w:rFonts w:ascii="SimSun" w:cs="SimSun" w:eastAsia="SimSun" w:hAnsi="SimSun"/>
          <w:b w:val="1"/>
        </w:rPr>
      </w:pPr>
      <w:r w:rsidDel="00000000" w:rsidR="00000000" w:rsidRPr="00000000">
        <w:rPr>
          <w:rFonts w:ascii="SimSun" w:cs="SimSun" w:eastAsia="SimSun" w:hAnsi="SimSun"/>
          <w:b w:val="1"/>
          <w:rtl w:val="0"/>
        </w:rPr>
        <w:t xml:space="preserve">三、用户疑问及关注点</w:t>
      </w:r>
    </w:p>
    <w:p w:rsidR="00000000" w:rsidDel="00000000" w:rsidP="00000000" w:rsidRDefault="00000000" w:rsidRPr="00000000" w14:paraId="00000010">
      <w:pPr>
        <w:ind w:firstLine="600"/>
        <w:contextualSpacing w:val="0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1、交易信号判断：</w:t>
      </w:r>
    </w:p>
    <w:p w:rsidR="00000000" w:rsidDel="00000000" w:rsidP="00000000" w:rsidRDefault="00000000" w:rsidRPr="00000000" w14:paraId="00000011">
      <w:pPr>
        <w:ind w:firstLine="600"/>
        <w:contextualSpacing w:val="0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港股与A股的差异（如跳空现象较多，影响技术分析的判断），智能投研能否像A股一样实现港股的功能实现</w:t>
      </w:r>
    </w:p>
    <w:p w:rsidR="00000000" w:rsidDel="00000000" w:rsidP="00000000" w:rsidRDefault="00000000" w:rsidRPr="00000000" w14:paraId="00000012">
      <w:pPr>
        <w:ind w:firstLine="600"/>
        <w:contextualSpacing w:val="0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通过高纬度交易信号判断的准确率回测</w:t>
      </w:r>
    </w:p>
    <w:p w:rsidR="00000000" w:rsidDel="00000000" w:rsidP="00000000" w:rsidRDefault="00000000" w:rsidRPr="00000000" w14:paraId="00000013">
      <w:pPr>
        <w:ind w:firstLine="600"/>
        <w:contextualSpacing w:val="0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2、数据处理：</w:t>
      </w:r>
    </w:p>
    <w:p w:rsidR="00000000" w:rsidDel="00000000" w:rsidP="00000000" w:rsidRDefault="00000000" w:rsidRPr="00000000" w14:paraId="00000014">
      <w:pPr>
        <w:ind w:firstLine="600"/>
        <w:contextualSpacing w:val="0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港股数据源（行情数据、资讯数据来源）、数据对接（智能投研所需要用到的交银国际数据清单、后台数据对接）</w:t>
      </w:r>
    </w:p>
    <w:sectPr>
      <w:pgSz w:h="16840" w:w="11900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Georgia"/>
  <w:font w:name="SimSun"/>
  <w:font w:name="DengXi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、"/>
      <w:lvlJc w:val="left"/>
      <w:pPr>
        <w:ind w:left="960" w:hanging="360"/>
      </w:pPr>
      <w:rPr/>
    </w:lvl>
    <w:lvl w:ilvl="1">
      <w:start w:val="1"/>
      <w:numFmt w:val="lowerLetter"/>
      <w:lvlText w:val="%2)"/>
      <w:lvlJc w:val="left"/>
      <w:pPr>
        <w:ind w:left="1560" w:hanging="480"/>
      </w:pPr>
      <w:rPr/>
    </w:lvl>
    <w:lvl w:ilvl="2">
      <w:start w:val="1"/>
      <w:numFmt w:val="lowerRoman"/>
      <w:lvlText w:val="%3."/>
      <w:lvlJc w:val="right"/>
      <w:pPr>
        <w:ind w:left="2040" w:hanging="480"/>
      </w:pPr>
      <w:rPr/>
    </w:lvl>
    <w:lvl w:ilvl="3">
      <w:start w:val="1"/>
      <w:numFmt w:val="decimal"/>
      <w:lvlText w:val="%4."/>
      <w:lvlJc w:val="left"/>
      <w:pPr>
        <w:ind w:left="2520" w:hanging="480"/>
      </w:pPr>
      <w:rPr/>
    </w:lvl>
    <w:lvl w:ilvl="4">
      <w:start w:val="1"/>
      <w:numFmt w:val="lowerLetter"/>
      <w:lvlText w:val="%5)"/>
      <w:lvlJc w:val="left"/>
      <w:pPr>
        <w:ind w:left="3000" w:hanging="480"/>
      </w:pPr>
      <w:rPr/>
    </w:lvl>
    <w:lvl w:ilvl="5">
      <w:start w:val="1"/>
      <w:numFmt w:val="lowerRoman"/>
      <w:lvlText w:val="%6."/>
      <w:lvlJc w:val="right"/>
      <w:pPr>
        <w:ind w:left="3480" w:hanging="480"/>
      </w:pPr>
      <w:rPr/>
    </w:lvl>
    <w:lvl w:ilvl="6">
      <w:start w:val="1"/>
      <w:numFmt w:val="decimal"/>
      <w:lvlText w:val="%7."/>
      <w:lvlJc w:val="left"/>
      <w:pPr>
        <w:ind w:left="3960" w:hanging="480"/>
      </w:pPr>
      <w:rPr/>
    </w:lvl>
    <w:lvl w:ilvl="7">
      <w:start w:val="1"/>
      <w:numFmt w:val="lowerLetter"/>
      <w:lvlText w:val="%8)"/>
      <w:lvlJc w:val="left"/>
      <w:pPr>
        <w:ind w:left="4440" w:hanging="480"/>
      </w:pPr>
      <w:rPr/>
    </w:lvl>
    <w:lvl w:ilvl="8">
      <w:start w:val="1"/>
      <w:numFmt w:val="lowerRoman"/>
      <w:lvlText w:val="%9."/>
      <w:lvlJc w:val="right"/>
      <w:pPr>
        <w:ind w:left="492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DengXian" w:cs="DengXian" w:eastAsia="DengXian" w:hAnsi="DengXian"/>
        <w:sz w:val="24"/>
        <w:szCs w:val="24"/>
        <w:lang w:val="en-U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widowControl w:val="1"/>
      <w:spacing w:after="100" w:before="100" w:lineRule="auto"/>
      <w:jc w:val="left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