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0B97BBAC" w:rsidR="00A05741" w:rsidRDefault="00AF089A">
      <w:pPr>
        <w:widowControl/>
        <w:spacing w:line="360" w:lineRule="auto"/>
        <w:jc w:val="center"/>
        <w:rPr>
          <w:rFonts w:ascii="ڌ墍" w:eastAsia="ڌ墍" w:hAnsi="SimSun" w:cs="SimSun"/>
          <w:color w:val="000000"/>
          <w:kern w:val="0"/>
          <w:sz w:val="36"/>
          <w:szCs w:val="36"/>
        </w:rPr>
      </w:pPr>
      <w:r w:rsidRPr="0047658D">
        <w:rPr>
          <w:rFonts w:ascii="ڌ墍" w:eastAsia="新細明體" w:hAnsi="SimSun" w:cs="SimSun"/>
          <w:color w:val="000000"/>
          <w:kern w:val="0"/>
          <w:sz w:val="36"/>
          <w:szCs w:val="36"/>
          <w:lang w:eastAsia="zh-TW"/>
        </w:rPr>
        <w:t xml:space="preserve"> </w:t>
      </w:r>
      <w:r w:rsidR="0076624D">
        <w:rPr>
          <w:rFonts w:ascii="ڌ墍" w:eastAsia="新細明體" w:hAnsi="SimSun" w:cs="SimSun" w:hint="eastAsia"/>
          <w:color w:val="000000"/>
          <w:kern w:val="0"/>
          <w:sz w:val="36"/>
          <w:szCs w:val="36"/>
        </w:rPr>
        <w:t>軟件服務採購協議</w:t>
      </w:r>
    </w:p>
    <w:p w14:paraId="2CE88AA1" w14:textId="77777777" w:rsidR="00A05741" w:rsidRDefault="00A05741">
      <w:pPr>
        <w:spacing w:line="360" w:lineRule="auto"/>
        <w:rPr>
          <w:color w:val="444444"/>
          <w:szCs w:val="21"/>
          <w:lang w:eastAsia="zh-TW"/>
        </w:rPr>
      </w:pPr>
    </w:p>
    <w:p w14:paraId="701B0FD0" w14:textId="03424A63" w:rsidR="00A05741" w:rsidRDefault="00AF089A">
      <w:pPr>
        <w:spacing w:line="360" w:lineRule="auto"/>
        <w:rPr>
          <w:color w:val="444444"/>
          <w:szCs w:val="21"/>
          <w:u w:val="single"/>
          <w:lang w:eastAsia="zh-TW"/>
        </w:rPr>
      </w:pPr>
      <w:r w:rsidRPr="0047658D">
        <w:rPr>
          <w:rFonts w:eastAsia="新細明體" w:hint="eastAsia"/>
          <w:color w:val="444444"/>
          <w:szCs w:val="21"/>
          <w:lang w:eastAsia="zh-TW"/>
        </w:rPr>
        <w:t>甲方：</w:t>
      </w:r>
      <w:r w:rsidRPr="0047658D">
        <w:rPr>
          <w:rFonts w:eastAsia="新細明體" w:hint="eastAsia"/>
          <w:color w:val="444444"/>
          <w:szCs w:val="21"/>
          <w:u w:val="single"/>
          <w:lang w:eastAsia="zh-TW"/>
        </w:rPr>
        <w:t>交銀國際控股有限公司</w:t>
      </w:r>
    </w:p>
    <w:p w14:paraId="593A89C9" w14:textId="212C7602" w:rsidR="00A05741" w:rsidRDefault="00AF089A">
      <w:pPr>
        <w:spacing w:line="360" w:lineRule="auto"/>
        <w:rPr>
          <w:color w:val="444444"/>
          <w:szCs w:val="21"/>
        </w:rPr>
      </w:pPr>
      <w:r w:rsidRPr="0047658D">
        <w:rPr>
          <w:rFonts w:eastAsia="新細明體" w:hint="eastAsia"/>
          <w:color w:val="444444"/>
          <w:szCs w:val="21"/>
          <w:lang w:eastAsia="zh-TW"/>
        </w:rPr>
        <w:t>乙方：</w:t>
      </w:r>
      <w:r w:rsidRPr="0047658D">
        <w:rPr>
          <w:rFonts w:eastAsia="新細明體" w:hint="eastAsia"/>
          <w:color w:val="444444"/>
          <w:szCs w:val="21"/>
          <w:u w:val="single"/>
          <w:lang w:eastAsia="zh-TW"/>
        </w:rPr>
        <w:t>香港</w:t>
      </w:r>
      <w:r w:rsidR="0047658D" w:rsidRPr="0047658D">
        <w:rPr>
          <w:rFonts w:eastAsia="新細明體" w:hint="eastAsia"/>
          <w:color w:val="444444"/>
          <w:szCs w:val="21"/>
          <w:u w:val="single"/>
          <w:lang w:eastAsia="zh-TW"/>
        </w:rPr>
        <w:t>智</w:t>
      </w:r>
      <w:r w:rsidR="00B56D06">
        <w:rPr>
          <w:rFonts w:eastAsia="新細明體" w:hint="eastAsia"/>
          <w:color w:val="444444"/>
          <w:szCs w:val="21"/>
          <w:u w:val="single"/>
          <w:lang w:eastAsia="zh-TW"/>
        </w:rPr>
        <w:t>能</w:t>
      </w:r>
      <w:r w:rsidR="0047658D" w:rsidRPr="0047658D">
        <w:rPr>
          <w:rFonts w:eastAsia="新細明體" w:hint="eastAsia"/>
          <w:color w:val="444444"/>
          <w:szCs w:val="21"/>
          <w:u w:val="single"/>
          <w:lang w:eastAsia="zh-TW"/>
        </w:rPr>
        <w:t>金融科技有限公司</w:t>
      </w:r>
      <w:r>
        <w:rPr>
          <w:rFonts w:eastAsia="新細明體" w:hint="eastAsia"/>
          <w:color w:val="444444"/>
          <w:szCs w:val="21"/>
          <w:u w:val="single"/>
          <w:lang w:eastAsia="zh-TW"/>
        </w:rPr>
        <w:t>（</w:t>
      </w:r>
      <w:r>
        <w:rPr>
          <w:rFonts w:eastAsia="新細明體"/>
          <w:color w:val="444444"/>
          <w:szCs w:val="21"/>
          <w:u w:val="single"/>
          <w:lang w:eastAsia="zh-TW"/>
        </w:rPr>
        <w:t>FDT AI Limited</w:t>
      </w:r>
      <w:r>
        <w:rPr>
          <w:rFonts w:eastAsia="新細明體" w:hint="eastAsia"/>
          <w:color w:val="444444"/>
          <w:szCs w:val="21"/>
          <w:u w:val="single"/>
          <w:lang w:eastAsia="zh-TW"/>
        </w:rPr>
        <w:t>）</w:t>
      </w:r>
      <w:r w:rsidR="00496612">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3DCCDA5D" w:rsidR="009D06E7" w:rsidRDefault="00AF089A">
      <w:pPr>
        <w:spacing w:line="360" w:lineRule="auto"/>
        <w:rPr>
          <w:color w:val="444444"/>
          <w:szCs w:val="21"/>
        </w:rPr>
      </w:pPr>
      <w:r w:rsidRPr="0047658D">
        <w:rPr>
          <w:rFonts w:eastAsia="新細明體" w:hint="eastAsia"/>
          <w:color w:val="444444"/>
          <w:szCs w:val="21"/>
          <w:lang w:eastAsia="zh-TW"/>
        </w:rPr>
        <w:t>交銀國際控股有限公司（</w:t>
      </w:r>
      <w:r w:rsidRPr="0047658D">
        <w:rPr>
          <w:rFonts w:eastAsia="新細明體"/>
          <w:color w:val="444444"/>
          <w:szCs w:val="21"/>
          <w:lang w:eastAsia="zh-TW"/>
        </w:rPr>
        <w:t>BOCOM International Holdings Company Ltd.,</w:t>
      </w:r>
      <w:r w:rsidRPr="0047658D">
        <w:rPr>
          <w:rFonts w:eastAsia="新細明體" w:hint="eastAsia"/>
          <w:color w:val="444444"/>
          <w:szCs w:val="21"/>
          <w:lang w:eastAsia="zh-TW"/>
        </w:rPr>
        <w:t>），以下簡稱交銀國際。</w:t>
      </w:r>
    </w:p>
    <w:p w14:paraId="6EC18871" w14:textId="76E1FF98" w:rsidR="009D06E7" w:rsidRDefault="00AF089A">
      <w:pPr>
        <w:spacing w:line="360" w:lineRule="auto"/>
        <w:rPr>
          <w:color w:val="444444"/>
          <w:szCs w:val="21"/>
        </w:rPr>
      </w:pPr>
      <w:r w:rsidRPr="0047658D">
        <w:rPr>
          <w:rFonts w:eastAsia="新細明體" w:hint="eastAsia"/>
          <w:color w:val="444444"/>
          <w:szCs w:val="21"/>
          <w:lang w:eastAsia="zh-TW"/>
        </w:rPr>
        <w:t>香港</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），以下簡稱</w:t>
      </w:r>
      <w:r w:rsidRPr="0047658D">
        <w:rPr>
          <w:rFonts w:eastAsia="新細明體"/>
          <w:color w:val="444444"/>
          <w:szCs w:val="21"/>
          <w:lang w:eastAsia="zh-TW"/>
        </w:rPr>
        <w:t>FDT-AI</w:t>
      </w:r>
      <w:r w:rsidRPr="0047658D">
        <w:rPr>
          <w:rFonts w:eastAsia="新細明體" w:hint="eastAsia"/>
          <w:color w:val="444444"/>
          <w:szCs w:val="21"/>
          <w:lang w:eastAsia="zh-TW"/>
        </w:rPr>
        <w:t>。</w:t>
      </w:r>
    </w:p>
    <w:p w14:paraId="3EB6268B" w14:textId="3FE3AC1B" w:rsidR="00A05741" w:rsidRDefault="00AF089A">
      <w:pPr>
        <w:spacing w:line="360" w:lineRule="auto"/>
        <w:rPr>
          <w:color w:val="444444"/>
          <w:szCs w:val="21"/>
        </w:rPr>
      </w:pPr>
      <w:r w:rsidRPr="0047658D">
        <w:rPr>
          <w:rFonts w:eastAsia="新細明體" w:hint="eastAsia"/>
          <w:color w:val="444444"/>
          <w:szCs w:val="21"/>
          <w:lang w:eastAsia="zh-TW"/>
        </w:rPr>
        <w:t>甲方和乙方以下單獨稱為</w:t>
      </w:r>
      <w:r w:rsidRPr="0047658D">
        <w:rPr>
          <w:rFonts w:eastAsia="新細明體"/>
          <w:color w:val="444444"/>
          <w:szCs w:val="21"/>
          <w:lang w:eastAsia="zh-TW"/>
        </w:rPr>
        <w:t>“</w:t>
      </w:r>
      <w:r w:rsidRPr="0047658D">
        <w:rPr>
          <w:rFonts w:eastAsia="新細明體" w:hint="eastAsia"/>
          <w:color w:val="444444"/>
          <w:szCs w:val="21"/>
          <w:lang w:eastAsia="zh-TW"/>
        </w:rPr>
        <w:t>一方</w:t>
      </w:r>
      <w:r w:rsidRPr="0047658D">
        <w:rPr>
          <w:rFonts w:eastAsia="新細明體"/>
          <w:color w:val="444444"/>
          <w:szCs w:val="21"/>
          <w:lang w:eastAsia="zh-TW"/>
        </w:rPr>
        <w:t>”</w:t>
      </w:r>
      <w:r w:rsidRPr="0047658D">
        <w:rPr>
          <w:rFonts w:eastAsia="新細明體" w:hint="eastAsia"/>
          <w:color w:val="444444"/>
          <w:szCs w:val="21"/>
          <w:lang w:eastAsia="zh-TW"/>
        </w:rPr>
        <w:t>，合稱為</w:t>
      </w:r>
      <w:r w:rsidRPr="0047658D">
        <w:rPr>
          <w:rFonts w:eastAsia="新細明體"/>
          <w:color w:val="444444"/>
          <w:szCs w:val="21"/>
          <w:lang w:eastAsia="zh-TW"/>
        </w:rPr>
        <w:t>“</w:t>
      </w:r>
      <w:r w:rsidRPr="0047658D">
        <w:rPr>
          <w:rFonts w:eastAsia="新細明體" w:hint="eastAsia"/>
          <w:color w:val="444444"/>
          <w:szCs w:val="21"/>
          <w:lang w:eastAsia="zh-TW"/>
        </w:rPr>
        <w:t>雙方</w:t>
      </w:r>
      <w:r w:rsidRPr="0047658D">
        <w:rPr>
          <w:rFonts w:eastAsia="新細明體"/>
          <w:color w:val="444444"/>
          <w:szCs w:val="21"/>
          <w:lang w:eastAsia="zh-TW"/>
        </w:rPr>
        <w:t>”</w:t>
      </w:r>
      <w:r w:rsidRPr="0047658D">
        <w:rPr>
          <w:rFonts w:eastAsia="新細明體" w:hint="eastAsia"/>
          <w:color w:val="444444"/>
          <w:szCs w:val="21"/>
          <w:lang w:eastAsia="zh-TW"/>
        </w:rPr>
        <w:t>。</w:t>
      </w:r>
    </w:p>
    <w:p w14:paraId="04C5DD56" w14:textId="77777777" w:rsidR="00DF49AA" w:rsidRPr="00DF49AA" w:rsidRDefault="00DF49AA">
      <w:pPr>
        <w:spacing w:line="360" w:lineRule="auto"/>
        <w:rPr>
          <w:color w:val="444444"/>
          <w:szCs w:val="21"/>
        </w:rPr>
      </w:pPr>
    </w:p>
    <w:p w14:paraId="6CF18998" w14:textId="330B528F" w:rsidR="00A05741" w:rsidRPr="0076624D" w:rsidRDefault="0076624D">
      <w:pPr>
        <w:pStyle w:val="1"/>
        <w:numPr>
          <w:ilvl w:val="0"/>
          <w:numId w:val="7"/>
        </w:numPr>
        <w:spacing w:line="360" w:lineRule="auto"/>
        <w:ind w:firstLineChars="0"/>
        <w:rPr>
          <w:b/>
          <w:bCs/>
          <w:color w:val="444444"/>
          <w:szCs w:val="21"/>
        </w:rPr>
      </w:pPr>
      <w:r>
        <w:rPr>
          <w:rFonts w:eastAsia="新細明體" w:hint="eastAsia"/>
          <w:b/>
          <w:bCs/>
          <w:color w:val="444444"/>
          <w:szCs w:val="21"/>
          <w:lang w:eastAsia="zh-TW"/>
        </w:rPr>
        <w:t>軟件服務採購內容</w:t>
      </w:r>
    </w:p>
    <w:p w14:paraId="49BDDC97" w14:textId="77777777" w:rsidR="006E15E5" w:rsidRDefault="0076624D" w:rsidP="0076624D">
      <w:pPr>
        <w:pStyle w:val="1"/>
        <w:spacing w:line="360" w:lineRule="auto"/>
        <w:ind w:firstLineChars="0"/>
        <w:rPr>
          <w:rFonts w:eastAsia="新細明體"/>
          <w:bCs/>
          <w:color w:val="444444"/>
          <w:szCs w:val="21"/>
        </w:rPr>
      </w:pPr>
      <w:r>
        <w:rPr>
          <w:rFonts w:eastAsia="新細明體" w:hint="eastAsia"/>
          <w:bCs/>
          <w:color w:val="444444"/>
          <w:szCs w:val="21"/>
          <w:lang w:eastAsia="zh-TW"/>
        </w:rPr>
        <w:t>本協議所涉及軟件服務採購內容主要基於</w:t>
      </w:r>
      <w:r>
        <w:rPr>
          <w:rFonts w:eastAsia="新細明體" w:hint="eastAsia"/>
          <w:bCs/>
          <w:color w:val="444444"/>
          <w:szCs w:val="21"/>
        </w:rPr>
        <w:t>雙方《戰略合作協議》中第三項“合作方向”中第二類目“智能交易方面的合作”範圍內“經典形態分析及預測（技術分析類）”方向的相關產品和軟件服務。</w:t>
      </w:r>
    </w:p>
    <w:p w14:paraId="6EB78F03" w14:textId="77777777" w:rsidR="006E15E5" w:rsidRDefault="006E15E5" w:rsidP="006E15E5">
      <w:pPr>
        <w:pStyle w:val="1"/>
        <w:numPr>
          <w:ilvl w:val="3"/>
          <w:numId w:val="7"/>
        </w:numPr>
        <w:spacing w:line="360" w:lineRule="auto"/>
        <w:ind w:firstLineChars="0"/>
        <w:rPr>
          <w:rFonts w:eastAsia="新細明體"/>
          <w:bCs/>
          <w:color w:val="444444"/>
          <w:szCs w:val="21"/>
        </w:rPr>
      </w:pPr>
      <w:r>
        <w:rPr>
          <w:rFonts w:eastAsia="新細明體" w:hint="eastAsia"/>
          <w:bCs/>
          <w:color w:val="444444"/>
          <w:szCs w:val="21"/>
        </w:rPr>
        <w:t>該服務的主要功能作用是，針對目標市場的交易標的，從技術分析中的“經典形態”角度，對所有目標標的進行多個粒度的分析，在識別形態的基礎上，利用統計、機器學習等先進算法對單個或多個組合形態的在技術層面的有效性以及在交易策略方面的支撐性進行分析和預測，并提出對應的交易參考或建議。</w:t>
      </w:r>
    </w:p>
    <w:p w14:paraId="4853F8F4" w14:textId="12F66ADE" w:rsidR="0076624D" w:rsidRPr="006E15E5" w:rsidRDefault="006E15E5" w:rsidP="006E15E5">
      <w:pPr>
        <w:pStyle w:val="1"/>
        <w:numPr>
          <w:ilvl w:val="3"/>
          <w:numId w:val="7"/>
        </w:numPr>
        <w:spacing w:line="360" w:lineRule="auto"/>
        <w:ind w:firstLineChars="0"/>
        <w:rPr>
          <w:rFonts w:eastAsia="新細明體"/>
          <w:bCs/>
          <w:color w:val="444444"/>
          <w:szCs w:val="21"/>
        </w:rPr>
      </w:pPr>
      <w:r w:rsidRPr="006E15E5">
        <w:rPr>
          <w:rFonts w:eastAsia="新細明體" w:hint="eastAsia"/>
          <w:bCs/>
          <w:color w:val="444444"/>
          <w:szCs w:val="21"/>
        </w:rPr>
        <w:t>其軟件和服務內容</w:t>
      </w:r>
      <w:r w:rsidR="0076624D" w:rsidRPr="006E15E5">
        <w:rPr>
          <w:rFonts w:eastAsia="新細明體" w:hint="eastAsia"/>
          <w:bCs/>
          <w:color w:val="444444"/>
          <w:szCs w:val="21"/>
        </w:rPr>
        <w:t>具體包括：</w:t>
      </w:r>
    </w:p>
    <w:p w14:paraId="639A3C19" w14:textId="6FFA0DCB" w:rsidR="0076624D" w:rsidRPr="0076624D" w:rsidRDefault="004D50D4" w:rsidP="006E15E5">
      <w:pPr>
        <w:pStyle w:val="1"/>
        <w:numPr>
          <w:ilvl w:val="4"/>
          <w:numId w:val="7"/>
        </w:numPr>
        <w:spacing w:line="360" w:lineRule="auto"/>
        <w:ind w:firstLineChars="0"/>
        <w:rPr>
          <w:bCs/>
          <w:color w:val="444444"/>
          <w:szCs w:val="21"/>
        </w:rPr>
      </w:pPr>
      <w:r>
        <w:rPr>
          <w:rFonts w:eastAsia="新細明體" w:hint="eastAsia"/>
          <w:bCs/>
          <w:color w:val="444444"/>
          <w:szCs w:val="21"/>
        </w:rPr>
        <w:t>基於</w:t>
      </w:r>
      <w:r w:rsidR="00331F91">
        <w:rPr>
          <w:rFonts w:eastAsia="新細明體" w:hint="eastAsia"/>
          <w:bCs/>
          <w:color w:val="444444"/>
          <w:szCs w:val="21"/>
        </w:rPr>
        <w:t>模式識別技術的</w:t>
      </w:r>
      <w:r>
        <w:rPr>
          <w:rFonts w:eastAsia="新細明體" w:hint="eastAsia"/>
          <w:bCs/>
          <w:color w:val="444444"/>
          <w:szCs w:val="21"/>
        </w:rPr>
        <w:t>行情數據</w:t>
      </w:r>
      <w:r w:rsidR="0076624D">
        <w:rPr>
          <w:rFonts w:eastAsia="新細明體" w:hint="eastAsia"/>
          <w:bCs/>
          <w:color w:val="444444"/>
          <w:szCs w:val="21"/>
        </w:rPr>
        <w:t>技術形態的識別</w:t>
      </w:r>
    </w:p>
    <w:p w14:paraId="62FA2AF7" w14:textId="61791C59" w:rsidR="0076624D" w:rsidRPr="0076624D" w:rsidRDefault="00331F91" w:rsidP="006E15E5">
      <w:pPr>
        <w:pStyle w:val="1"/>
        <w:numPr>
          <w:ilvl w:val="4"/>
          <w:numId w:val="7"/>
        </w:numPr>
        <w:spacing w:line="360" w:lineRule="auto"/>
        <w:ind w:firstLineChars="0"/>
        <w:rPr>
          <w:bCs/>
          <w:color w:val="444444"/>
          <w:szCs w:val="21"/>
        </w:rPr>
      </w:pPr>
      <w:r>
        <w:rPr>
          <w:rFonts w:eastAsia="新細明體" w:hint="eastAsia"/>
          <w:bCs/>
          <w:color w:val="444444"/>
          <w:szCs w:val="21"/>
        </w:rPr>
        <w:t>基於經典技術形態識別的技術形態有效性統計</w:t>
      </w:r>
    </w:p>
    <w:p w14:paraId="6879B162" w14:textId="548A86A2" w:rsidR="0076624D" w:rsidRDefault="00331F91" w:rsidP="006E15E5">
      <w:pPr>
        <w:pStyle w:val="1"/>
        <w:numPr>
          <w:ilvl w:val="4"/>
          <w:numId w:val="7"/>
        </w:numPr>
        <w:spacing w:line="360" w:lineRule="auto"/>
        <w:ind w:firstLineChars="0"/>
        <w:rPr>
          <w:bCs/>
          <w:color w:val="444444"/>
          <w:szCs w:val="21"/>
        </w:rPr>
      </w:pPr>
      <w:r>
        <w:rPr>
          <w:rFonts w:hint="eastAsia"/>
          <w:bCs/>
          <w:color w:val="444444"/>
          <w:szCs w:val="21"/>
        </w:rPr>
        <w:t>基於用戶持倉信息</w:t>
      </w:r>
      <w:r w:rsidR="0076624D">
        <w:rPr>
          <w:rFonts w:hint="eastAsia"/>
          <w:bCs/>
          <w:color w:val="444444"/>
          <w:szCs w:val="21"/>
        </w:rPr>
        <w:t>的技術形態有效性分析</w:t>
      </w:r>
    </w:p>
    <w:p w14:paraId="126E7508" w14:textId="4BD04208" w:rsidR="006E15E5" w:rsidRPr="00EC7306" w:rsidRDefault="00645D7C" w:rsidP="00EC7306">
      <w:pPr>
        <w:pStyle w:val="1"/>
        <w:numPr>
          <w:ilvl w:val="4"/>
          <w:numId w:val="7"/>
        </w:numPr>
        <w:spacing w:line="360" w:lineRule="auto"/>
        <w:ind w:firstLineChars="0"/>
        <w:rPr>
          <w:bCs/>
          <w:color w:val="444444"/>
          <w:szCs w:val="21"/>
        </w:rPr>
      </w:pPr>
      <w:r>
        <w:rPr>
          <w:rFonts w:hint="eastAsia"/>
          <w:bCs/>
          <w:color w:val="444444"/>
          <w:szCs w:val="21"/>
        </w:rPr>
        <w:t>基於形態信號的選股服務</w:t>
      </w:r>
    </w:p>
    <w:p w14:paraId="306D161D" w14:textId="32DDF7DD" w:rsidR="0076624D" w:rsidRDefault="0076624D" w:rsidP="0076624D">
      <w:pPr>
        <w:pStyle w:val="1"/>
        <w:spacing w:line="360" w:lineRule="auto"/>
        <w:ind w:firstLineChars="0"/>
        <w:rPr>
          <w:bCs/>
          <w:color w:val="444444"/>
          <w:szCs w:val="21"/>
        </w:rPr>
      </w:pPr>
      <w:r>
        <w:rPr>
          <w:rFonts w:hint="eastAsia"/>
          <w:bCs/>
          <w:color w:val="444444"/>
          <w:szCs w:val="21"/>
        </w:rPr>
        <w:t>以上軟件服務功能基於乙方自主開發的形態識別算法和基於人工智能的有效性統計與預測算法。關於用戶交易記錄的技術形態有效性分析基於甲方所提供的用戶交易數據完成。</w:t>
      </w:r>
    </w:p>
    <w:p w14:paraId="069E8218" w14:textId="0CE79FB4" w:rsidR="00DF49AA" w:rsidRPr="0076624D" w:rsidRDefault="00DF49AA" w:rsidP="00DF49AA">
      <w:pPr>
        <w:pStyle w:val="1"/>
        <w:spacing w:line="360" w:lineRule="auto"/>
        <w:ind w:firstLineChars="0"/>
        <w:rPr>
          <w:bCs/>
          <w:color w:val="444444"/>
          <w:szCs w:val="21"/>
        </w:rPr>
      </w:pPr>
      <w:r>
        <w:rPr>
          <w:rFonts w:hint="eastAsia"/>
          <w:bCs/>
          <w:color w:val="444444"/>
          <w:szCs w:val="21"/>
        </w:rPr>
        <w:t>（關於軟件的產品交互設計草圖和架構方案草圖請詳見附件一和附件二）</w:t>
      </w:r>
    </w:p>
    <w:p w14:paraId="546B1349" w14:textId="3C4CE810" w:rsidR="0076624D" w:rsidRPr="0076624D" w:rsidRDefault="0076624D">
      <w:pPr>
        <w:pStyle w:val="1"/>
        <w:numPr>
          <w:ilvl w:val="0"/>
          <w:numId w:val="7"/>
        </w:numPr>
        <w:spacing w:line="360" w:lineRule="auto"/>
        <w:ind w:firstLineChars="0"/>
        <w:rPr>
          <w:b/>
          <w:bCs/>
          <w:color w:val="444444"/>
          <w:szCs w:val="21"/>
        </w:rPr>
      </w:pPr>
      <w:r>
        <w:rPr>
          <w:rFonts w:eastAsia="新細明體" w:hint="eastAsia"/>
          <w:b/>
          <w:bCs/>
          <w:color w:val="444444"/>
          <w:szCs w:val="21"/>
          <w:lang w:eastAsia="zh-TW"/>
        </w:rPr>
        <w:t>軟件服務開發方式</w:t>
      </w:r>
    </w:p>
    <w:p w14:paraId="087A9827" w14:textId="66839F87" w:rsidR="0076624D" w:rsidRDefault="00645D7C" w:rsidP="0076624D">
      <w:pPr>
        <w:pStyle w:val="1"/>
        <w:spacing w:line="360" w:lineRule="auto"/>
        <w:ind w:left="435" w:firstLineChars="0" w:firstLine="0"/>
        <w:rPr>
          <w:bCs/>
          <w:color w:val="444444"/>
          <w:szCs w:val="21"/>
        </w:rPr>
      </w:pPr>
      <w:r>
        <w:rPr>
          <w:rFonts w:hint="eastAsia"/>
          <w:bCs/>
          <w:color w:val="444444"/>
          <w:szCs w:val="21"/>
        </w:rPr>
        <w:t>基於《戰略合作協議》和雙方先前定下的合作方式，本協議所設計軟件服務功能的開發與部署採用二階段開發的方式。具體包括：</w:t>
      </w:r>
    </w:p>
    <w:p w14:paraId="06555636" w14:textId="615A286A" w:rsidR="00E245AF" w:rsidRDefault="00645D7C" w:rsidP="00E245AF">
      <w:pPr>
        <w:pStyle w:val="1"/>
        <w:numPr>
          <w:ilvl w:val="3"/>
          <w:numId w:val="7"/>
        </w:numPr>
        <w:spacing w:line="360" w:lineRule="auto"/>
        <w:ind w:firstLineChars="0"/>
        <w:rPr>
          <w:bCs/>
          <w:color w:val="444444"/>
          <w:szCs w:val="21"/>
        </w:rPr>
      </w:pPr>
      <w:r>
        <w:rPr>
          <w:rFonts w:hint="eastAsia"/>
          <w:bCs/>
          <w:color w:val="444444"/>
          <w:szCs w:val="21"/>
        </w:rPr>
        <w:lastRenderedPageBreak/>
        <w:t>第一期：計劃于</w:t>
      </w:r>
      <w:r w:rsidRPr="00B44D27">
        <w:rPr>
          <w:rFonts w:hint="eastAsia"/>
          <w:bCs/>
          <w:color w:val="444444"/>
          <w:szCs w:val="21"/>
        </w:rPr>
        <w:t>2018</w:t>
      </w:r>
      <w:r w:rsidRPr="00B44D27">
        <w:rPr>
          <w:rFonts w:hint="eastAsia"/>
          <w:bCs/>
          <w:color w:val="444444"/>
          <w:szCs w:val="21"/>
        </w:rPr>
        <w:t>年</w:t>
      </w:r>
      <w:r w:rsidRPr="00B44D27">
        <w:rPr>
          <w:rFonts w:hint="eastAsia"/>
          <w:bCs/>
          <w:color w:val="444444"/>
          <w:szCs w:val="21"/>
        </w:rPr>
        <w:t>3</w:t>
      </w:r>
      <w:r w:rsidRPr="00B44D27">
        <w:rPr>
          <w:rFonts w:hint="eastAsia"/>
          <w:bCs/>
          <w:color w:val="444444"/>
          <w:szCs w:val="21"/>
        </w:rPr>
        <w:t>月</w:t>
      </w:r>
      <w:r w:rsidR="006E4257" w:rsidRPr="00B44D27">
        <w:rPr>
          <w:rFonts w:hint="eastAsia"/>
          <w:bCs/>
          <w:color w:val="444444"/>
          <w:szCs w:val="21"/>
        </w:rPr>
        <w:t>31</w:t>
      </w:r>
      <w:r w:rsidRPr="00B44D27">
        <w:rPr>
          <w:rFonts w:hint="eastAsia"/>
          <w:bCs/>
          <w:color w:val="444444"/>
          <w:szCs w:val="21"/>
        </w:rPr>
        <w:t>日前完成</w:t>
      </w:r>
      <w:r>
        <w:rPr>
          <w:rFonts w:hint="eastAsia"/>
          <w:bCs/>
          <w:color w:val="444444"/>
          <w:szCs w:val="21"/>
        </w:rPr>
        <w:t>。</w:t>
      </w:r>
      <w:r w:rsidR="000254DB">
        <w:rPr>
          <w:rFonts w:hint="eastAsia"/>
          <w:bCs/>
          <w:color w:val="444444"/>
          <w:szCs w:val="21"/>
        </w:rPr>
        <w:t>該期的主要開發目標是，基於甲方現有的《交银</w:t>
      </w:r>
      <w:r w:rsidR="00E245AF">
        <w:rPr>
          <w:rFonts w:hint="eastAsia"/>
          <w:bCs/>
          <w:color w:val="444444"/>
          <w:szCs w:val="21"/>
        </w:rPr>
        <w:t>國際交易寶》手機終端軟件（以下簡稱“交易寶”），在不變動現有軟件一級架構的基礎上，以添加入口和獨立頁面的方式，完成乙方提供的技術方案的部署。具體而言，</w:t>
      </w:r>
      <w:r>
        <w:rPr>
          <w:rFonts w:hint="eastAsia"/>
          <w:bCs/>
          <w:color w:val="444444"/>
          <w:szCs w:val="21"/>
        </w:rPr>
        <w:t>雙方的主要工作項目包括：</w:t>
      </w:r>
    </w:p>
    <w:p w14:paraId="1DE860C9" w14:textId="1D26CC5A" w:rsidR="00EC7306" w:rsidRDefault="00645D7C" w:rsidP="00EC7306">
      <w:pPr>
        <w:pStyle w:val="1"/>
        <w:numPr>
          <w:ilvl w:val="4"/>
          <w:numId w:val="7"/>
        </w:numPr>
        <w:spacing w:line="360" w:lineRule="auto"/>
        <w:ind w:firstLineChars="0" w:firstLine="0"/>
        <w:rPr>
          <w:bCs/>
          <w:color w:val="444444"/>
          <w:szCs w:val="21"/>
        </w:rPr>
      </w:pPr>
      <w:r w:rsidRPr="00E245AF">
        <w:rPr>
          <w:rFonts w:hint="eastAsia"/>
          <w:bCs/>
          <w:color w:val="444444"/>
          <w:szCs w:val="21"/>
        </w:rPr>
        <w:t>甲方：根據所採購的乙方技術服務及解決方案，根據自身業務的需求，提出或確定技術服務的具體內容及產品表現形式（包括交互、架構等）</w:t>
      </w:r>
      <w:r w:rsidR="00E245AF" w:rsidRPr="00E245AF">
        <w:rPr>
          <w:rFonts w:hint="eastAsia"/>
          <w:bCs/>
          <w:color w:val="444444"/>
          <w:szCs w:val="21"/>
        </w:rPr>
        <w:t>。同時甲方負責與“交易寶”軟件的開發第三方進行溝通并提供合理接口。（注：“交易寶”軟件由“捷利資訊有限公司”（以下簡稱“捷利”</w:t>
      </w:r>
      <w:r w:rsidR="006C2931">
        <w:rPr>
          <w:rFonts w:hint="eastAsia"/>
          <w:bCs/>
          <w:color w:val="444444"/>
          <w:szCs w:val="21"/>
        </w:rPr>
        <w:t>）</w:t>
      </w:r>
      <w:r w:rsidR="00E245AF" w:rsidRPr="00E245AF">
        <w:rPr>
          <w:rFonts w:hint="eastAsia"/>
          <w:bCs/>
          <w:color w:val="444444"/>
          <w:szCs w:val="21"/>
        </w:rPr>
        <w:t>開發提供</w:t>
      </w:r>
      <w:r w:rsidR="006C2931">
        <w:rPr>
          <w:rFonts w:hint="eastAsia"/>
          <w:bCs/>
          <w:color w:val="444444"/>
          <w:szCs w:val="21"/>
        </w:rPr>
        <w:t>）</w:t>
      </w:r>
      <w:r w:rsidR="00E245AF" w:rsidRPr="00E245AF">
        <w:rPr>
          <w:rFonts w:hint="eastAsia"/>
          <w:bCs/>
          <w:color w:val="444444"/>
          <w:szCs w:val="21"/>
        </w:rPr>
        <w:t>。</w:t>
      </w:r>
    </w:p>
    <w:p w14:paraId="116BD391" w14:textId="76D5D1D0" w:rsidR="00EC7306" w:rsidRPr="00EC7306" w:rsidRDefault="00645D7C" w:rsidP="00EC7306">
      <w:pPr>
        <w:pStyle w:val="1"/>
        <w:numPr>
          <w:ilvl w:val="4"/>
          <w:numId w:val="7"/>
        </w:numPr>
        <w:spacing w:line="360" w:lineRule="auto"/>
        <w:ind w:firstLineChars="0" w:firstLine="0"/>
        <w:rPr>
          <w:bCs/>
          <w:color w:val="444444"/>
          <w:szCs w:val="21"/>
        </w:rPr>
      </w:pPr>
      <w:r w:rsidRPr="00EC7306">
        <w:rPr>
          <w:rFonts w:hint="eastAsia"/>
          <w:bCs/>
          <w:color w:val="444444"/>
          <w:szCs w:val="21"/>
        </w:rPr>
        <w:t>乙方：根據甲方所提出</w:t>
      </w:r>
      <w:r w:rsidR="006E15E5" w:rsidRPr="00EC7306">
        <w:rPr>
          <w:rFonts w:hint="eastAsia"/>
          <w:bCs/>
          <w:color w:val="444444"/>
          <w:szCs w:val="21"/>
        </w:rPr>
        <w:t>并確定</w:t>
      </w:r>
      <w:r w:rsidRPr="00EC7306">
        <w:rPr>
          <w:rFonts w:hint="eastAsia"/>
          <w:bCs/>
          <w:color w:val="444444"/>
          <w:szCs w:val="21"/>
        </w:rPr>
        <w:t>的方案要求，提出具體的技術解決方案（算法、網絡通信、數據庫</w:t>
      </w:r>
      <w:r w:rsidR="00E245AF" w:rsidRPr="00EC7306">
        <w:rPr>
          <w:rFonts w:hint="eastAsia"/>
          <w:bCs/>
          <w:color w:val="444444"/>
          <w:szCs w:val="21"/>
        </w:rPr>
        <w:t>、可視化等），并完成必須的技術開發和測試，達到產品化的交付水準。</w:t>
      </w:r>
    </w:p>
    <w:p w14:paraId="5E141441" w14:textId="342412E4" w:rsidR="00EC7306" w:rsidRPr="00EC7306" w:rsidRDefault="00EC7306" w:rsidP="00145FAB">
      <w:pPr>
        <w:pStyle w:val="1"/>
        <w:spacing w:line="360" w:lineRule="auto"/>
        <w:ind w:left="2100" w:firstLineChars="0"/>
        <w:rPr>
          <w:bCs/>
          <w:color w:val="444444"/>
          <w:szCs w:val="21"/>
        </w:rPr>
      </w:pPr>
      <w:r w:rsidRPr="00EC7306">
        <w:rPr>
          <w:rFonts w:hint="eastAsia"/>
          <w:bCs/>
          <w:color w:val="444444"/>
          <w:szCs w:val="21"/>
        </w:rPr>
        <w:t>基於雙方的探討，在第一期項目範圍內，所提供的標的分析對象</w:t>
      </w:r>
      <w:r w:rsidR="008B35DD">
        <w:rPr>
          <w:rFonts w:hint="eastAsia"/>
          <w:bCs/>
          <w:color w:val="444444"/>
          <w:szCs w:val="21"/>
        </w:rPr>
        <w:t>涵蓋</w:t>
      </w:r>
      <w:r w:rsidR="00F50235" w:rsidRPr="00B44D27">
        <w:rPr>
          <w:rFonts w:hint="eastAsia"/>
          <w:bCs/>
          <w:color w:val="444444"/>
          <w:szCs w:val="21"/>
        </w:rPr>
        <w:t>香港交易所上市的</w:t>
      </w:r>
      <w:r w:rsidR="00AC3691" w:rsidRPr="00B44D27">
        <w:rPr>
          <w:rFonts w:hint="eastAsia"/>
          <w:bCs/>
          <w:color w:val="444444"/>
          <w:szCs w:val="21"/>
        </w:rPr>
        <w:t>恆生</w:t>
      </w:r>
      <w:r w:rsidR="00AC3691" w:rsidRPr="00B44D27">
        <w:rPr>
          <w:bCs/>
          <w:color w:val="444444"/>
          <w:szCs w:val="21"/>
        </w:rPr>
        <w:t>成分股</w:t>
      </w:r>
      <w:r w:rsidR="00F50235" w:rsidRPr="00B44D27">
        <w:rPr>
          <w:rFonts w:hint="eastAsia"/>
          <w:bCs/>
          <w:color w:val="444444"/>
          <w:szCs w:val="21"/>
        </w:rPr>
        <w:t>證券標的</w:t>
      </w:r>
      <w:r w:rsidR="00145FAB" w:rsidRPr="00B44D27">
        <w:rPr>
          <w:rFonts w:hint="eastAsia"/>
          <w:bCs/>
          <w:color w:val="444444"/>
          <w:szCs w:val="21"/>
        </w:rPr>
        <w:t>（“</w:t>
      </w:r>
      <w:r w:rsidR="00AC3691" w:rsidRPr="00B44D27">
        <w:rPr>
          <w:bCs/>
          <w:color w:val="444444"/>
          <w:szCs w:val="21"/>
        </w:rPr>
        <w:t>藍籌</w:t>
      </w:r>
      <w:r w:rsidR="00145FAB" w:rsidRPr="00B44D27">
        <w:rPr>
          <w:rFonts w:hint="eastAsia"/>
          <w:bCs/>
          <w:color w:val="444444"/>
          <w:szCs w:val="21"/>
        </w:rPr>
        <w:t>港股”標的）</w:t>
      </w:r>
      <w:r w:rsidR="00F50235" w:rsidRPr="00B44D27">
        <w:rPr>
          <w:rFonts w:hint="eastAsia"/>
          <w:bCs/>
          <w:color w:val="444444"/>
          <w:szCs w:val="21"/>
        </w:rPr>
        <w:t>，</w:t>
      </w:r>
      <w:r w:rsidR="0078546B" w:rsidRPr="00B44D27">
        <w:rPr>
          <w:rFonts w:hint="eastAsia"/>
          <w:bCs/>
          <w:color w:val="444444"/>
          <w:szCs w:val="21"/>
        </w:rPr>
        <w:t>以及</w:t>
      </w:r>
      <w:r w:rsidR="00145FAB" w:rsidRPr="00B44D27">
        <w:rPr>
          <w:rFonts w:hint="eastAsia"/>
          <w:bCs/>
          <w:color w:val="444444"/>
          <w:szCs w:val="21"/>
        </w:rPr>
        <w:t>可以在香港交易所交易的上海和深圳證券標的（“滬港通”和“深港通”標的）。</w:t>
      </w:r>
      <w:r w:rsidR="00AC3691" w:rsidRPr="00B44D27">
        <w:rPr>
          <w:rFonts w:hint="eastAsia"/>
          <w:bCs/>
          <w:color w:val="444444"/>
          <w:szCs w:val="21"/>
        </w:rPr>
        <w:t>港股</w:t>
      </w:r>
      <w:r w:rsidR="00AC3691" w:rsidRPr="00B44D27">
        <w:rPr>
          <w:bCs/>
          <w:color w:val="444444"/>
          <w:szCs w:val="21"/>
        </w:rPr>
        <w:t>其餘標的的分析將在第二</w:t>
      </w:r>
      <w:r w:rsidR="00AC3691" w:rsidRPr="00B44D27">
        <w:rPr>
          <w:rFonts w:hint="eastAsia"/>
          <w:bCs/>
          <w:color w:val="444444"/>
          <w:szCs w:val="21"/>
        </w:rPr>
        <w:t>期</w:t>
      </w:r>
      <w:r w:rsidR="00AC3691" w:rsidRPr="00B44D27">
        <w:rPr>
          <w:bCs/>
          <w:color w:val="444444"/>
          <w:szCs w:val="21"/>
        </w:rPr>
        <w:t>項目內完成分析部署。</w:t>
      </w:r>
      <w:r w:rsidR="00AC3691" w:rsidRPr="00B44D27">
        <w:rPr>
          <w:rFonts w:hint="eastAsia"/>
          <w:bCs/>
          <w:color w:val="444444"/>
          <w:szCs w:val="21"/>
        </w:rPr>
        <w:t>以上</w:t>
      </w:r>
      <w:r w:rsidR="00145FAB" w:rsidRPr="00B44D27">
        <w:rPr>
          <w:rFonts w:hint="eastAsia"/>
          <w:bCs/>
          <w:color w:val="444444"/>
          <w:szCs w:val="21"/>
        </w:rPr>
        <w:t>所提供的</w:t>
      </w:r>
      <w:r w:rsidRPr="00B44D27">
        <w:rPr>
          <w:rFonts w:hint="eastAsia"/>
          <w:bCs/>
          <w:color w:val="444444"/>
          <w:szCs w:val="21"/>
        </w:rPr>
        <w:t>形態分析</w:t>
      </w:r>
      <w:r w:rsidR="00145FAB" w:rsidRPr="00B44D27">
        <w:rPr>
          <w:rFonts w:hint="eastAsia"/>
          <w:bCs/>
          <w:color w:val="444444"/>
          <w:szCs w:val="21"/>
        </w:rPr>
        <w:t>在日線粒度上進行</w:t>
      </w:r>
      <w:r w:rsidRPr="00B44D27">
        <w:rPr>
          <w:rFonts w:hint="eastAsia"/>
          <w:bCs/>
          <w:color w:val="444444"/>
          <w:szCs w:val="21"/>
        </w:rPr>
        <w:t>。（關於具體的標的列表和形態列表，請詳見附件</w:t>
      </w:r>
      <w:r w:rsidR="00DF49AA" w:rsidRPr="00B44D27">
        <w:rPr>
          <w:rFonts w:hint="eastAsia"/>
          <w:bCs/>
          <w:color w:val="444444"/>
          <w:szCs w:val="21"/>
        </w:rPr>
        <w:t>三</w:t>
      </w:r>
      <w:r w:rsidRPr="00B44D27">
        <w:rPr>
          <w:rFonts w:hint="eastAsia"/>
          <w:bCs/>
          <w:color w:val="444444"/>
          <w:szCs w:val="21"/>
        </w:rPr>
        <w:t>）</w:t>
      </w:r>
    </w:p>
    <w:p w14:paraId="09F18333" w14:textId="19A5AA18" w:rsidR="00DF49AA" w:rsidRPr="00DF49AA" w:rsidRDefault="00645D7C" w:rsidP="00DF49AA">
      <w:pPr>
        <w:pStyle w:val="1"/>
        <w:numPr>
          <w:ilvl w:val="3"/>
          <w:numId w:val="7"/>
        </w:numPr>
        <w:spacing w:line="360" w:lineRule="auto"/>
        <w:ind w:firstLineChars="0"/>
        <w:rPr>
          <w:bCs/>
          <w:color w:val="444444"/>
          <w:szCs w:val="21"/>
        </w:rPr>
      </w:pPr>
      <w:r w:rsidRPr="00E245AF">
        <w:rPr>
          <w:rFonts w:hint="eastAsia"/>
          <w:bCs/>
          <w:color w:val="444444"/>
          <w:szCs w:val="21"/>
        </w:rPr>
        <w:t>第二期：計劃于</w:t>
      </w:r>
      <w:r w:rsidRPr="00E245AF">
        <w:rPr>
          <w:rFonts w:hint="eastAsia"/>
          <w:bCs/>
          <w:color w:val="444444"/>
          <w:szCs w:val="21"/>
        </w:rPr>
        <w:t>2018</w:t>
      </w:r>
      <w:r w:rsidRPr="00E245AF">
        <w:rPr>
          <w:rFonts w:hint="eastAsia"/>
          <w:bCs/>
          <w:color w:val="444444"/>
          <w:szCs w:val="21"/>
        </w:rPr>
        <w:t>年</w:t>
      </w:r>
      <w:r w:rsidRPr="00E245AF">
        <w:rPr>
          <w:rFonts w:hint="eastAsia"/>
          <w:bCs/>
          <w:color w:val="444444"/>
          <w:szCs w:val="21"/>
        </w:rPr>
        <w:t>9</w:t>
      </w:r>
      <w:r w:rsidRPr="00E245AF">
        <w:rPr>
          <w:rFonts w:hint="eastAsia"/>
          <w:bCs/>
          <w:color w:val="444444"/>
          <w:szCs w:val="21"/>
        </w:rPr>
        <w:t>月</w:t>
      </w:r>
      <w:r w:rsidRPr="00E245AF">
        <w:rPr>
          <w:rFonts w:hint="eastAsia"/>
          <w:bCs/>
          <w:color w:val="444444"/>
          <w:szCs w:val="21"/>
        </w:rPr>
        <w:t>15</w:t>
      </w:r>
      <w:r w:rsidRPr="00E245AF">
        <w:rPr>
          <w:rFonts w:hint="eastAsia"/>
          <w:bCs/>
          <w:color w:val="444444"/>
          <w:szCs w:val="21"/>
        </w:rPr>
        <w:t>日前完成。</w:t>
      </w:r>
      <w:r w:rsidR="00E245AF">
        <w:rPr>
          <w:rFonts w:hint="eastAsia"/>
          <w:bCs/>
          <w:color w:val="444444"/>
          <w:szCs w:val="21"/>
        </w:rPr>
        <w:t>該期的主要開發目標是，基於</w:t>
      </w:r>
      <w:r w:rsidR="00331F91">
        <w:rPr>
          <w:rFonts w:hint="eastAsia"/>
          <w:bCs/>
          <w:color w:val="444444"/>
          <w:szCs w:val="21"/>
        </w:rPr>
        <w:t>第一期功能試運營的結果分析，進行入口、功能、數據等方面的應用實施。在該期內，如有與本協議所規定之技術或產品範圍有較大的內容改動，其具體實施及相關條款將另行協定</w:t>
      </w:r>
      <w:r w:rsidR="00E245AF">
        <w:rPr>
          <w:rFonts w:hint="eastAsia"/>
          <w:bCs/>
          <w:color w:val="444444"/>
          <w:szCs w:val="21"/>
        </w:rPr>
        <w:t>。</w:t>
      </w:r>
    </w:p>
    <w:p w14:paraId="6D6F7B70" w14:textId="15B2E2F4" w:rsidR="0076624D" w:rsidRPr="0076624D" w:rsidRDefault="0076624D">
      <w:pPr>
        <w:pStyle w:val="1"/>
        <w:numPr>
          <w:ilvl w:val="0"/>
          <w:numId w:val="7"/>
        </w:numPr>
        <w:spacing w:line="360" w:lineRule="auto"/>
        <w:ind w:firstLineChars="0"/>
        <w:rPr>
          <w:b/>
          <w:bCs/>
          <w:color w:val="444444"/>
          <w:szCs w:val="21"/>
        </w:rPr>
      </w:pPr>
      <w:r>
        <w:rPr>
          <w:rFonts w:eastAsia="新細明體" w:hint="eastAsia"/>
          <w:b/>
          <w:bCs/>
          <w:color w:val="444444"/>
          <w:szCs w:val="21"/>
          <w:lang w:eastAsia="zh-TW"/>
        </w:rPr>
        <w:t>軟件服務採購費用及收費方式</w:t>
      </w:r>
    </w:p>
    <w:p w14:paraId="11430303" w14:textId="49C67249" w:rsidR="00DF49AA" w:rsidRDefault="006E15E5" w:rsidP="006E15E5">
      <w:pPr>
        <w:pStyle w:val="1"/>
        <w:spacing w:line="360" w:lineRule="auto"/>
        <w:ind w:left="420" w:firstLineChars="0" w:firstLine="0"/>
        <w:rPr>
          <w:bCs/>
          <w:color w:val="444444"/>
          <w:szCs w:val="21"/>
        </w:rPr>
      </w:pPr>
      <w:r>
        <w:rPr>
          <w:rFonts w:hint="eastAsia"/>
          <w:bCs/>
          <w:color w:val="444444"/>
          <w:szCs w:val="21"/>
        </w:rPr>
        <w:t>根據本協議所涉及的</w:t>
      </w:r>
      <w:r w:rsidR="00EC7306">
        <w:rPr>
          <w:rFonts w:hint="eastAsia"/>
          <w:bCs/>
          <w:color w:val="444444"/>
          <w:szCs w:val="21"/>
        </w:rPr>
        <w:t>軟件服務內容和方式</w:t>
      </w:r>
      <w:r>
        <w:rPr>
          <w:rFonts w:hint="eastAsia"/>
          <w:bCs/>
          <w:color w:val="444444"/>
          <w:szCs w:val="21"/>
        </w:rPr>
        <w:t>，</w:t>
      </w:r>
      <w:r w:rsidR="00EC7306">
        <w:rPr>
          <w:rFonts w:hint="eastAsia"/>
          <w:bCs/>
          <w:color w:val="444444"/>
          <w:szCs w:val="21"/>
        </w:rPr>
        <w:t>該項目費用採取“固定採購費用</w:t>
      </w:r>
      <w:r w:rsidR="00EC7306" w:rsidRPr="00B44D27">
        <w:rPr>
          <w:rFonts w:hint="eastAsia"/>
          <w:bCs/>
          <w:color w:val="444444"/>
          <w:szCs w:val="21"/>
        </w:rPr>
        <w:t>”</w:t>
      </w:r>
      <w:r w:rsidR="00EC7306" w:rsidRPr="00B44D27">
        <w:rPr>
          <w:rFonts w:hint="eastAsia"/>
          <w:bCs/>
          <w:color w:val="444444"/>
          <w:szCs w:val="21"/>
        </w:rPr>
        <w:t>+</w:t>
      </w:r>
      <w:r w:rsidR="00EC7306" w:rsidRPr="00B44D27">
        <w:rPr>
          <w:rFonts w:hint="eastAsia"/>
          <w:bCs/>
          <w:color w:val="444444"/>
          <w:szCs w:val="21"/>
        </w:rPr>
        <w:t>“</w:t>
      </w:r>
      <w:r w:rsidR="00564AC6" w:rsidRPr="00B44D27">
        <w:rPr>
          <w:rFonts w:hint="eastAsia"/>
          <w:bCs/>
          <w:color w:val="444444"/>
          <w:szCs w:val="21"/>
        </w:rPr>
        <w:t>增值</w:t>
      </w:r>
      <w:r w:rsidR="00641EC7" w:rsidRPr="00B44D27">
        <w:rPr>
          <w:rFonts w:hint="eastAsia"/>
          <w:bCs/>
          <w:color w:val="444444"/>
          <w:szCs w:val="21"/>
        </w:rPr>
        <w:t>流量分成費用</w:t>
      </w:r>
      <w:r w:rsidR="00EC7306" w:rsidRPr="00B44D27">
        <w:rPr>
          <w:rFonts w:hint="eastAsia"/>
          <w:bCs/>
          <w:color w:val="444444"/>
          <w:szCs w:val="21"/>
        </w:rPr>
        <w:t>”</w:t>
      </w:r>
      <w:r w:rsidR="00641EC7" w:rsidRPr="00B44D27">
        <w:rPr>
          <w:rFonts w:hint="eastAsia"/>
          <w:bCs/>
          <w:color w:val="444444"/>
          <w:szCs w:val="21"/>
        </w:rPr>
        <w:t>的復合方式。</w:t>
      </w:r>
    </w:p>
    <w:p w14:paraId="0AB96F94" w14:textId="0C0091D7" w:rsidR="0076624D" w:rsidRDefault="00641EC7" w:rsidP="00DF49AA">
      <w:pPr>
        <w:pStyle w:val="1"/>
        <w:spacing w:line="360" w:lineRule="auto"/>
        <w:ind w:firstLineChars="0"/>
        <w:rPr>
          <w:bCs/>
          <w:color w:val="444444"/>
          <w:szCs w:val="21"/>
        </w:rPr>
      </w:pPr>
      <w:r>
        <w:rPr>
          <w:rFonts w:hint="eastAsia"/>
          <w:bCs/>
          <w:color w:val="444444"/>
          <w:szCs w:val="21"/>
        </w:rPr>
        <w:t>其具體項目包括</w:t>
      </w:r>
      <w:r w:rsidR="00DF49AA">
        <w:rPr>
          <w:rFonts w:hint="eastAsia"/>
          <w:bCs/>
          <w:color w:val="444444"/>
          <w:szCs w:val="21"/>
        </w:rPr>
        <w:t>（注：本條目中涉及金額均以港幣計算）</w:t>
      </w:r>
      <w:r>
        <w:rPr>
          <w:rFonts w:hint="eastAsia"/>
          <w:bCs/>
          <w:color w:val="444444"/>
          <w:szCs w:val="21"/>
        </w:rPr>
        <w:t>：</w:t>
      </w:r>
    </w:p>
    <w:p w14:paraId="2AE3D81E" w14:textId="62E166A8" w:rsidR="00E171C6" w:rsidRDefault="00E171C6" w:rsidP="00A702C6">
      <w:pPr>
        <w:pStyle w:val="1"/>
        <w:numPr>
          <w:ilvl w:val="3"/>
          <w:numId w:val="7"/>
        </w:numPr>
        <w:spacing w:line="360" w:lineRule="auto"/>
        <w:ind w:firstLineChars="0"/>
        <w:rPr>
          <w:bCs/>
          <w:color w:val="444444"/>
          <w:szCs w:val="21"/>
        </w:rPr>
      </w:pPr>
      <w:r>
        <w:rPr>
          <w:rFonts w:hint="eastAsia"/>
          <w:bCs/>
          <w:color w:val="444444"/>
          <w:szCs w:val="21"/>
        </w:rPr>
        <w:t>“技術</w:t>
      </w:r>
      <w:r w:rsidR="00641EC7">
        <w:rPr>
          <w:rFonts w:hint="eastAsia"/>
          <w:bCs/>
          <w:color w:val="444444"/>
          <w:szCs w:val="21"/>
        </w:rPr>
        <w:t>採購費用”：本項費用主要用來覆蓋基礎研發、計算資源搭建、數據維護等成本。</w:t>
      </w:r>
      <w:r>
        <w:rPr>
          <w:rFonts w:hint="eastAsia"/>
          <w:bCs/>
          <w:color w:val="444444"/>
          <w:szCs w:val="21"/>
        </w:rPr>
        <w:t>包括“</w:t>
      </w:r>
      <w:r w:rsidR="006C2931">
        <w:rPr>
          <w:rFonts w:hint="eastAsia"/>
          <w:bCs/>
          <w:color w:val="444444"/>
          <w:szCs w:val="21"/>
        </w:rPr>
        <w:t>定制化開發和安裝</w:t>
      </w:r>
      <w:r w:rsidR="000603BB">
        <w:rPr>
          <w:rFonts w:hint="eastAsia"/>
          <w:bCs/>
          <w:color w:val="444444"/>
          <w:szCs w:val="21"/>
        </w:rPr>
        <w:t>費用”和“服務</w:t>
      </w:r>
      <w:r>
        <w:rPr>
          <w:rFonts w:hint="eastAsia"/>
          <w:bCs/>
          <w:color w:val="444444"/>
          <w:szCs w:val="21"/>
        </w:rPr>
        <w:t>維護費用”兩部分：</w:t>
      </w:r>
    </w:p>
    <w:p w14:paraId="1146D06E" w14:textId="69418A51" w:rsidR="00A702C6" w:rsidRDefault="00E171C6" w:rsidP="00E171C6">
      <w:pPr>
        <w:pStyle w:val="1"/>
        <w:numPr>
          <w:ilvl w:val="4"/>
          <w:numId w:val="7"/>
        </w:numPr>
        <w:spacing w:line="360" w:lineRule="auto"/>
        <w:ind w:firstLineChars="0"/>
        <w:rPr>
          <w:bCs/>
          <w:color w:val="444444"/>
          <w:szCs w:val="21"/>
        </w:rPr>
      </w:pPr>
      <w:r>
        <w:rPr>
          <w:rFonts w:hint="eastAsia"/>
          <w:bCs/>
          <w:color w:val="444444"/>
          <w:szCs w:val="21"/>
        </w:rPr>
        <w:t>“</w:t>
      </w:r>
      <w:r w:rsidR="006C2931">
        <w:rPr>
          <w:rFonts w:hint="eastAsia"/>
          <w:bCs/>
          <w:color w:val="444444"/>
          <w:szCs w:val="21"/>
        </w:rPr>
        <w:t>定制化開發和安裝”</w:t>
      </w:r>
      <w:r>
        <w:rPr>
          <w:rFonts w:hint="eastAsia"/>
          <w:bCs/>
          <w:color w:val="444444"/>
          <w:szCs w:val="21"/>
        </w:rPr>
        <w:t>：</w:t>
      </w:r>
      <w:r w:rsidR="00641EC7">
        <w:rPr>
          <w:rFonts w:hint="eastAsia"/>
          <w:bCs/>
          <w:color w:val="444444"/>
          <w:szCs w:val="21"/>
        </w:rPr>
        <w:t>總額為</w:t>
      </w:r>
      <w:r w:rsidR="002D1003" w:rsidRPr="00B44D27">
        <w:rPr>
          <w:rFonts w:hint="eastAsia"/>
          <w:bCs/>
          <w:color w:val="444444"/>
          <w:szCs w:val="21"/>
        </w:rPr>
        <w:t>6</w:t>
      </w:r>
      <w:r w:rsidR="00641EC7" w:rsidRPr="00B44D27">
        <w:rPr>
          <w:rFonts w:hint="eastAsia"/>
          <w:bCs/>
          <w:color w:val="444444"/>
          <w:szCs w:val="21"/>
        </w:rPr>
        <w:t>0</w:t>
      </w:r>
      <w:r w:rsidR="00641EC7" w:rsidRPr="00B44D27">
        <w:rPr>
          <w:rFonts w:hint="eastAsia"/>
          <w:bCs/>
          <w:color w:val="444444"/>
          <w:szCs w:val="21"/>
        </w:rPr>
        <w:t>萬元。</w:t>
      </w:r>
    </w:p>
    <w:p w14:paraId="42047F86" w14:textId="03C8F1E3" w:rsidR="00E171C6" w:rsidRPr="00A702C6" w:rsidRDefault="000603BB" w:rsidP="00E171C6">
      <w:pPr>
        <w:pStyle w:val="1"/>
        <w:numPr>
          <w:ilvl w:val="4"/>
          <w:numId w:val="7"/>
        </w:numPr>
        <w:spacing w:line="360" w:lineRule="auto"/>
        <w:ind w:firstLineChars="0"/>
        <w:rPr>
          <w:bCs/>
          <w:color w:val="444444"/>
          <w:szCs w:val="21"/>
        </w:rPr>
      </w:pPr>
      <w:r>
        <w:rPr>
          <w:rFonts w:hint="eastAsia"/>
          <w:bCs/>
          <w:color w:val="444444"/>
          <w:szCs w:val="21"/>
        </w:rPr>
        <w:lastRenderedPageBreak/>
        <w:t>“服務</w:t>
      </w:r>
      <w:r w:rsidR="00E171C6">
        <w:rPr>
          <w:rFonts w:hint="eastAsia"/>
          <w:bCs/>
          <w:color w:val="444444"/>
          <w:szCs w:val="21"/>
        </w:rPr>
        <w:t>維護費用”：該費用覆蓋服務驗收上線后，</w:t>
      </w:r>
      <w:r w:rsidR="004F6C2F">
        <w:rPr>
          <w:rFonts w:hint="eastAsia"/>
          <w:bCs/>
          <w:color w:val="444444"/>
          <w:szCs w:val="21"/>
        </w:rPr>
        <w:t>乙方</w:t>
      </w:r>
      <w:r w:rsidR="00E171C6">
        <w:rPr>
          <w:rFonts w:hint="eastAsia"/>
          <w:bCs/>
          <w:color w:val="444444"/>
          <w:szCs w:val="21"/>
        </w:rPr>
        <w:t>常規的技術升級、故障應急處理、正常的流量擴容等服務。</w:t>
      </w:r>
      <w:r>
        <w:rPr>
          <w:rFonts w:hint="eastAsia"/>
          <w:bCs/>
          <w:color w:val="444444"/>
          <w:szCs w:val="21"/>
        </w:rPr>
        <w:t>自服務上線滿一年后，</w:t>
      </w:r>
      <w:r w:rsidR="00A90CBD">
        <w:rPr>
          <w:rFonts w:hint="eastAsia"/>
          <w:bCs/>
          <w:color w:val="444444"/>
          <w:szCs w:val="21"/>
        </w:rPr>
        <w:t>該項目開始收取費用，</w:t>
      </w:r>
      <w:r w:rsidR="00E171C6">
        <w:rPr>
          <w:rFonts w:hint="eastAsia"/>
          <w:bCs/>
          <w:color w:val="444444"/>
          <w:szCs w:val="21"/>
        </w:rPr>
        <w:t>額度</w:t>
      </w:r>
      <w:r w:rsidR="00E171C6" w:rsidRPr="00B44D27">
        <w:rPr>
          <w:rFonts w:hint="eastAsia"/>
          <w:bCs/>
          <w:color w:val="444444"/>
          <w:szCs w:val="21"/>
        </w:rPr>
        <w:t>為</w:t>
      </w:r>
      <w:r w:rsidR="00E171C6" w:rsidRPr="00B44D27">
        <w:rPr>
          <w:rFonts w:hint="eastAsia"/>
          <w:bCs/>
          <w:color w:val="444444"/>
          <w:szCs w:val="21"/>
        </w:rPr>
        <w:t>1</w:t>
      </w:r>
      <w:r w:rsidR="00A5428E" w:rsidRPr="00B44D27">
        <w:rPr>
          <w:rFonts w:hint="eastAsia"/>
          <w:bCs/>
          <w:color w:val="444444"/>
          <w:szCs w:val="21"/>
        </w:rPr>
        <w:t>2</w:t>
      </w:r>
      <w:r w:rsidR="00E171C6" w:rsidRPr="00B44D27">
        <w:rPr>
          <w:rFonts w:hint="eastAsia"/>
          <w:bCs/>
          <w:color w:val="444444"/>
          <w:szCs w:val="21"/>
        </w:rPr>
        <w:t>萬</w:t>
      </w:r>
      <w:r w:rsidR="00E171C6" w:rsidRPr="00B44D27">
        <w:rPr>
          <w:rFonts w:hint="eastAsia"/>
          <w:bCs/>
          <w:color w:val="444444"/>
          <w:szCs w:val="21"/>
        </w:rPr>
        <w:t>/</w:t>
      </w:r>
      <w:r w:rsidR="00E171C6" w:rsidRPr="00B44D27">
        <w:rPr>
          <w:rFonts w:hint="eastAsia"/>
          <w:bCs/>
          <w:color w:val="444444"/>
          <w:szCs w:val="21"/>
        </w:rPr>
        <w:t>年。</w:t>
      </w:r>
    </w:p>
    <w:p w14:paraId="42771446" w14:textId="5ED0E729" w:rsidR="00331F91" w:rsidRDefault="00564AC6" w:rsidP="00641EC7">
      <w:pPr>
        <w:pStyle w:val="1"/>
        <w:numPr>
          <w:ilvl w:val="3"/>
          <w:numId w:val="7"/>
        </w:numPr>
        <w:spacing w:line="360" w:lineRule="auto"/>
        <w:ind w:firstLineChars="0"/>
        <w:rPr>
          <w:bCs/>
          <w:color w:val="444444"/>
          <w:szCs w:val="21"/>
        </w:rPr>
      </w:pPr>
      <w:r>
        <w:rPr>
          <w:rFonts w:hint="eastAsia"/>
          <w:bCs/>
          <w:color w:val="444444"/>
          <w:szCs w:val="21"/>
        </w:rPr>
        <w:t>“增值</w:t>
      </w:r>
      <w:r w:rsidR="00641EC7">
        <w:rPr>
          <w:rFonts w:hint="eastAsia"/>
          <w:bCs/>
          <w:color w:val="444444"/>
          <w:szCs w:val="21"/>
        </w:rPr>
        <w:t>流量分成費用”：</w:t>
      </w:r>
    </w:p>
    <w:p w14:paraId="7875166D" w14:textId="3BD23E08" w:rsidR="00564AC6" w:rsidRPr="00B44D27" w:rsidRDefault="00564AC6" w:rsidP="00331F91">
      <w:pPr>
        <w:pStyle w:val="1"/>
        <w:numPr>
          <w:ilvl w:val="4"/>
          <w:numId w:val="7"/>
        </w:numPr>
        <w:spacing w:line="360" w:lineRule="auto"/>
        <w:ind w:firstLineChars="0"/>
        <w:rPr>
          <w:bCs/>
          <w:color w:val="444444"/>
          <w:szCs w:val="21"/>
        </w:rPr>
      </w:pPr>
      <w:r>
        <w:rPr>
          <w:rFonts w:hint="eastAsia"/>
          <w:bCs/>
          <w:color w:val="444444"/>
          <w:szCs w:val="21"/>
        </w:rPr>
        <w:t>基於甲方的產品開發進展，當甲方將本協議所提供之功能向“交易寶”用戶提供增值收費時，</w:t>
      </w:r>
      <w:r w:rsidR="00F6541A">
        <w:rPr>
          <w:rFonts w:hint="eastAsia"/>
          <w:bCs/>
          <w:color w:val="444444"/>
          <w:szCs w:val="21"/>
        </w:rPr>
        <w:t>乙方將</w:t>
      </w:r>
      <w:r>
        <w:rPr>
          <w:rFonts w:hint="eastAsia"/>
          <w:bCs/>
          <w:color w:val="444444"/>
          <w:szCs w:val="21"/>
        </w:rPr>
        <w:t>按照</w:t>
      </w:r>
      <w:r w:rsidR="00A90CBD">
        <w:rPr>
          <w:rFonts w:hint="eastAsia"/>
          <w:bCs/>
          <w:color w:val="444444"/>
          <w:szCs w:val="21"/>
        </w:rPr>
        <w:t>甲方</w:t>
      </w:r>
      <w:r w:rsidR="00F6541A">
        <w:rPr>
          <w:rFonts w:hint="eastAsia"/>
          <w:bCs/>
          <w:color w:val="444444"/>
          <w:szCs w:val="21"/>
        </w:rPr>
        <w:t>所</w:t>
      </w:r>
      <w:r>
        <w:rPr>
          <w:rFonts w:hint="eastAsia"/>
          <w:bCs/>
          <w:color w:val="444444"/>
          <w:szCs w:val="21"/>
        </w:rPr>
        <w:t>收取</w:t>
      </w:r>
      <w:r w:rsidR="00A90CBD">
        <w:rPr>
          <w:rFonts w:hint="eastAsia"/>
          <w:bCs/>
          <w:color w:val="444444"/>
          <w:szCs w:val="21"/>
        </w:rPr>
        <w:t>之增值</w:t>
      </w:r>
      <w:r>
        <w:rPr>
          <w:rFonts w:hint="eastAsia"/>
          <w:bCs/>
          <w:color w:val="444444"/>
          <w:szCs w:val="21"/>
        </w:rPr>
        <w:t>費用的</w:t>
      </w:r>
      <w:r w:rsidRPr="00B44D27">
        <w:rPr>
          <w:rFonts w:hint="eastAsia"/>
          <w:bCs/>
          <w:color w:val="444444"/>
          <w:szCs w:val="21"/>
        </w:rPr>
        <w:t>30%</w:t>
      </w:r>
      <w:r w:rsidR="00F6541A" w:rsidRPr="00B44D27">
        <w:rPr>
          <w:rFonts w:hint="eastAsia"/>
          <w:bCs/>
          <w:color w:val="444444"/>
          <w:szCs w:val="21"/>
        </w:rPr>
        <w:t>獲得分成。</w:t>
      </w:r>
    </w:p>
    <w:p w14:paraId="10A03529" w14:textId="50FDD42D" w:rsidR="00A05741" w:rsidRDefault="00AF089A" w:rsidP="00573837">
      <w:pPr>
        <w:pStyle w:val="1"/>
        <w:numPr>
          <w:ilvl w:val="0"/>
          <w:numId w:val="7"/>
        </w:numPr>
        <w:spacing w:line="360" w:lineRule="auto"/>
        <w:ind w:firstLineChars="0"/>
        <w:rPr>
          <w:b/>
          <w:bCs/>
          <w:color w:val="444444"/>
          <w:szCs w:val="21"/>
        </w:rPr>
      </w:pPr>
      <w:bookmarkStart w:id="0" w:name="_GoBack"/>
      <w:bookmarkEnd w:id="0"/>
      <w:r w:rsidRPr="0047658D">
        <w:rPr>
          <w:rFonts w:eastAsia="新細明體" w:hint="eastAsia"/>
          <w:b/>
          <w:bCs/>
          <w:color w:val="444444"/>
          <w:szCs w:val="21"/>
          <w:lang w:eastAsia="zh-TW"/>
        </w:rPr>
        <w:t>合作期限</w:t>
      </w:r>
    </w:p>
    <w:p w14:paraId="6D242B93" w14:textId="27CC721B" w:rsidR="00A05741" w:rsidRDefault="00DF49AA" w:rsidP="00103B68">
      <w:pPr>
        <w:pStyle w:val="1"/>
        <w:widowControl/>
        <w:adjustRightInd w:val="0"/>
        <w:snapToGrid w:val="0"/>
        <w:spacing w:before="100" w:beforeAutospacing="1" w:after="100" w:afterAutospacing="1" w:line="360" w:lineRule="auto"/>
        <w:ind w:firstLineChars="0" w:firstLine="0"/>
        <w:jc w:val="left"/>
        <w:rPr>
          <w:color w:val="444444"/>
          <w:szCs w:val="21"/>
          <w:lang w:eastAsia="zh-TW"/>
        </w:rPr>
      </w:pPr>
      <w:r>
        <w:rPr>
          <w:rFonts w:eastAsia="新細明體" w:hint="eastAsia"/>
          <w:color w:val="444444"/>
          <w:szCs w:val="21"/>
          <w:lang w:eastAsia="zh-TW"/>
        </w:rPr>
        <w:t>根據《戰略合作協議》，本協議所提供服務期限為</w:t>
      </w:r>
      <w:r>
        <w:rPr>
          <w:rFonts w:eastAsia="新細明體" w:hint="eastAsia"/>
          <w:color w:val="444444"/>
          <w:szCs w:val="21"/>
          <w:lang w:eastAsia="zh-TW"/>
        </w:rPr>
        <w:t>2</w:t>
      </w:r>
      <w:r>
        <w:rPr>
          <w:rFonts w:eastAsia="新細明體" w:hint="eastAsia"/>
          <w:color w:val="444444"/>
          <w:szCs w:val="21"/>
        </w:rPr>
        <w:t>年，在正式簽訂后生效。</w:t>
      </w:r>
      <w:r w:rsidR="00AF089A" w:rsidRPr="005E7A99">
        <w:rPr>
          <w:rFonts w:eastAsia="新細明體" w:hint="eastAsia"/>
          <w:color w:val="444444"/>
          <w:szCs w:val="21"/>
          <w:lang w:eastAsia="zh-TW"/>
        </w:rPr>
        <w:t>本</w:t>
      </w:r>
      <w:r w:rsidR="00501F9B">
        <w:rPr>
          <w:rFonts w:eastAsia="新細明體" w:hint="eastAsia"/>
          <w:color w:val="444444"/>
          <w:szCs w:val="21"/>
          <w:lang w:eastAsia="zh-TW"/>
        </w:rPr>
        <w:t>協議</w:t>
      </w:r>
      <w:r w:rsidR="00AF089A" w:rsidRPr="0047658D">
        <w:rPr>
          <w:rFonts w:eastAsia="新細明體" w:hint="eastAsia"/>
          <w:color w:val="444444"/>
          <w:szCs w:val="21"/>
          <w:lang w:eastAsia="zh-TW"/>
        </w:rPr>
        <w:t>合作期限屆滿</w:t>
      </w:r>
      <w:r w:rsidR="00AF089A" w:rsidRPr="005E7A99">
        <w:rPr>
          <w:rFonts w:eastAsia="新細明體" w:hint="eastAsia"/>
          <w:color w:val="444444"/>
          <w:szCs w:val="21"/>
          <w:lang w:eastAsia="zh-TW"/>
        </w:rPr>
        <w:t>後</w:t>
      </w:r>
      <w:r w:rsidR="00AF089A" w:rsidRPr="0047658D">
        <w:rPr>
          <w:rFonts w:eastAsia="新細明體" w:hint="eastAsia"/>
          <w:color w:val="444444"/>
          <w:szCs w:val="21"/>
          <w:lang w:eastAsia="zh-TW"/>
        </w:rPr>
        <w:t>，未經</w:t>
      </w:r>
      <w:r w:rsidR="00AF089A" w:rsidRPr="005E7A99">
        <w:rPr>
          <w:rFonts w:eastAsia="新細明體" w:hint="eastAsia"/>
          <w:color w:val="444444"/>
          <w:szCs w:val="21"/>
          <w:lang w:eastAsia="zh-TW"/>
        </w:rPr>
        <w:t>任何</w:t>
      </w:r>
      <w:r w:rsidR="00AF089A" w:rsidRPr="0047658D">
        <w:rPr>
          <w:rFonts w:eastAsia="新細明體" w:hint="eastAsia"/>
          <w:color w:val="444444"/>
          <w:szCs w:val="21"/>
          <w:lang w:eastAsia="zh-TW"/>
        </w:rPr>
        <w:t>一方書面通知，本</w:t>
      </w:r>
      <w:r w:rsidR="00501F9B">
        <w:rPr>
          <w:rFonts w:eastAsia="新細明體" w:hint="eastAsia"/>
          <w:color w:val="444444"/>
          <w:szCs w:val="21"/>
          <w:lang w:eastAsia="zh-TW"/>
        </w:rPr>
        <w:t>協議</w:t>
      </w:r>
      <w:r w:rsidR="00AF089A" w:rsidRPr="0047658D">
        <w:rPr>
          <w:rFonts w:eastAsia="新細明體" w:hint="eastAsia"/>
          <w:color w:val="444444"/>
          <w:szCs w:val="21"/>
          <w:lang w:eastAsia="zh-TW"/>
        </w:rPr>
        <w:t>將自動延續</w:t>
      </w:r>
      <w:r w:rsidR="00AF089A" w:rsidRPr="0047658D">
        <w:rPr>
          <w:rFonts w:eastAsia="新細明體"/>
          <w:color w:val="444444"/>
          <w:szCs w:val="21"/>
          <w:lang w:eastAsia="zh-TW"/>
        </w:rPr>
        <w:t>2</w:t>
      </w:r>
      <w:r w:rsidR="00AF089A" w:rsidRPr="0047658D">
        <w:rPr>
          <w:rFonts w:eastAsia="新細明體" w:hint="eastAsia"/>
          <w:color w:val="444444"/>
          <w:szCs w:val="21"/>
          <w:lang w:eastAsia="zh-TW"/>
        </w:rPr>
        <w:t>年。</w:t>
      </w:r>
    </w:p>
    <w:p w14:paraId="1FA8A3C2" w14:textId="655EBDB1"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保密條款</w:t>
      </w:r>
    </w:p>
    <w:p w14:paraId="239F1EF9" w14:textId="3B9A00E7" w:rsidR="00A05741" w:rsidRPr="00436405" w:rsidRDefault="00AF089A" w:rsidP="00C23FA5">
      <w:pPr>
        <w:numPr>
          <w:ilvl w:val="0"/>
          <w:numId w:val="6"/>
        </w:numPr>
        <w:spacing w:line="360" w:lineRule="auto"/>
        <w:rPr>
          <w:color w:val="444444"/>
          <w:szCs w:val="21"/>
          <w:lang w:eastAsia="zh-TW"/>
        </w:rPr>
      </w:pPr>
      <w:r w:rsidRPr="0047658D">
        <w:rPr>
          <w:rFonts w:eastAsia="新細明體" w:hint="eastAsia"/>
          <w:color w:val="444444"/>
          <w:szCs w:val="21"/>
          <w:lang w:eastAsia="zh-TW"/>
        </w:rPr>
        <w:t>任何一方對於因簽署或履行本</w:t>
      </w:r>
      <w:r w:rsidR="00501F9B">
        <w:rPr>
          <w:rFonts w:eastAsia="新細明體" w:hint="eastAsia"/>
          <w:color w:val="444444"/>
          <w:szCs w:val="21"/>
          <w:lang w:eastAsia="zh-TW"/>
        </w:rPr>
        <w:t>協議</w:t>
      </w:r>
      <w:r w:rsidRPr="0047658D">
        <w:rPr>
          <w:rFonts w:eastAsia="新細明體" w:hint="eastAsia"/>
          <w:color w:val="444444"/>
          <w:szCs w:val="21"/>
          <w:lang w:eastAsia="zh-TW"/>
        </w:rPr>
        <w:t>而瞭解</w:t>
      </w:r>
      <w:r w:rsidRPr="009C71B8">
        <w:rPr>
          <w:rFonts w:eastAsia="新細明體" w:hint="eastAsia"/>
          <w:color w:val="444444"/>
          <w:szCs w:val="21"/>
          <w:lang w:eastAsia="zh-TW"/>
        </w:rPr>
        <w:t>、</w:t>
      </w:r>
      <w:r w:rsidRPr="0047658D">
        <w:rPr>
          <w:rFonts w:eastAsia="新細明體" w:hint="eastAsia"/>
          <w:color w:val="444444"/>
          <w:szCs w:val="21"/>
          <w:lang w:eastAsia="zh-TW"/>
        </w:rPr>
        <w:t>接觸</w:t>
      </w:r>
      <w:r w:rsidRPr="00146199">
        <w:rPr>
          <w:rFonts w:eastAsia="新細明體" w:hint="eastAsia"/>
          <w:color w:val="444444"/>
          <w:szCs w:val="21"/>
          <w:lang w:eastAsia="zh-TW"/>
        </w:rPr>
        <w:t>或獲得另一方的技術、商業、業務或其他有關資料</w:t>
      </w:r>
      <w:r w:rsidRPr="009C71B8">
        <w:rPr>
          <w:rFonts w:eastAsia="新細明體" w:hint="eastAsia"/>
          <w:color w:val="444444"/>
          <w:szCs w:val="21"/>
          <w:lang w:eastAsia="zh-TW"/>
        </w:rPr>
        <w:t>、</w:t>
      </w:r>
      <w:r w:rsidRPr="0047658D">
        <w:rPr>
          <w:rFonts w:eastAsia="新細明體" w:hint="eastAsia"/>
          <w:color w:val="444444"/>
          <w:szCs w:val="21"/>
          <w:lang w:eastAsia="zh-TW"/>
        </w:rPr>
        <w:t>商業秘密</w:t>
      </w:r>
      <w:r w:rsidRPr="00B6704C">
        <w:rPr>
          <w:rFonts w:eastAsia="新細明體" w:hint="eastAsia"/>
          <w:color w:val="444444"/>
          <w:szCs w:val="21"/>
          <w:lang w:eastAsia="zh-TW"/>
        </w:rPr>
        <w:t>和</w:t>
      </w:r>
      <w:r w:rsidRPr="0047658D">
        <w:rPr>
          <w:rFonts w:eastAsia="新細明體" w:hint="eastAsia"/>
          <w:color w:val="444444"/>
          <w:szCs w:val="21"/>
          <w:lang w:eastAsia="zh-TW"/>
        </w:rPr>
        <w:t>其他機密資料和資訊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B6704C">
        <w:rPr>
          <w:rFonts w:eastAsia="新細明體" w:hint="eastAsia"/>
          <w:color w:val="444444"/>
          <w:szCs w:val="21"/>
          <w:lang w:eastAsia="zh-TW"/>
        </w:rPr>
        <w:t>以及本</w:t>
      </w:r>
      <w:r w:rsidR="00501F9B">
        <w:rPr>
          <w:rFonts w:eastAsia="新細明體" w:hint="eastAsia"/>
          <w:color w:val="444444"/>
          <w:szCs w:val="21"/>
          <w:lang w:eastAsia="zh-TW"/>
        </w:rPr>
        <w:t>協議</w:t>
      </w:r>
      <w:r w:rsidRPr="00B6704C">
        <w:rPr>
          <w:rFonts w:eastAsia="新細明體" w:hint="eastAsia"/>
          <w:color w:val="444444"/>
          <w:szCs w:val="21"/>
          <w:lang w:eastAsia="zh-TW"/>
        </w:rPr>
        <w:t>的存在</w:t>
      </w:r>
      <w:r w:rsidRPr="00C27532">
        <w:rPr>
          <w:rFonts w:eastAsia="新細明體" w:hint="eastAsia"/>
          <w:color w:val="444444"/>
          <w:szCs w:val="21"/>
          <w:lang w:eastAsia="zh-TW"/>
        </w:rPr>
        <w:t>、簽約方</w:t>
      </w:r>
      <w:r w:rsidRPr="00B6704C">
        <w:rPr>
          <w:rFonts w:eastAsia="新細明體" w:hint="eastAsia"/>
          <w:color w:val="444444"/>
          <w:szCs w:val="21"/>
          <w:lang w:eastAsia="zh-TW"/>
        </w:rPr>
        <w:t>及條款</w:t>
      </w:r>
      <w:r w:rsidRPr="0047658D">
        <w:rPr>
          <w:rFonts w:eastAsia="新細明體" w:hint="eastAsia"/>
          <w:color w:val="444444"/>
          <w:szCs w:val="21"/>
          <w:lang w:eastAsia="zh-TW"/>
        </w:rPr>
        <w:t>（以下簡稱“保密資訊”）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47658D">
        <w:rPr>
          <w:rFonts w:eastAsia="新細明體" w:hint="eastAsia"/>
          <w:color w:val="444444"/>
          <w:szCs w:val="21"/>
          <w:lang w:eastAsia="zh-TW"/>
        </w:rPr>
        <w:t>均應保守秘密</w:t>
      </w:r>
      <w:r w:rsidRPr="00CD2499">
        <w:rPr>
          <w:rFonts w:eastAsia="新細明體" w:hint="eastAsia"/>
          <w:color w:val="444444"/>
          <w:szCs w:val="21"/>
          <w:lang w:eastAsia="zh-TW"/>
        </w:rPr>
        <w:t>。</w:t>
      </w:r>
      <w:r w:rsidRPr="00146199">
        <w:rPr>
          <w:rFonts w:eastAsia="新細明體" w:hint="eastAsia"/>
          <w:color w:val="444444"/>
          <w:szCs w:val="21"/>
          <w:lang w:eastAsia="zh-TW"/>
        </w:rPr>
        <w:t>除</w:t>
      </w:r>
      <w:r w:rsidRPr="0047658D">
        <w:rPr>
          <w:rFonts w:eastAsia="新細明體" w:hint="eastAsia"/>
          <w:color w:val="444444"/>
          <w:szCs w:val="21"/>
          <w:lang w:eastAsia="zh-TW"/>
        </w:rPr>
        <w:t>非經</w:t>
      </w:r>
      <w:r w:rsidRPr="00146199">
        <w:rPr>
          <w:rFonts w:eastAsia="新細明體" w:hint="eastAsia"/>
          <w:color w:val="444444"/>
          <w:szCs w:val="21"/>
          <w:lang w:eastAsia="zh-TW"/>
        </w:rPr>
        <w:t>另一</w:t>
      </w:r>
      <w:r w:rsidRPr="0047658D">
        <w:rPr>
          <w:rFonts w:eastAsia="新細明體" w:hint="eastAsia"/>
          <w:color w:val="444444"/>
          <w:szCs w:val="21"/>
          <w:lang w:eastAsia="zh-TW"/>
        </w:rPr>
        <w:t>方書面同意，任何一方不得向</w:t>
      </w:r>
      <w:r w:rsidRPr="00146199">
        <w:rPr>
          <w:rFonts w:eastAsia="新細明體" w:hint="eastAsia"/>
          <w:color w:val="444444"/>
          <w:szCs w:val="21"/>
          <w:lang w:eastAsia="zh-TW"/>
        </w:rPr>
        <w:t>任何人</w:t>
      </w:r>
      <w:r w:rsidRPr="0047658D">
        <w:rPr>
          <w:rFonts w:eastAsia="新細明體" w:hint="eastAsia"/>
          <w:color w:val="444444"/>
          <w:szCs w:val="21"/>
          <w:lang w:eastAsia="zh-TW"/>
        </w:rPr>
        <w:t>洩露、給予或轉讓</w:t>
      </w:r>
      <w:r w:rsidRPr="00B6704C">
        <w:rPr>
          <w:rFonts w:eastAsia="新細明體" w:hint="eastAsia"/>
          <w:color w:val="444444"/>
          <w:szCs w:val="21"/>
          <w:lang w:eastAsia="zh-TW"/>
        </w:rPr>
        <w:t>保密</w:t>
      </w:r>
      <w:r w:rsidRPr="0047658D">
        <w:rPr>
          <w:rFonts w:eastAsia="新細明體" w:hint="eastAsia"/>
          <w:color w:val="444444"/>
          <w:szCs w:val="21"/>
          <w:lang w:eastAsia="zh-TW"/>
        </w:rPr>
        <w:t>資訊</w:t>
      </w:r>
      <w:r w:rsidRPr="00B6704C">
        <w:rPr>
          <w:rFonts w:eastAsia="新細明體" w:hint="eastAsia"/>
          <w:color w:val="444444"/>
          <w:szCs w:val="21"/>
          <w:lang w:eastAsia="zh-TW"/>
        </w:rPr>
        <w:t>，</w:t>
      </w:r>
      <w:r w:rsidRPr="00AC3C56">
        <w:rPr>
          <w:rFonts w:eastAsia="新細明體" w:hint="eastAsia"/>
          <w:color w:val="444444"/>
          <w:szCs w:val="21"/>
          <w:lang w:eastAsia="zh-TW"/>
        </w:rPr>
        <w:t>除非</w:t>
      </w:r>
      <w:r w:rsidRPr="00554902">
        <w:rPr>
          <w:rFonts w:eastAsia="新細明體" w:hint="eastAsia"/>
          <w:color w:val="444444"/>
          <w:szCs w:val="21"/>
          <w:lang w:eastAsia="zh-TW"/>
        </w:rPr>
        <w:t>是</w:t>
      </w:r>
      <w:r w:rsidRPr="00CD2499">
        <w:rPr>
          <w:rFonts w:eastAsia="新細明體" w:hint="eastAsia"/>
          <w:color w:val="444444"/>
          <w:szCs w:val="21"/>
          <w:lang w:eastAsia="zh-TW"/>
        </w:rPr>
        <w:t>（</w:t>
      </w:r>
      <w:proofErr w:type="spellStart"/>
      <w:r w:rsidRPr="00CD2499">
        <w:rPr>
          <w:rFonts w:eastAsia="新細明體"/>
          <w:color w:val="444444"/>
          <w:szCs w:val="21"/>
          <w:lang w:eastAsia="zh-TW"/>
        </w:rPr>
        <w:t>i</w:t>
      </w:r>
      <w:proofErr w:type="spellEnd"/>
      <w:r w:rsidRPr="00CD2499">
        <w:rPr>
          <w:rFonts w:eastAsia="新細明體" w:hint="eastAsia"/>
          <w:color w:val="444444"/>
          <w:szCs w:val="21"/>
          <w:lang w:eastAsia="zh-TW"/>
        </w:rPr>
        <w:t>）</w:t>
      </w:r>
      <w:r w:rsidRPr="00AC3C56">
        <w:rPr>
          <w:rFonts w:eastAsia="新細明體" w:hint="eastAsia"/>
          <w:color w:val="444444"/>
          <w:szCs w:val="21"/>
          <w:lang w:eastAsia="zh-TW"/>
        </w:rPr>
        <w:t>根據</w:t>
      </w:r>
      <w:r w:rsidRPr="008F0B02">
        <w:rPr>
          <w:rFonts w:eastAsia="新細明體" w:hint="eastAsia"/>
          <w:color w:val="444444"/>
          <w:szCs w:val="21"/>
          <w:lang w:eastAsia="zh-TW"/>
        </w:rPr>
        <w:t>任何適用的法律、</w:t>
      </w:r>
      <w:r>
        <w:rPr>
          <w:rFonts w:eastAsia="新細明體" w:hint="eastAsia"/>
          <w:color w:val="444444"/>
          <w:szCs w:val="21"/>
          <w:lang w:eastAsia="zh-TW"/>
        </w:rPr>
        <w:t>規則或規章或任何有權的政府</w:t>
      </w:r>
      <w:r w:rsidRPr="00AC3C56">
        <w:rPr>
          <w:rFonts w:eastAsia="新細明體" w:hint="eastAsia"/>
          <w:color w:val="444444"/>
          <w:szCs w:val="21"/>
          <w:lang w:eastAsia="zh-TW"/>
        </w:rPr>
        <w:t>或</w:t>
      </w:r>
      <w:r>
        <w:rPr>
          <w:rFonts w:eastAsia="新細明體" w:hint="eastAsia"/>
          <w:color w:val="444444"/>
          <w:szCs w:val="21"/>
          <w:lang w:eastAsia="zh-TW"/>
        </w:rPr>
        <w:t>監管機構</w:t>
      </w:r>
      <w:r w:rsidRPr="00AC3C56">
        <w:rPr>
          <w:rFonts w:eastAsia="新細明體" w:hint="eastAsia"/>
          <w:color w:val="444444"/>
          <w:szCs w:val="21"/>
          <w:lang w:eastAsia="zh-TW"/>
        </w:rPr>
        <w:t>的</w:t>
      </w:r>
      <w:r w:rsidRPr="008F0B02">
        <w:rPr>
          <w:rFonts w:eastAsia="新細明體" w:hint="eastAsia"/>
          <w:color w:val="444444"/>
          <w:szCs w:val="21"/>
          <w:lang w:eastAsia="zh-TW"/>
        </w:rPr>
        <w:t>要求</w:t>
      </w:r>
      <w:r w:rsidRPr="00906E71">
        <w:rPr>
          <w:rFonts w:eastAsia="新細明體" w:hint="eastAsia"/>
          <w:color w:val="444444"/>
          <w:szCs w:val="21"/>
          <w:lang w:eastAsia="zh-TW"/>
        </w:rPr>
        <w:t>而</w:t>
      </w:r>
      <w:r w:rsidR="00C23FA5" w:rsidRPr="00C23FA5">
        <w:rPr>
          <w:rFonts w:eastAsia="新細明體" w:hint="eastAsia"/>
          <w:color w:val="444444"/>
          <w:szCs w:val="21"/>
          <w:lang w:eastAsia="zh-TW"/>
        </w:rPr>
        <w:t>作出</w:t>
      </w:r>
      <w:r w:rsidRPr="00906E71">
        <w:rPr>
          <w:rFonts w:eastAsia="新細明體" w:hint="eastAsia"/>
          <w:color w:val="444444"/>
          <w:szCs w:val="21"/>
          <w:lang w:eastAsia="zh-TW"/>
        </w:rPr>
        <w:t>披露</w:t>
      </w:r>
      <w:r w:rsidRPr="00BD5B98">
        <w:rPr>
          <w:rFonts w:eastAsia="新細明體" w:hint="eastAsia"/>
          <w:color w:val="444444"/>
          <w:szCs w:val="21"/>
          <w:lang w:eastAsia="zh-TW"/>
        </w:rPr>
        <w:t>或</w:t>
      </w:r>
      <w:r w:rsidRPr="00CD2499">
        <w:rPr>
          <w:rFonts w:eastAsia="新細明體" w:hint="eastAsia"/>
          <w:color w:val="444444"/>
          <w:szCs w:val="21"/>
          <w:lang w:eastAsia="zh-TW"/>
        </w:rPr>
        <w:t>（</w:t>
      </w:r>
      <w:r w:rsidRPr="00CD2499">
        <w:rPr>
          <w:rFonts w:eastAsia="新細明體"/>
          <w:color w:val="444444"/>
          <w:szCs w:val="21"/>
          <w:lang w:eastAsia="zh-TW"/>
        </w:rPr>
        <w:t>ii</w:t>
      </w:r>
      <w:r w:rsidRPr="00CD2499">
        <w:rPr>
          <w:rFonts w:eastAsia="新細明體" w:hint="eastAsia"/>
          <w:color w:val="444444"/>
          <w:szCs w:val="21"/>
          <w:lang w:eastAsia="zh-TW"/>
        </w:rPr>
        <w:t>）</w:t>
      </w:r>
      <w:r w:rsidRPr="00436405">
        <w:rPr>
          <w:rFonts w:eastAsia="新細明體" w:hint="eastAsia"/>
          <w:color w:val="444444"/>
          <w:szCs w:val="21"/>
          <w:lang w:eastAsia="zh-TW"/>
        </w:rPr>
        <w:t>如甲方認為適當，</w:t>
      </w:r>
      <w:r w:rsidRPr="00436405">
        <w:rPr>
          <w:rFonts w:eastAsia="新細明體"/>
          <w:color w:val="444444"/>
          <w:szCs w:val="21"/>
          <w:lang w:eastAsia="zh-TW"/>
        </w:rPr>
        <w:t xml:space="preserve"> </w:t>
      </w:r>
      <w:r w:rsidRPr="00436405">
        <w:rPr>
          <w:rFonts w:eastAsia="新細明體" w:hint="eastAsia"/>
          <w:color w:val="444444"/>
          <w:szCs w:val="21"/>
          <w:lang w:eastAsia="zh-TW"/>
        </w:rPr>
        <w:t>可</w:t>
      </w:r>
      <w:r w:rsidR="00ED51A2" w:rsidRPr="00436405">
        <w:rPr>
          <w:rFonts w:eastAsia="新細明體" w:hint="eastAsia"/>
          <w:color w:val="444444"/>
          <w:szCs w:val="21"/>
          <w:lang w:eastAsia="zh-TW"/>
        </w:rPr>
        <w:t>單方面及不需通知</w:t>
      </w:r>
      <w:r w:rsidR="00C23FA5" w:rsidRPr="00436405">
        <w:rPr>
          <w:rFonts w:eastAsia="新細明體" w:hint="eastAsia"/>
          <w:color w:val="444444"/>
          <w:szCs w:val="21"/>
          <w:lang w:eastAsia="zh-TW"/>
        </w:rPr>
        <w:t>乙方情況下</w:t>
      </w:r>
      <w:r w:rsidRPr="00436405">
        <w:rPr>
          <w:rFonts w:eastAsia="新細明體" w:hint="eastAsia"/>
          <w:color w:val="444444"/>
          <w:szCs w:val="21"/>
          <w:lang w:eastAsia="zh-TW"/>
        </w:rPr>
        <w:t>向媒體、公眾或相關證券交易所就本</w:t>
      </w:r>
      <w:r w:rsidR="00501F9B" w:rsidRPr="00436405">
        <w:rPr>
          <w:rFonts w:eastAsia="新細明體" w:hint="eastAsia"/>
          <w:color w:val="444444"/>
          <w:szCs w:val="21"/>
          <w:lang w:eastAsia="zh-TW"/>
        </w:rPr>
        <w:t>協議</w:t>
      </w:r>
      <w:r w:rsidRPr="00436405">
        <w:rPr>
          <w:rFonts w:eastAsia="新細明體" w:hint="eastAsia"/>
          <w:color w:val="444444"/>
          <w:szCs w:val="21"/>
          <w:lang w:eastAsia="zh-TW"/>
        </w:rPr>
        <w:t>及其相關的條款等事宜作出披露。</w:t>
      </w:r>
    </w:p>
    <w:p w14:paraId="2A73F39A" w14:textId="432BF76B" w:rsidR="00A05741" w:rsidRDefault="00AF089A" w:rsidP="0001746B">
      <w:pPr>
        <w:numPr>
          <w:ilvl w:val="0"/>
          <w:numId w:val="6"/>
        </w:numPr>
        <w:spacing w:line="360" w:lineRule="auto"/>
        <w:rPr>
          <w:color w:val="444444"/>
          <w:szCs w:val="21"/>
          <w:lang w:eastAsia="zh-TW"/>
        </w:rPr>
      </w:pPr>
      <w:r w:rsidRPr="0047658D">
        <w:rPr>
          <w:rFonts w:eastAsia="新細明體" w:hint="eastAsia"/>
          <w:color w:val="444444"/>
          <w:szCs w:val="21"/>
          <w:lang w:eastAsia="zh-TW"/>
        </w:rPr>
        <w:t>除本</w:t>
      </w:r>
      <w:r w:rsidR="00501F9B">
        <w:rPr>
          <w:rFonts w:eastAsia="新細明體" w:hint="eastAsia"/>
          <w:color w:val="444444"/>
          <w:szCs w:val="21"/>
          <w:lang w:eastAsia="zh-TW"/>
        </w:rPr>
        <w:t>協議</w:t>
      </w:r>
      <w:r w:rsidRPr="0047658D">
        <w:rPr>
          <w:rFonts w:eastAsia="新細明體" w:hint="eastAsia"/>
          <w:color w:val="444444"/>
          <w:szCs w:val="21"/>
          <w:lang w:eastAsia="zh-TW"/>
        </w:rPr>
        <w:t>規定之</w:t>
      </w:r>
      <w:r w:rsidRPr="00262A6A">
        <w:rPr>
          <w:rFonts w:eastAsia="新細明體" w:hint="eastAsia"/>
          <w:color w:val="444444"/>
          <w:szCs w:val="21"/>
          <w:lang w:eastAsia="zh-TW"/>
        </w:rPr>
        <w:t>目的</w:t>
      </w:r>
      <w:r w:rsidRPr="0047658D">
        <w:rPr>
          <w:rFonts w:eastAsia="新細明體" w:hint="eastAsia"/>
          <w:color w:val="444444"/>
          <w:szCs w:val="21"/>
          <w:lang w:eastAsia="zh-TW"/>
        </w:rPr>
        <w:t>所需外，未經</w:t>
      </w:r>
      <w:r w:rsidRPr="00262A6A">
        <w:rPr>
          <w:rFonts w:eastAsia="新細明體" w:hint="eastAsia"/>
          <w:color w:val="444444"/>
          <w:szCs w:val="21"/>
          <w:lang w:eastAsia="zh-TW"/>
        </w:rPr>
        <w:t>另一</w:t>
      </w:r>
      <w:r w:rsidRPr="0047658D">
        <w:rPr>
          <w:rFonts w:eastAsia="新細明體" w:hint="eastAsia"/>
          <w:color w:val="444444"/>
          <w:szCs w:val="21"/>
          <w:lang w:eastAsia="zh-TW"/>
        </w:rPr>
        <w:t>方書面同意，不得擅自使用、複製</w:t>
      </w:r>
      <w:r w:rsidRPr="00262A6A">
        <w:rPr>
          <w:rFonts w:eastAsia="新細明體" w:hint="eastAsia"/>
          <w:color w:val="444444"/>
          <w:szCs w:val="21"/>
          <w:lang w:eastAsia="zh-TW"/>
        </w:rPr>
        <w:t>另一</w:t>
      </w:r>
      <w:r w:rsidRPr="0047658D">
        <w:rPr>
          <w:rFonts w:eastAsia="新細明體" w:hint="eastAsia"/>
          <w:color w:val="444444"/>
          <w:szCs w:val="21"/>
          <w:lang w:eastAsia="zh-TW"/>
        </w:rPr>
        <w:t>方的商標、標誌、商業資訊、技術及</w:t>
      </w:r>
      <w:r w:rsidRPr="00DD7D01">
        <w:rPr>
          <w:rFonts w:eastAsia="新細明體" w:hint="eastAsia"/>
          <w:color w:val="444444"/>
          <w:szCs w:val="21"/>
          <w:lang w:eastAsia="zh-TW"/>
        </w:rPr>
        <w:t>保密資訊</w:t>
      </w:r>
      <w:r w:rsidRPr="0047658D">
        <w:rPr>
          <w:rFonts w:eastAsia="新細明體" w:hint="eastAsia"/>
          <w:color w:val="444444"/>
          <w:szCs w:val="21"/>
          <w:lang w:eastAsia="zh-TW"/>
        </w:rPr>
        <w:t>。</w:t>
      </w:r>
    </w:p>
    <w:p w14:paraId="3D5516D0" w14:textId="77777777" w:rsidR="00A05741" w:rsidRDefault="00A05741">
      <w:pPr>
        <w:spacing w:line="360" w:lineRule="auto"/>
        <w:ind w:left="425"/>
        <w:rPr>
          <w:color w:val="444444"/>
          <w:szCs w:val="21"/>
          <w:lang w:eastAsia="zh-TW"/>
        </w:rPr>
      </w:pPr>
    </w:p>
    <w:p w14:paraId="0459086D" w14:textId="08BFACE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本</w:t>
      </w:r>
      <w:r w:rsidR="00501F9B">
        <w:rPr>
          <w:rFonts w:eastAsia="新細明體" w:hint="eastAsia"/>
          <w:b/>
          <w:bCs/>
          <w:color w:val="444444"/>
          <w:szCs w:val="21"/>
          <w:lang w:eastAsia="zh-TW"/>
        </w:rPr>
        <w:t>協議</w:t>
      </w:r>
      <w:r w:rsidRPr="0047658D">
        <w:rPr>
          <w:rFonts w:eastAsia="新細明體" w:hint="eastAsia"/>
          <w:b/>
          <w:bCs/>
          <w:color w:val="444444"/>
          <w:szCs w:val="21"/>
          <w:lang w:eastAsia="zh-TW"/>
        </w:rPr>
        <w:t>附件</w:t>
      </w:r>
    </w:p>
    <w:p w14:paraId="5FBB4385" w14:textId="3E24D7C1" w:rsidR="00DF49AA" w:rsidRDefault="00DF49AA" w:rsidP="002D496A">
      <w:pPr>
        <w:numPr>
          <w:ilvl w:val="0"/>
          <w:numId w:val="4"/>
        </w:numPr>
        <w:spacing w:line="360" w:lineRule="auto"/>
        <w:rPr>
          <w:color w:val="444444"/>
          <w:szCs w:val="21"/>
          <w:lang w:eastAsia="zh-TW"/>
        </w:rPr>
      </w:pPr>
      <w:r>
        <w:rPr>
          <w:rFonts w:hint="eastAsia"/>
          <w:color w:val="444444"/>
          <w:szCs w:val="21"/>
        </w:rPr>
        <w:t>《智能技術形態分析：產品交互設計草圖》</w:t>
      </w:r>
    </w:p>
    <w:p w14:paraId="74E98875" w14:textId="7CBD5623" w:rsidR="00DF49AA" w:rsidRPr="00DF49AA" w:rsidRDefault="00DF49AA" w:rsidP="002D496A">
      <w:pPr>
        <w:numPr>
          <w:ilvl w:val="0"/>
          <w:numId w:val="4"/>
        </w:numPr>
        <w:spacing w:line="360" w:lineRule="auto"/>
        <w:rPr>
          <w:color w:val="444444"/>
          <w:szCs w:val="21"/>
          <w:lang w:eastAsia="zh-TW"/>
        </w:rPr>
      </w:pPr>
      <w:r>
        <w:rPr>
          <w:rFonts w:hint="eastAsia"/>
          <w:color w:val="444444"/>
          <w:szCs w:val="21"/>
        </w:rPr>
        <w:t>《智能技術形態分析：產品部署架構草圖》</w:t>
      </w:r>
    </w:p>
    <w:p w14:paraId="0D34F4B7" w14:textId="6797E339" w:rsidR="00EC7306" w:rsidRPr="00EC7306" w:rsidRDefault="00EC7306" w:rsidP="002D496A">
      <w:pPr>
        <w:numPr>
          <w:ilvl w:val="0"/>
          <w:numId w:val="4"/>
        </w:numPr>
        <w:spacing w:line="360" w:lineRule="auto"/>
        <w:rPr>
          <w:color w:val="444444"/>
          <w:szCs w:val="21"/>
          <w:lang w:eastAsia="zh-TW"/>
        </w:rPr>
      </w:pPr>
      <w:r>
        <w:rPr>
          <w:rFonts w:hint="eastAsia"/>
          <w:bCs/>
          <w:color w:val="444444"/>
          <w:szCs w:val="21"/>
        </w:rPr>
        <w:t>《</w:t>
      </w:r>
      <w:r w:rsidR="00DF49AA">
        <w:rPr>
          <w:rFonts w:hint="eastAsia"/>
          <w:bCs/>
          <w:color w:val="444444"/>
          <w:szCs w:val="21"/>
        </w:rPr>
        <w:t>智能技術形態分析：</w:t>
      </w:r>
      <w:r>
        <w:rPr>
          <w:rFonts w:hint="eastAsia"/>
          <w:bCs/>
          <w:color w:val="444444"/>
          <w:szCs w:val="21"/>
        </w:rPr>
        <w:t>標的列表和經典形態列表》</w:t>
      </w:r>
    </w:p>
    <w:p w14:paraId="570F0D5C" w14:textId="77777777" w:rsidR="00A05741" w:rsidRDefault="00A05741">
      <w:pPr>
        <w:spacing w:line="360" w:lineRule="auto"/>
        <w:ind w:left="425"/>
        <w:rPr>
          <w:color w:val="444444"/>
          <w:szCs w:val="21"/>
          <w:lang w:eastAsia="zh-TW"/>
        </w:rPr>
      </w:pPr>
    </w:p>
    <w:p w14:paraId="778054FD" w14:textId="58C284C4"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其他</w:t>
      </w:r>
    </w:p>
    <w:p w14:paraId="3D3F49E3" w14:textId="090641F4" w:rsidR="006E15E5" w:rsidRPr="007A2650" w:rsidRDefault="00AF089A" w:rsidP="007A2650">
      <w:pPr>
        <w:numPr>
          <w:ilvl w:val="0"/>
          <w:numId w:val="14"/>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一式四份，雙方各執兩份，具有同等法律效力。其他未盡事宜由雙方另行協商解決。</w:t>
      </w:r>
      <w:r w:rsidR="006E15E5" w:rsidRPr="007A2650">
        <w:rPr>
          <w:rFonts w:ascii="SimSun" w:eastAsia="新細明體" w:hAnsi="SimSun"/>
          <w:b/>
          <w:sz w:val="24"/>
          <w:lang w:eastAsia="zh-TW"/>
        </w:rPr>
        <w:br w:type="page"/>
      </w:r>
    </w:p>
    <w:p w14:paraId="3273657F" w14:textId="74526168" w:rsidR="00A05741" w:rsidRDefault="00AF089A">
      <w:pPr>
        <w:spacing w:line="360" w:lineRule="auto"/>
        <w:ind w:left="560"/>
        <w:jc w:val="center"/>
        <w:textAlignment w:val="baseline"/>
        <w:rPr>
          <w:rFonts w:ascii="SimSun" w:hAnsi="SimSun"/>
          <w:b/>
          <w:sz w:val="24"/>
          <w:lang w:eastAsia="zh-TW"/>
        </w:rPr>
      </w:pPr>
      <w:r w:rsidRPr="0047658D">
        <w:rPr>
          <w:rFonts w:ascii="SimSun" w:eastAsia="新細明體" w:hAnsi="SimSun" w:hint="eastAsia"/>
          <w:b/>
          <w:sz w:val="24"/>
          <w:lang w:eastAsia="zh-TW"/>
        </w:rPr>
        <w:lastRenderedPageBreak/>
        <w:t>（本頁無正文，為簽字頁）</w:t>
      </w:r>
    </w:p>
    <w:p w14:paraId="10098950"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8E5832D"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77E62944"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3CA0053" w14:textId="0599D14A" w:rsidR="00A05741" w:rsidRPr="00FC6963" w:rsidRDefault="00AF089A" w:rsidP="00FC6963">
      <w:pPr>
        <w:spacing w:line="360" w:lineRule="auto"/>
        <w:outlineLvl w:val="0"/>
        <w:rPr>
          <w:rFonts w:ascii="SimSun" w:hAnsi="SimSun"/>
          <w:sz w:val="24"/>
          <w:lang w:eastAsia="zh-TW"/>
        </w:rPr>
      </w:pPr>
      <w:r w:rsidRPr="0047658D">
        <w:rPr>
          <w:rFonts w:ascii="SimSun" w:eastAsia="新細明體" w:hAnsi="SimSun" w:hint="eastAsia"/>
          <w:sz w:val="24"/>
          <w:lang w:eastAsia="zh-TW"/>
        </w:rPr>
        <w:t>甲</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方：交銀國際控股有限公司</w:t>
      </w:r>
      <w:r w:rsidRPr="0047658D">
        <w:rPr>
          <w:rFonts w:ascii="SimSun" w:eastAsia="新細明體" w:hAnsi="SimSun"/>
          <w:sz w:val="24"/>
          <w:lang w:eastAsia="zh-TW"/>
        </w:rPr>
        <w:t xml:space="preserve">   </w:t>
      </w:r>
    </w:p>
    <w:p w14:paraId="077B5C47" w14:textId="77777777" w:rsidR="00A05741" w:rsidRPr="00FC6963" w:rsidRDefault="00A05741">
      <w:pPr>
        <w:tabs>
          <w:tab w:val="left" w:pos="540"/>
        </w:tabs>
        <w:adjustRightInd w:val="0"/>
        <w:snapToGrid w:val="0"/>
        <w:spacing w:line="360" w:lineRule="auto"/>
        <w:rPr>
          <w:rFonts w:ascii="SimSun" w:hAnsi="SimSun"/>
          <w:sz w:val="24"/>
          <w:lang w:eastAsia="zh-TW"/>
        </w:rPr>
      </w:pPr>
    </w:p>
    <w:p w14:paraId="228FC764" w14:textId="77777777" w:rsidR="00A05741" w:rsidRPr="00FC6963" w:rsidRDefault="00A05741">
      <w:pPr>
        <w:tabs>
          <w:tab w:val="left" w:pos="540"/>
        </w:tabs>
        <w:adjustRightInd w:val="0"/>
        <w:snapToGrid w:val="0"/>
        <w:spacing w:line="360" w:lineRule="auto"/>
        <w:rPr>
          <w:rFonts w:ascii="SimSun" w:hAnsi="SimSun"/>
          <w:sz w:val="24"/>
          <w:lang w:eastAsia="zh-TW"/>
        </w:rPr>
      </w:pPr>
    </w:p>
    <w:p w14:paraId="00E118A1" w14:textId="78FEBE8C"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甲方簽名（或蓋章）：</w:t>
      </w:r>
      <w:r w:rsidR="00496612" w:rsidRPr="00FC6963">
        <w:rPr>
          <w:rFonts w:ascii="SimSun" w:hAnsi="SimSun" w:hint="eastAsia"/>
          <w:sz w:val="24"/>
          <w:lang w:eastAsia="zh-TW"/>
        </w:rPr>
        <w:t xml:space="preserve">            </w:t>
      </w:r>
    </w:p>
    <w:p w14:paraId="567A8F09" w14:textId="77777777" w:rsidR="00A05741" w:rsidRPr="00FC6963" w:rsidRDefault="00A05741">
      <w:pPr>
        <w:adjustRightInd w:val="0"/>
        <w:snapToGrid w:val="0"/>
        <w:spacing w:line="360" w:lineRule="auto"/>
        <w:rPr>
          <w:rFonts w:ascii="SimSun" w:hAnsi="SimSun"/>
          <w:sz w:val="24"/>
          <w:lang w:eastAsia="zh-TW"/>
        </w:rPr>
      </w:pPr>
    </w:p>
    <w:p w14:paraId="36CE2F1A" w14:textId="53BD2A50"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1EF1CDCA" w14:textId="77777777" w:rsidR="00A05741" w:rsidRPr="00FC6963" w:rsidRDefault="00A05741">
      <w:pPr>
        <w:rPr>
          <w:sz w:val="24"/>
        </w:rPr>
      </w:pPr>
    </w:p>
    <w:p w14:paraId="3D7093F4" w14:textId="2CB18B41" w:rsidR="00A05741" w:rsidRPr="00FC6963" w:rsidRDefault="00AF089A" w:rsidP="00FC6963">
      <w:pPr>
        <w:spacing w:line="360" w:lineRule="auto"/>
        <w:outlineLvl w:val="0"/>
        <w:rPr>
          <w:rFonts w:ascii="SimSun" w:hAnsi="SimSun"/>
          <w:sz w:val="24"/>
        </w:rPr>
      </w:pPr>
      <w:r w:rsidRPr="0047658D">
        <w:rPr>
          <w:rFonts w:ascii="SimSun" w:eastAsia="新細明體" w:hAnsi="SimSun" w:hint="eastAsia"/>
          <w:sz w:val="24"/>
          <w:lang w:eastAsia="zh-TW"/>
        </w:rPr>
        <w:t>乙</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w:t>
      </w:r>
      <w:r w:rsidRPr="0047658D">
        <w:rPr>
          <w:rFonts w:eastAsia="新細明體" w:hint="eastAsia"/>
          <w:color w:val="444444"/>
          <w:sz w:val="24"/>
          <w:lang w:eastAsia="zh-TW"/>
        </w:rPr>
        <w:t>香港</w:t>
      </w:r>
      <w:r w:rsidR="00B56D06">
        <w:rPr>
          <w:rFonts w:eastAsia="新細明體" w:hint="eastAsia"/>
          <w:color w:val="444444"/>
          <w:sz w:val="24"/>
          <w:lang w:eastAsia="zh-TW"/>
        </w:rPr>
        <w:t>智能</w:t>
      </w:r>
      <w:r w:rsidRPr="0047658D">
        <w:rPr>
          <w:rFonts w:eastAsia="新細明體" w:hint="eastAsia"/>
          <w:color w:val="444444"/>
          <w:sz w:val="24"/>
          <w:lang w:eastAsia="zh-TW"/>
        </w:rPr>
        <w:t>金融科技有限公司</w:t>
      </w:r>
      <w:r>
        <w:rPr>
          <w:rFonts w:eastAsia="新細明體" w:hint="eastAsia"/>
          <w:color w:val="444444"/>
          <w:sz w:val="24"/>
          <w:lang w:eastAsia="zh-TW"/>
        </w:rPr>
        <w:t>（</w:t>
      </w:r>
      <w:r>
        <w:rPr>
          <w:rFonts w:eastAsia="新細明體"/>
          <w:color w:val="444444"/>
          <w:sz w:val="24"/>
          <w:lang w:eastAsia="zh-TW"/>
        </w:rPr>
        <w:t>FDT AI Limited</w:t>
      </w:r>
      <w:r>
        <w:rPr>
          <w:rFonts w:eastAsia="新細明體" w:hint="eastAsia"/>
          <w:color w:val="444444"/>
          <w:sz w:val="24"/>
          <w:lang w:eastAsia="zh-TW"/>
        </w:rPr>
        <w:t>）</w:t>
      </w:r>
    </w:p>
    <w:p w14:paraId="22E8BBC1" w14:textId="77777777" w:rsidR="00A05741" w:rsidRPr="00FC6963" w:rsidRDefault="00A05741">
      <w:pPr>
        <w:tabs>
          <w:tab w:val="left" w:pos="540"/>
        </w:tabs>
        <w:adjustRightInd w:val="0"/>
        <w:snapToGrid w:val="0"/>
        <w:spacing w:line="360" w:lineRule="auto"/>
        <w:rPr>
          <w:rFonts w:ascii="SimSun" w:hAnsi="SimSun"/>
          <w:sz w:val="24"/>
        </w:rPr>
      </w:pPr>
    </w:p>
    <w:p w14:paraId="557792DC" w14:textId="20317458"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乙方簽名（或蓋章）：</w:t>
      </w:r>
      <w:r w:rsidR="00496612" w:rsidRPr="00FC6963">
        <w:rPr>
          <w:rFonts w:ascii="SimSun" w:hAnsi="SimSun" w:hint="eastAsia"/>
          <w:sz w:val="24"/>
          <w:lang w:eastAsia="zh-TW"/>
        </w:rPr>
        <w:t xml:space="preserve">            </w:t>
      </w:r>
    </w:p>
    <w:p w14:paraId="6749E127" w14:textId="77777777" w:rsidR="00A05741" w:rsidRPr="00FC6963" w:rsidRDefault="00A05741">
      <w:pPr>
        <w:adjustRightInd w:val="0"/>
        <w:snapToGrid w:val="0"/>
        <w:spacing w:line="360" w:lineRule="auto"/>
        <w:rPr>
          <w:rFonts w:ascii="SimSun" w:hAnsi="SimSun"/>
          <w:sz w:val="24"/>
          <w:lang w:eastAsia="zh-TW"/>
        </w:rPr>
      </w:pPr>
    </w:p>
    <w:p w14:paraId="184F9034" w14:textId="3256F866"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4EED4C" w14:textId="77777777" w:rsidR="005C62EF" w:rsidRDefault="005C62EF">
      <w:r>
        <w:separator/>
      </w:r>
    </w:p>
  </w:endnote>
  <w:endnote w:type="continuationSeparator" w:id="0">
    <w:p w14:paraId="20B2A797" w14:textId="77777777" w:rsidR="005C62EF" w:rsidRDefault="005C62EF">
      <w:r>
        <w:continuationSeparator/>
      </w:r>
    </w:p>
  </w:endnote>
  <w:endnote w:type="continuationNotice" w:id="1">
    <w:p w14:paraId="5F9E2C90" w14:textId="77777777" w:rsidR="005C62EF" w:rsidRDefault="005C62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ڌ墍">
    <w:altName w:val="SimSun"/>
    <w:charset w:val="86"/>
    <w:family w:val="roman"/>
    <w:pitch w:val="default"/>
    <w:sig w:usb0="00000000" w:usb1="00000000" w:usb2="00000010" w:usb3="00000000" w:csb0="00040000" w:csb1="00000000"/>
  </w:font>
  <w:font w:name="SimHei">
    <w:panose1 w:val="02010609060101010101"/>
    <w:charset w:val="88"/>
    <w:family w:val="auto"/>
    <w:pitch w:val="variable"/>
    <w:sig w:usb0="800002BF" w:usb1="38CF7CFA" w:usb2="00000016" w:usb3="00000000" w:csb0="0014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3BBF10" w14:textId="77777777" w:rsidR="005C62EF" w:rsidRDefault="005C62EF">
      <w:r>
        <w:separator/>
      </w:r>
    </w:p>
  </w:footnote>
  <w:footnote w:type="continuationSeparator" w:id="0">
    <w:p w14:paraId="41124589" w14:textId="77777777" w:rsidR="005C62EF" w:rsidRDefault="005C62EF">
      <w:r>
        <w:continuationSeparator/>
      </w:r>
    </w:p>
  </w:footnote>
  <w:footnote w:type="continuationNotice" w:id="1">
    <w:p w14:paraId="7BFBE4EF" w14:textId="77777777" w:rsidR="005C62EF" w:rsidRDefault="005C62EF"/>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F089A" w:rsidRDefault="00AF089A">
    <w:pPr>
      <w:pStyle w:val="Header"/>
      <w:jc w:val="both"/>
    </w:pPr>
    <w:r>
      <w:rPr>
        <w:noProof/>
        <w:lang w:eastAsia="en-US"/>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nsid w:val="565B3B34"/>
    <w:multiLevelType w:val="hybridMultilevel"/>
    <w:tmpl w:val="7E2E2A7E"/>
    <w:lvl w:ilvl="0" w:tplc="30BABE56">
      <w:start w:val="1"/>
      <w:numFmt w:val="lowerLetter"/>
      <w:lvlText w:val="%1."/>
      <w:lvlJc w:val="left"/>
      <w:pPr>
        <w:ind w:left="2040" w:hanging="360"/>
      </w:pPr>
      <w:rPr>
        <w:rFonts w:hint="eastAsia"/>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9">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新細明體" w:eastAsia="新細明體" w:hAnsi="新細明體"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新細明體" w:eastAsia="新細明體" w:hAnsi="新細明體"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新細明體" w:eastAsia="新細明體" w:hAnsi="新細明體" w:hint="eastAsia"/>
      </w:rPr>
    </w:lvl>
    <w:lvl w:ilvl="8" w:tplc="0409001B" w:tentative="1">
      <w:start w:val="1"/>
      <w:numFmt w:val="lowerRoman"/>
      <w:lvlText w:val="%9."/>
      <w:lvlJc w:val="right"/>
      <w:pPr>
        <w:ind w:left="4381" w:hanging="480"/>
      </w:pPr>
    </w:lvl>
  </w:abstractNum>
  <w:abstractNum w:abstractNumId="21">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20"/>
  </w:num>
  <w:num w:numId="17">
    <w:abstractNumId w:val="22"/>
  </w:num>
  <w:num w:numId="18">
    <w:abstractNumId w:val="14"/>
  </w:num>
  <w:num w:numId="19">
    <w:abstractNumId w:val="15"/>
  </w:num>
  <w:num w:numId="20">
    <w:abstractNumId w:val="16"/>
  </w:num>
  <w:num w:numId="21">
    <w:abstractNumId w:val="21"/>
  </w:num>
  <w:num w:numId="22">
    <w:abstractNumId w:val="23"/>
  </w:num>
  <w:num w:numId="23">
    <w:abstractNumId w:val="19"/>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1746B"/>
    <w:rsid w:val="000254DB"/>
    <w:rsid w:val="00043F67"/>
    <w:rsid w:val="000603BB"/>
    <w:rsid w:val="00074423"/>
    <w:rsid w:val="0007593D"/>
    <w:rsid w:val="00094F15"/>
    <w:rsid w:val="000A65FC"/>
    <w:rsid w:val="000B4D90"/>
    <w:rsid w:val="000F11D4"/>
    <w:rsid w:val="000F1B26"/>
    <w:rsid w:val="000F665F"/>
    <w:rsid w:val="001036DF"/>
    <w:rsid w:val="00103B68"/>
    <w:rsid w:val="00114C63"/>
    <w:rsid w:val="001342D0"/>
    <w:rsid w:val="00136A58"/>
    <w:rsid w:val="00145FAB"/>
    <w:rsid w:val="00146199"/>
    <w:rsid w:val="00153616"/>
    <w:rsid w:val="00163737"/>
    <w:rsid w:val="001814AF"/>
    <w:rsid w:val="0019374B"/>
    <w:rsid w:val="001A0158"/>
    <w:rsid w:val="001A7075"/>
    <w:rsid w:val="001B4FA3"/>
    <w:rsid w:val="001C688B"/>
    <w:rsid w:val="002208B4"/>
    <w:rsid w:val="00223B8E"/>
    <w:rsid w:val="002364C2"/>
    <w:rsid w:val="00245596"/>
    <w:rsid w:val="00256B3D"/>
    <w:rsid w:val="00262A6A"/>
    <w:rsid w:val="002739A1"/>
    <w:rsid w:val="002801AC"/>
    <w:rsid w:val="00283FA4"/>
    <w:rsid w:val="00284F7A"/>
    <w:rsid w:val="0028559C"/>
    <w:rsid w:val="002901E6"/>
    <w:rsid w:val="00291015"/>
    <w:rsid w:val="002B7C2D"/>
    <w:rsid w:val="002D081F"/>
    <w:rsid w:val="002D1003"/>
    <w:rsid w:val="002D496A"/>
    <w:rsid w:val="002F473D"/>
    <w:rsid w:val="0030381F"/>
    <w:rsid w:val="00304380"/>
    <w:rsid w:val="00323F50"/>
    <w:rsid w:val="00331F91"/>
    <w:rsid w:val="00362944"/>
    <w:rsid w:val="00363163"/>
    <w:rsid w:val="003937CF"/>
    <w:rsid w:val="00395CFF"/>
    <w:rsid w:val="00396E26"/>
    <w:rsid w:val="00397366"/>
    <w:rsid w:val="003A24FE"/>
    <w:rsid w:val="003A374B"/>
    <w:rsid w:val="003A5847"/>
    <w:rsid w:val="003C431C"/>
    <w:rsid w:val="003F6395"/>
    <w:rsid w:val="004062B4"/>
    <w:rsid w:val="00411D26"/>
    <w:rsid w:val="00420DBB"/>
    <w:rsid w:val="00424AC6"/>
    <w:rsid w:val="0042565D"/>
    <w:rsid w:val="004345D6"/>
    <w:rsid w:val="00436405"/>
    <w:rsid w:val="00444CCB"/>
    <w:rsid w:val="00445B5F"/>
    <w:rsid w:val="00451813"/>
    <w:rsid w:val="00453FFA"/>
    <w:rsid w:val="00461610"/>
    <w:rsid w:val="0047658D"/>
    <w:rsid w:val="004903D8"/>
    <w:rsid w:val="00496612"/>
    <w:rsid w:val="004A239B"/>
    <w:rsid w:val="004C0B1A"/>
    <w:rsid w:val="004C437F"/>
    <w:rsid w:val="004D50D4"/>
    <w:rsid w:val="004E1232"/>
    <w:rsid w:val="004F1EBF"/>
    <w:rsid w:val="004F6C2F"/>
    <w:rsid w:val="00501F9B"/>
    <w:rsid w:val="0052455A"/>
    <w:rsid w:val="0052699B"/>
    <w:rsid w:val="005443B6"/>
    <w:rsid w:val="00544CE5"/>
    <w:rsid w:val="00552616"/>
    <w:rsid w:val="00554902"/>
    <w:rsid w:val="0056400C"/>
    <w:rsid w:val="00564AC6"/>
    <w:rsid w:val="00565550"/>
    <w:rsid w:val="00567EE0"/>
    <w:rsid w:val="00573837"/>
    <w:rsid w:val="00590F5F"/>
    <w:rsid w:val="00597C8F"/>
    <w:rsid w:val="005B13C9"/>
    <w:rsid w:val="005C3AD5"/>
    <w:rsid w:val="005C62EF"/>
    <w:rsid w:val="005D3946"/>
    <w:rsid w:val="005D48BB"/>
    <w:rsid w:val="005E328C"/>
    <w:rsid w:val="005E46CE"/>
    <w:rsid w:val="005E7A99"/>
    <w:rsid w:val="00607EFE"/>
    <w:rsid w:val="00613E62"/>
    <w:rsid w:val="00617CB4"/>
    <w:rsid w:val="0062139C"/>
    <w:rsid w:val="00641EC7"/>
    <w:rsid w:val="00644EAB"/>
    <w:rsid w:val="00645D7C"/>
    <w:rsid w:val="00646B82"/>
    <w:rsid w:val="00651B6C"/>
    <w:rsid w:val="00651E25"/>
    <w:rsid w:val="0065269A"/>
    <w:rsid w:val="00656A4C"/>
    <w:rsid w:val="0066534D"/>
    <w:rsid w:val="00665350"/>
    <w:rsid w:val="006860A2"/>
    <w:rsid w:val="00690653"/>
    <w:rsid w:val="0069285E"/>
    <w:rsid w:val="00692E91"/>
    <w:rsid w:val="006A62FF"/>
    <w:rsid w:val="006C2931"/>
    <w:rsid w:val="006C2B2F"/>
    <w:rsid w:val="006E15E5"/>
    <w:rsid w:val="006E4257"/>
    <w:rsid w:val="006E5A42"/>
    <w:rsid w:val="006F43EE"/>
    <w:rsid w:val="0070632B"/>
    <w:rsid w:val="00710F87"/>
    <w:rsid w:val="00715247"/>
    <w:rsid w:val="00726509"/>
    <w:rsid w:val="00727AA0"/>
    <w:rsid w:val="00727F98"/>
    <w:rsid w:val="007465EC"/>
    <w:rsid w:val="0075173E"/>
    <w:rsid w:val="0076624D"/>
    <w:rsid w:val="0078546B"/>
    <w:rsid w:val="0079007B"/>
    <w:rsid w:val="00792244"/>
    <w:rsid w:val="007A2650"/>
    <w:rsid w:val="007B1BF1"/>
    <w:rsid w:val="007D7FEC"/>
    <w:rsid w:val="007E00B0"/>
    <w:rsid w:val="007E7179"/>
    <w:rsid w:val="007F44BD"/>
    <w:rsid w:val="00806629"/>
    <w:rsid w:val="008359E1"/>
    <w:rsid w:val="00847708"/>
    <w:rsid w:val="0085747B"/>
    <w:rsid w:val="0088104C"/>
    <w:rsid w:val="00883A5F"/>
    <w:rsid w:val="008A2A36"/>
    <w:rsid w:val="008A438D"/>
    <w:rsid w:val="008B2154"/>
    <w:rsid w:val="008B3389"/>
    <w:rsid w:val="008B35DD"/>
    <w:rsid w:val="008B3956"/>
    <w:rsid w:val="008C6947"/>
    <w:rsid w:val="008D089A"/>
    <w:rsid w:val="008D1376"/>
    <w:rsid w:val="008E13CE"/>
    <w:rsid w:val="008E38D4"/>
    <w:rsid w:val="008F0B02"/>
    <w:rsid w:val="00901061"/>
    <w:rsid w:val="009013DC"/>
    <w:rsid w:val="00901544"/>
    <w:rsid w:val="00905568"/>
    <w:rsid w:val="00906403"/>
    <w:rsid w:val="00906E71"/>
    <w:rsid w:val="00922A99"/>
    <w:rsid w:val="00925A5D"/>
    <w:rsid w:val="00947DC5"/>
    <w:rsid w:val="00950468"/>
    <w:rsid w:val="00987034"/>
    <w:rsid w:val="009872D3"/>
    <w:rsid w:val="00987603"/>
    <w:rsid w:val="009A5C01"/>
    <w:rsid w:val="009B3CE8"/>
    <w:rsid w:val="009C71B8"/>
    <w:rsid w:val="009D06E7"/>
    <w:rsid w:val="00A00AFA"/>
    <w:rsid w:val="00A00CEF"/>
    <w:rsid w:val="00A05741"/>
    <w:rsid w:val="00A06F68"/>
    <w:rsid w:val="00A22D2F"/>
    <w:rsid w:val="00A24ABF"/>
    <w:rsid w:val="00A2734B"/>
    <w:rsid w:val="00A27865"/>
    <w:rsid w:val="00A51F95"/>
    <w:rsid w:val="00A5428E"/>
    <w:rsid w:val="00A702C6"/>
    <w:rsid w:val="00A90CBD"/>
    <w:rsid w:val="00AC3691"/>
    <w:rsid w:val="00AC3C56"/>
    <w:rsid w:val="00AC5FE8"/>
    <w:rsid w:val="00AD6B74"/>
    <w:rsid w:val="00AE740B"/>
    <w:rsid w:val="00AF05C0"/>
    <w:rsid w:val="00AF089A"/>
    <w:rsid w:val="00AF4E49"/>
    <w:rsid w:val="00B31962"/>
    <w:rsid w:val="00B3338C"/>
    <w:rsid w:val="00B44D27"/>
    <w:rsid w:val="00B53DFD"/>
    <w:rsid w:val="00B56D06"/>
    <w:rsid w:val="00B6704C"/>
    <w:rsid w:val="00B7419F"/>
    <w:rsid w:val="00BA4573"/>
    <w:rsid w:val="00BD1A78"/>
    <w:rsid w:val="00BD5B98"/>
    <w:rsid w:val="00BE3A41"/>
    <w:rsid w:val="00BE5D15"/>
    <w:rsid w:val="00BF0BF6"/>
    <w:rsid w:val="00C20A04"/>
    <w:rsid w:val="00C23FA5"/>
    <w:rsid w:val="00C243E8"/>
    <w:rsid w:val="00C27532"/>
    <w:rsid w:val="00C432B6"/>
    <w:rsid w:val="00C6500B"/>
    <w:rsid w:val="00C669BE"/>
    <w:rsid w:val="00C81D13"/>
    <w:rsid w:val="00CB0F60"/>
    <w:rsid w:val="00CC067D"/>
    <w:rsid w:val="00CC1647"/>
    <w:rsid w:val="00CD2499"/>
    <w:rsid w:val="00CD5044"/>
    <w:rsid w:val="00CF1D79"/>
    <w:rsid w:val="00D12568"/>
    <w:rsid w:val="00D14777"/>
    <w:rsid w:val="00D177A5"/>
    <w:rsid w:val="00D441E2"/>
    <w:rsid w:val="00D66A9C"/>
    <w:rsid w:val="00D76E0B"/>
    <w:rsid w:val="00D87F78"/>
    <w:rsid w:val="00D938B6"/>
    <w:rsid w:val="00DB52D8"/>
    <w:rsid w:val="00DB6F63"/>
    <w:rsid w:val="00DC67E8"/>
    <w:rsid w:val="00DC6E0D"/>
    <w:rsid w:val="00DD6ADD"/>
    <w:rsid w:val="00DD7D01"/>
    <w:rsid w:val="00DF49AA"/>
    <w:rsid w:val="00E0238F"/>
    <w:rsid w:val="00E049C8"/>
    <w:rsid w:val="00E06963"/>
    <w:rsid w:val="00E07482"/>
    <w:rsid w:val="00E07E65"/>
    <w:rsid w:val="00E171C6"/>
    <w:rsid w:val="00E245AF"/>
    <w:rsid w:val="00E27154"/>
    <w:rsid w:val="00E376FC"/>
    <w:rsid w:val="00E37EEA"/>
    <w:rsid w:val="00E40989"/>
    <w:rsid w:val="00E54FDC"/>
    <w:rsid w:val="00E82CAA"/>
    <w:rsid w:val="00EA53B1"/>
    <w:rsid w:val="00EA7F28"/>
    <w:rsid w:val="00EB5FC2"/>
    <w:rsid w:val="00EB71D6"/>
    <w:rsid w:val="00EC12EF"/>
    <w:rsid w:val="00EC7306"/>
    <w:rsid w:val="00EC7C7A"/>
    <w:rsid w:val="00ED51A2"/>
    <w:rsid w:val="00EE1B7C"/>
    <w:rsid w:val="00EF44DC"/>
    <w:rsid w:val="00F03F22"/>
    <w:rsid w:val="00F16914"/>
    <w:rsid w:val="00F27865"/>
    <w:rsid w:val="00F33353"/>
    <w:rsid w:val="00F43A4E"/>
    <w:rsid w:val="00F50235"/>
    <w:rsid w:val="00F50724"/>
    <w:rsid w:val="00F54C8D"/>
    <w:rsid w:val="00F568A4"/>
    <w:rsid w:val="00F56CA2"/>
    <w:rsid w:val="00F6541A"/>
    <w:rsid w:val="00F81F60"/>
    <w:rsid w:val="00F8264A"/>
    <w:rsid w:val="00F83FC2"/>
    <w:rsid w:val="00F8539E"/>
    <w:rsid w:val="00F87869"/>
    <w:rsid w:val="00FA5286"/>
    <w:rsid w:val="00FC6963"/>
    <w:rsid w:val="00FE2269"/>
    <w:rsid w:val="00FE554E"/>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SimSun"/>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rPr>
      <w:b/>
      <w:bCs/>
    </w:rPr>
  </w:style>
  <w:style w:type="paragraph" w:styleId="CommentText">
    <w:name w:val="annotation text"/>
    <w:basedOn w:val="Normal"/>
    <w:link w:val="CommentTextChar"/>
    <w:pPr>
      <w:jc w:val="left"/>
    </w:pPr>
  </w:style>
  <w:style w:type="paragraph" w:styleId="BalloonText">
    <w:name w:val="Balloon Text"/>
    <w:basedOn w:val="Normal"/>
    <w:link w:val="BalloonTextChar"/>
    <w:uiPriority w:val="99"/>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character" w:styleId="CommentReference">
    <w:name w:val="annotation reference"/>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qFormat/>
    <w:rPr>
      <w:sz w:val="18"/>
      <w:szCs w:val="18"/>
    </w:rPr>
  </w:style>
  <w:style w:type="character" w:customStyle="1" w:styleId="CommentTextChar">
    <w:name w:val="Comment Text Char"/>
    <w:basedOn w:val="DefaultParagraphFont"/>
    <w:link w:val="CommentText"/>
    <w:rPr>
      <w:rFonts w:ascii="Times New Roman" w:eastAsia="SimSun" w:hAnsi="Times New Roman" w:cs="Times New Roman"/>
      <w:szCs w:val="24"/>
    </w:rPr>
  </w:style>
  <w:style w:type="character" w:customStyle="1" w:styleId="CommentSubjectChar">
    <w:name w:val="Comment Subject Char"/>
    <w:basedOn w:val="CommentTextChar"/>
    <w:link w:val="CommentSubject"/>
    <w:uiPriority w:val="99"/>
    <w:rPr>
      <w:rFonts w:ascii="Times New Roman" w:eastAsia="SimSun" w:hAnsi="Times New Roman" w:cs="Times New Roman"/>
      <w:b/>
      <w:bCs/>
      <w:szCs w:val="24"/>
    </w:rPr>
  </w:style>
  <w:style w:type="paragraph" w:customStyle="1" w:styleId="1">
    <w:name w:val="列出段落1"/>
    <w:basedOn w:val="Normal"/>
    <w:uiPriority w:val="34"/>
    <w:qFormat/>
    <w:pPr>
      <w:ind w:firstLineChars="200" w:firstLine="420"/>
    </w:pPr>
  </w:style>
  <w:style w:type="paragraph" w:styleId="ListParagraph">
    <w:name w:val="List Paragraph"/>
    <w:basedOn w:val="Normal"/>
    <w:uiPriority w:val="34"/>
    <w:qFormat/>
    <w:pPr>
      <w:widowControl/>
      <w:ind w:firstLineChars="200" w:firstLine="420"/>
      <w:jc w:val="left"/>
    </w:pPr>
    <w:rPr>
      <w:rFonts w:ascii="SimSun" w:hAnsi="SimSun" w:cs="SimSun"/>
      <w:kern w:val="0"/>
      <w:sz w:val="24"/>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character" w:customStyle="1" w:styleId="HTMLPreformattedChar">
    <w:name w:val="HTML Preformatted Char"/>
    <w:basedOn w:val="DefaultParagraphFont"/>
    <w:link w:val="HTMLPreformatted"/>
    <w:uiPriority w:val="99"/>
    <w:rPr>
      <w:rFonts w:ascii="SimSun" w:eastAsia="SimSun" w:hAnsi="SimSun" w:cs="SimSun"/>
      <w:sz w:val="24"/>
      <w:szCs w:val="24"/>
    </w:rPr>
  </w:style>
  <w:style w:type="paragraph" w:styleId="NormalWeb">
    <w:name w:val="Normal (Web)"/>
    <w:basedOn w:val="Normal"/>
    <w:uiPriority w:val="99"/>
    <w:unhideWhenUsed/>
    <w:rsid w:val="0062139C"/>
    <w:pPr>
      <w:widowControl/>
      <w:spacing w:before="100" w:beforeAutospacing="1" w:after="100" w:afterAutospacing="1"/>
      <w:jc w:val="left"/>
    </w:pPr>
    <w:rPr>
      <w:kern w:val="0"/>
      <w:sz w:val="24"/>
      <w:lang w:eastAsia="zh-TW"/>
    </w:rPr>
  </w:style>
  <w:style w:type="character" w:styleId="Hyperlink">
    <w:name w:val="Hyperlink"/>
    <w:basedOn w:val="DefaultParagraphFont"/>
    <w:uiPriority w:val="99"/>
    <w:unhideWhenUsed/>
    <w:rsid w:val="00AF05C0"/>
    <w:rPr>
      <w:color w:val="0000FF" w:themeColor="hyperlink"/>
      <w:u w:val="single"/>
    </w:rPr>
  </w:style>
  <w:style w:type="character" w:customStyle="1" w:styleId="10">
    <w:name w:val="未处理的提及1"/>
    <w:basedOn w:val="DefaultParagraphFont"/>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292173129">
      <w:bodyDiv w:val="1"/>
      <w:marLeft w:val="0"/>
      <w:marRight w:val="0"/>
      <w:marTop w:val="0"/>
      <w:marBottom w:val="0"/>
      <w:divBdr>
        <w:top w:val="none" w:sz="0" w:space="0" w:color="auto"/>
        <w:left w:val="none" w:sz="0" w:space="0" w:color="auto"/>
        <w:bottom w:val="none" w:sz="0" w:space="0" w:color="auto"/>
        <w:right w:val="none" w:sz="0" w:space="0" w:color="auto"/>
      </w:divBdr>
    </w:div>
    <w:div w:id="55752037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176532420">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415082527">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25760587">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1926843000">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2A3CF8-361B-1144-9558-E9B4976BE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342</Words>
  <Characters>1950</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Microsoft Office User</cp:lastModifiedBy>
  <cp:revision>2</cp:revision>
  <cp:lastPrinted>2018-01-15T04:57:00Z</cp:lastPrinted>
  <dcterms:created xsi:type="dcterms:W3CDTF">2018-02-02T10:21:00Z</dcterms:created>
  <dcterms:modified xsi:type="dcterms:W3CDTF">2018-02-02T10:21:00Z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