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1278DA" w14:textId="77777777" w:rsidR="004A5DBA" w:rsidRPr="004A5DBA" w:rsidRDefault="004A5DBA" w:rsidP="004A5DBA">
      <w:pPr>
        <w:pStyle w:val="Heading2"/>
        <w:rPr>
          <w:rFonts w:eastAsia="Arial Unicode MS" w:hint="default"/>
          <w:b w:val="0"/>
          <w:bCs w:val="0"/>
          <w:sz w:val="32"/>
          <w:szCs w:val="32"/>
        </w:rPr>
      </w:pPr>
      <w:r w:rsidRPr="004A5DBA">
        <w:rPr>
          <w:rFonts w:eastAsia="Arial Unicode MS"/>
          <w:b w:val="0"/>
          <w:bCs w:val="0"/>
          <w:sz w:val="32"/>
          <w:szCs w:val="32"/>
        </w:rPr>
        <w:t>背景介绍</w:t>
      </w:r>
    </w:p>
    <w:p w14:paraId="31B34473" w14:textId="77777777" w:rsidR="004A5DBA" w:rsidRPr="004A5DBA" w:rsidRDefault="004A5DBA" w:rsidP="004A5DBA">
      <w:pPr>
        <w:pStyle w:val="FreeForm"/>
      </w:pPr>
      <w:r w:rsidRPr="004A5DBA">
        <w:rPr>
          <w:rFonts w:hint="eastAsia"/>
        </w:rPr>
        <w:t xml:space="preserve">1. </w:t>
      </w:r>
      <w:r w:rsidRPr="004A5DBA">
        <w:t>人工智能、大数据技术的发展和成熟，为证券投资服务从移动化演进到智能化和场景化提供了技术基础。</w:t>
      </w:r>
    </w:p>
    <w:p w14:paraId="4555AFFE" w14:textId="77777777" w:rsidR="004A5DBA" w:rsidRPr="004A5DBA" w:rsidRDefault="004A5DBA" w:rsidP="004A5DBA">
      <w:pPr>
        <w:pStyle w:val="FreeForm"/>
      </w:pPr>
      <w:r w:rsidRPr="004A5DBA">
        <w:rPr>
          <w:rFonts w:hint="eastAsia"/>
        </w:rPr>
        <w:t>2</w:t>
      </w:r>
      <w:r w:rsidRPr="004A5DBA">
        <w:t>. 中国中产阶级人数和资产的增加，对投资、交易、理财服务的个性化和场景化提出更全面和细致的需求。对证券服务的要求也逐渐从投资交易辅助向更全面的个性化资管。人工智能提供的场景化服务功能成为增强用户粘性和资管流量引导的重要基础。</w:t>
      </w:r>
    </w:p>
    <w:p w14:paraId="034D704E" w14:textId="77777777" w:rsidR="004A5DBA" w:rsidRPr="004A5DBA" w:rsidRDefault="004A5DBA" w:rsidP="004A5DBA">
      <w:pPr>
        <w:pStyle w:val="FreeForm"/>
      </w:pPr>
    </w:p>
    <w:p w14:paraId="4CDA0952" w14:textId="77777777" w:rsidR="004A5DBA" w:rsidRPr="004A5DBA" w:rsidRDefault="004A5DBA" w:rsidP="004A5DBA">
      <w:pPr>
        <w:pStyle w:val="Heading2"/>
        <w:rPr>
          <w:rFonts w:eastAsia="Arial Unicode MS" w:hint="default"/>
          <w:b w:val="0"/>
          <w:bCs w:val="0"/>
          <w:sz w:val="32"/>
          <w:szCs w:val="32"/>
        </w:rPr>
      </w:pPr>
      <w:r w:rsidRPr="004A5DBA">
        <w:rPr>
          <w:rFonts w:eastAsia="Arial Unicode MS"/>
          <w:b w:val="0"/>
          <w:bCs w:val="0"/>
          <w:sz w:val="32"/>
          <w:szCs w:val="32"/>
        </w:rPr>
        <w:t>产品目标</w:t>
      </w:r>
    </w:p>
    <w:p w14:paraId="63A47657" w14:textId="6356A14F" w:rsidR="004A5DBA" w:rsidRPr="004A5DBA" w:rsidRDefault="004A5DBA" w:rsidP="004A5DBA">
      <w:pPr>
        <w:pStyle w:val="FreeForm"/>
      </w:pPr>
      <w:r w:rsidRPr="004A5DBA">
        <w:rPr>
          <w:rFonts w:hint="eastAsia"/>
        </w:rPr>
        <w:t>基于人工智能技术，准确识别出千差万别的用户，分析出投资者的行为特征，心里特征等，刻画出用户画像，复盘用户的优点与缺点，带给用户千人千面的个性化智能金融。</w:t>
      </w:r>
    </w:p>
    <w:p w14:paraId="375CD97F" w14:textId="77777777" w:rsidR="004A5DBA" w:rsidRPr="004A5DBA" w:rsidRDefault="004A5DBA" w:rsidP="00CE773C">
      <w:pPr>
        <w:pStyle w:val="FreeForm"/>
        <w:jc w:val="center"/>
      </w:pPr>
      <w:r w:rsidRPr="004A5DBA">
        <w:rPr>
          <w:noProof/>
        </w:rPr>
        <w:drawing>
          <wp:inline distT="0" distB="0" distL="0" distR="0" wp14:anchorId="4CEDA9BB" wp14:editId="54954645">
            <wp:extent cx="5270500" cy="915035"/>
            <wp:effectExtent l="0" t="0" r="1270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0500" cy="915035"/>
                    </a:xfrm>
                    <a:prstGeom prst="rect">
                      <a:avLst/>
                    </a:prstGeom>
                  </pic:spPr>
                </pic:pic>
              </a:graphicData>
            </a:graphic>
          </wp:inline>
        </w:drawing>
      </w:r>
    </w:p>
    <w:p w14:paraId="0010BA94" w14:textId="77777777" w:rsidR="004A5DBA" w:rsidRPr="004A5DBA" w:rsidRDefault="004A5DBA" w:rsidP="004A5DBA">
      <w:pPr>
        <w:pStyle w:val="FreeForm"/>
      </w:pPr>
    </w:p>
    <w:p w14:paraId="1CD26049" w14:textId="77777777" w:rsidR="004A5DBA" w:rsidRPr="004A5DBA" w:rsidRDefault="004A5DBA" w:rsidP="00CE773C">
      <w:pPr>
        <w:pStyle w:val="FreeForm"/>
        <w:jc w:val="center"/>
      </w:pPr>
      <w:r w:rsidRPr="004A5DBA">
        <w:rPr>
          <w:rFonts w:hint="eastAsia"/>
          <w:noProof/>
        </w:rPr>
        <w:drawing>
          <wp:inline distT="0" distB="0" distL="0" distR="0" wp14:anchorId="7DB5AF03" wp14:editId="3E080026">
            <wp:extent cx="5266055" cy="3750945"/>
            <wp:effectExtent l="0" t="0" r="0" b="8255"/>
            <wp:docPr id="13" name="图片 13" descr="千人千面.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千人千面.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6055" cy="3750945"/>
                    </a:xfrm>
                    <a:prstGeom prst="rect">
                      <a:avLst/>
                    </a:prstGeom>
                    <a:noFill/>
                    <a:ln>
                      <a:noFill/>
                    </a:ln>
                  </pic:spPr>
                </pic:pic>
              </a:graphicData>
            </a:graphic>
          </wp:inline>
        </w:drawing>
      </w:r>
    </w:p>
    <w:p w14:paraId="4DC4A3EA" w14:textId="77777777" w:rsidR="004A5DBA" w:rsidRPr="004A5DBA" w:rsidRDefault="004A5DBA" w:rsidP="004A5DBA">
      <w:pPr>
        <w:pStyle w:val="FreeForm"/>
      </w:pPr>
    </w:p>
    <w:p w14:paraId="0BD135DB" w14:textId="77777777" w:rsidR="004A5DBA" w:rsidRPr="004A5DBA" w:rsidRDefault="004A5DBA" w:rsidP="004A5DBA">
      <w:pPr>
        <w:pStyle w:val="FreeForm"/>
      </w:pPr>
      <w:r w:rsidRPr="004A5DBA">
        <w:br w:type="page"/>
      </w:r>
    </w:p>
    <w:p w14:paraId="740BD0F9" w14:textId="77777777" w:rsidR="004A5DBA" w:rsidRPr="004A5DBA" w:rsidRDefault="004A5DBA" w:rsidP="004A5DBA">
      <w:pPr>
        <w:pStyle w:val="Heading2"/>
        <w:rPr>
          <w:rFonts w:eastAsia="Arial Unicode MS" w:hint="default"/>
          <w:b w:val="0"/>
          <w:bCs w:val="0"/>
          <w:sz w:val="32"/>
          <w:szCs w:val="32"/>
        </w:rPr>
      </w:pPr>
      <w:r w:rsidRPr="004A5DBA">
        <w:rPr>
          <w:rFonts w:eastAsia="Arial Unicode MS"/>
          <w:b w:val="0"/>
          <w:bCs w:val="0"/>
          <w:sz w:val="32"/>
          <w:szCs w:val="32"/>
        </w:rPr>
        <w:lastRenderedPageBreak/>
        <w:t>功能分析</w:t>
      </w:r>
    </w:p>
    <w:p w14:paraId="045CC610" w14:textId="77777777" w:rsidR="004A5DBA" w:rsidRPr="004A5DBA" w:rsidRDefault="004A5DBA" w:rsidP="004A5DBA">
      <w:pPr>
        <w:pStyle w:val="FreeForm"/>
      </w:pPr>
      <w:r w:rsidRPr="004A5DBA">
        <w:rPr>
          <w:rFonts w:hint="eastAsia"/>
        </w:rPr>
        <w:t>证券经纪业务的客户群体，散户占据了较大的比例，实现经纪业务的智能化，可从战术交易层面的“理性”和战略金融服务层面的“个性”入手：</w:t>
      </w:r>
    </w:p>
    <w:p w14:paraId="762712F9" w14:textId="77777777" w:rsidR="004A5DBA" w:rsidRPr="004A5DBA" w:rsidRDefault="004A5DBA" w:rsidP="004A5DBA">
      <w:pPr>
        <w:pStyle w:val="FreeForm"/>
      </w:pPr>
      <w:r w:rsidRPr="004A5DBA">
        <w:rPr>
          <w:rFonts w:hint="eastAsia"/>
        </w:rPr>
        <w:t>1.“理性”，指投资交易过程中，降低风险，提升收益</w:t>
      </w:r>
    </w:p>
    <w:p w14:paraId="540FDF61" w14:textId="77777777" w:rsidR="004A5DBA" w:rsidRPr="004A5DBA" w:rsidRDefault="004A5DBA" w:rsidP="004A5DBA">
      <w:pPr>
        <w:pStyle w:val="FreeForm"/>
      </w:pPr>
      <w:r w:rsidRPr="004A5DBA">
        <w:rPr>
          <w:rFonts w:hint="eastAsia"/>
        </w:rPr>
        <w:t xml:space="preserve">    在投资过程中</w:t>
      </w:r>
      <w:r w:rsidRPr="004A5DBA">
        <w:t>，而引入的“智能化”算法，为用户在投资交易过程中提供更多自动化的工具。从另一个角度来说，这个层面的智能化，是将机构投资者，尤其是量化分析、量化交易当中的经典工具，以移动端的方式呈现给终端投资者使用，是”专业“工具向”终端用户的”功能下沉“。所以，这个层面的”智能“也可以说是”量化“投资中的量化的另一个表述。</w:t>
      </w:r>
    </w:p>
    <w:p w14:paraId="64EBA4F4" w14:textId="77777777" w:rsidR="00016587" w:rsidRDefault="00016587" w:rsidP="004A5DBA">
      <w:pPr>
        <w:pStyle w:val="FreeForm"/>
        <w:rPr>
          <w:rFonts w:hint="eastAsia"/>
        </w:rPr>
      </w:pPr>
      <w:r>
        <w:rPr>
          <w:rFonts w:hint="eastAsia"/>
        </w:rPr>
        <w:t xml:space="preserve"> </w:t>
      </w:r>
    </w:p>
    <w:p w14:paraId="7FF96F11" w14:textId="3F240167" w:rsidR="004A5DBA" w:rsidRPr="004A5DBA" w:rsidRDefault="004A5DBA" w:rsidP="004A5DBA">
      <w:pPr>
        <w:pStyle w:val="FreeForm"/>
      </w:pPr>
      <w:r w:rsidRPr="004A5DBA">
        <w:rPr>
          <w:rFonts w:hint="eastAsia"/>
        </w:rPr>
        <w:t>例如，</w:t>
      </w:r>
      <w:r w:rsidRPr="004A5DBA">
        <w:t>止损提醒、复盘工具等</w:t>
      </w:r>
      <w:r w:rsidRPr="004A5DBA">
        <w:rPr>
          <w:rFonts w:hint="eastAsia"/>
        </w:rPr>
        <w:t>功能。</w:t>
      </w:r>
    </w:p>
    <w:p w14:paraId="1F26CF6C" w14:textId="77777777" w:rsidR="004A5DBA" w:rsidRPr="004A5DBA" w:rsidRDefault="004A5DBA" w:rsidP="004A5DBA">
      <w:pPr>
        <w:pStyle w:val="FreeForm"/>
      </w:pPr>
    </w:p>
    <w:p w14:paraId="2EF0199C" w14:textId="77777777" w:rsidR="004A5DBA" w:rsidRPr="004A5DBA" w:rsidRDefault="004A5DBA" w:rsidP="004A5DBA">
      <w:pPr>
        <w:pStyle w:val="FreeForm"/>
      </w:pPr>
      <w:r w:rsidRPr="004A5DBA">
        <w:t xml:space="preserve">2. </w:t>
      </w:r>
      <w:r w:rsidRPr="004A5DBA">
        <w:rPr>
          <w:rFonts w:hint="eastAsia"/>
        </w:rPr>
        <w:t>“个性”，指证券服务智能化植入用户使用场景中</w:t>
      </w:r>
    </w:p>
    <w:p w14:paraId="4C133210" w14:textId="77777777" w:rsidR="004A5DBA" w:rsidRPr="004A5DBA" w:rsidRDefault="004A5DBA" w:rsidP="004A5DBA">
      <w:pPr>
        <w:pStyle w:val="FreeForm"/>
      </w:pPr>
      <w:r w:rsidRPr="004A5DBA">
        <w:rPr>
          <w:rFonts w:hint="eastAsia"/>
        </w:rPr>
        <w:t xml:space="preserve">    </w:t>
      </w:r>
      <w:r w:rsidRPr="004A5DBA">
        <w:t>这里的“智能化”更符合现在人工智能技术的范畴本身的语义以及工业界换代提升的</w:t>
      </w:r>
      <w:r w:rsidRPr="004A5DBA">
        <w:rPr>
          <w:rFonts w:hint="eastAsia"/>
        </w:rPr>
        <w:t>愿景，其呈现形式以“个性化/场景化”为核心</w:t>
      </w:r>
      <w:r w:rsidRPr="004A5DBA">
        <w:t>。具体含义是</w:t>
      </w:r>
      <w:r w:rsidRPr="004A5DBA">
        <w:rPr>
          <w:rFonts w:hint="eastAsia"/>
        </w:rPr>
        <w:t>指</w:t>
      </w:r>
      <w:r w:rsidRPr="004A5DBA">
        <w:t>依托于高维标签数据的分类驱动，将以前由业务专家负责制定的业务规则，尤其是多样的组合规则进行自动化，从而根据场景的不同，由数据驱动，完成服务与被服务者的匹配和追踪。基于这个愿景，我们需要建立更完善的用户标签（静态画像数据+动态交易画像），并将整个经纪业务的要素（交易、两融、资讯等）串联起来，从而加强用户粘性和信赖程度，并且最终作为通道引向资管业务。</w:t>
      </w:r>
    </w:p>
    <w:p w14:paraId="17747917" w14:textId="77777777" w:rsidR="004A5DBA" w:rsidRPr="004A5DBA" w:rsidRDefault="004A5DBA" w:rsidP="004A5DBA">
      <w:pPr>
        <w:pStyle w:val="FreeForm"/>
      </w:pPr>
      <w:r w:rsidRPr="004A5DBA">
        <w:rPr>
          <w:rFonts w:hint="eastAsia"/>
        </w:rPr>
        <w:t xml:space="preserve">    </w:t>
      </w:r>
      <w:r w:rsidRPr="004A5DBA">
        <w:t>在这个过程中，用户画像的建立和金融业务的数据化抽象是非常重要的</w:t>
      </w:r>
      <w:r w:rsidRPr="004A5DBA">
        <w:rPr>
          <w:rFonts w:hint="eastAsia"/>
        </w:rPr>
        <w:t>基石</w:t>
      </w:r>
      <w:r w:rsidRPr="004A5DBA">
        <w:t>环节，其中基于交易记录可以给出关于心理层面、投资理念层面更细微的标签，这个是区分与普通静态画像的重要点。比如</w:t>
      </w:r>
      <w:r w:rsidRPr="004A5DBA">
        <w:rPr>
          <w:rFonts w:hint="eastAsia"/>
        </w:rPr>
        <w:t>，</w:t>
      </w:r>
      <w:r w:rsidRPr="004A5DBA">
        <w:t>在心理行为特征层面，基于用户的交易和持仓记录，可以得到其在“错位效应（Disposition Effect）”方面的特征和程度，从而得知用户在投研能力、风控风格等方面的描述，从而进一步细化场景化的推荐标签。</w:t>
      </w:r>
    </w:p>
    <w:p w14:paraId="6596050D" w14:textId="77777777" w:rsidR="00016587" w:rsidRDefault="00016587" w:rsidP="004A5DBA">
      <w:pPr>
        <w:pStyle w:val="FreeForm"/>
        <w:rPr>
          <w:rFonts w:hint="eastAsia"/>
        </w:rPr>
      </w:pPr>
    </w:p>
    <w:p w14:paraId="057E017A" w14:textId="36CEECC4" w:rsidR="004A5DBA" w:rsidRPr="004A5DBA" w:rsidRDefault="004A5DBA" w:rsidP="004A5DBA">
      <w:pPr>
        <w:pStyle w:val="FreeForm"/>
      </w:pPr>
      <w:r w:rsidRPr="004A5DBA">
        <w:rPr>
          <w:rFonts w:hint="eastAsia"/>
        </w:rPr>
        <w:t>例如，</w:t>
      </w:r>
      <w:r w:rsidRPr="004A5DBA">
        <w:t>个性化交易训练、个性化资讯推荐、个性化投资策略推荐、基金推荐等</w:t>
      </w:r>
      <w:r w:rsidRPr="004A5DBA">
        <w:rPr>
          <w:rFonts w:hint="eastAsia"/>
        </w:rPr>
        <w:t>。</w:t>
      </w:r>
    </w:p>
    <w:p w14:paraId="4E0B4DA2" w14:textId="77777777" w:rsidR="004A5DBA" w:rsidRPr="004A5DBA" w:rsidRDefault="004A5DBA" w:rsidP="004A5DBA">
      <w:pPr>
        <w:pStyle w:val="Heading2"/>
        <w:rPr>
          <w:rFonts w:eastAsia="Arial Unicode MS" w:hint="default"/>
          <w:b w:val="0"/>
          <w:bCs w:val="0"/>
          <w:sz w:val="32"/>
          <w:szCs w:val="32"/>
        </w:rPr>
      </w:pPr>
      <w:r w:rsidRPr="004A5DBA">
        <w:rPr>
          <w:rFonts w:eastAsia="Arial Unicode MS"/>
          <w:b w:val="0"/>
          <w:bCs w:val="0"/>
          <w:sz w:val="32"/>
          <w:szCs w:val="32"/>
        </w:rPr>
        <w:t>特点比较</w:t>
      </w:r>
    </w:p>
    <w:p w14:paraId="22AE0F0E" w14:textId="24E52FE5" w:rsidR="004A5DBA" w:rsidRDefault="004A5DBA" w:rsidP="004A5DBA">
      <w:pPr>
        <w:pStyle w:val="FreeForm"/>
        <w:rPr>
          <w:rFonts w:hint="eastAsia"/>
        </w:rPr>
      </w:pPr>
      <w:r w:rsidRPr="004A5DBA">
        <w:rPr>
          <w:rFonts w:hint="eastAsia"/>
        </w:rPr>
        <w:t>FDT-AI提供的</w:t>
      </w:r>
      <w:r w:rsidR="00016587">
        <w:rPr>
          <w:rFonts w:hint="eastAsia"/>
        </w:rPr>
        <w:t>产品线以FDTScore的智能用户画像为基础，指向投资教育、投资顾问和交易助手三方面。</w:t>
      </w:r>
    </w:p>
    <w:p w14:paraId="257C1959" w14:textId="77777777" w:rsidR="00016587" w:rsidRPr="004A5DBA" w:rsidRDefault="00016587" w:rsidP="004A5DBA">
      <w:pPr>
        <w:pStyle w:val="FreeForm"/>
      </w:pPr>
    </w:p>
    <w:tbl>
      <w:tblPr>
        <w:tblStyle w:val="TableGrid"/>
        <w:tblW w:w="0" w:type="auto"/>
        <w:tblLook w:val="04A0" w:firstRow="1" w:lastRow="0" w:firstColumn="1" w:lastColumn="0" w:noHBand="0" w:noVBand="1"/>
      </w:tblPr>
      <w:tblGrid>
        <w:gridCol w:w="1558"/>
        <w:gridCol w:w="3260"/>
        <w:gridCol w:w="3472"/>
      </w:tblGrid>
      <w:tr w:rsidR="004A5DBA" w:rsidRPr="004A5DBA" w14:paraId="763608CD" w14:textId="77777777" w:rsidTr="007F5439">
        <w:tc>
          <w:tcPr>
            <w:tcW w:w="1558" w:type="dxa"/>
          </w:tcPr>
          <w:p w14:paraId="0A843F57" w14:textId="77777777" w:rsidR="004A5DBA" w:rsidRPr="004A5DBA" w:rsidRDefault="004A5DBA" w:rsidP="004A5DBA">
            <w:pPr>
              <w:pStyle w:val="FreeForm"/>
            </w:pPr>
          </w:p>
        </w:tc>
        <w:tc>
          <w:tcPr>
            <w:tcW w:w="3260" w:type="dxa"/>
          </w:tcPr>
          <w:p w14:paraId="0E7EA960" w14:textId="77777777" w:rsidR="004A5DBA" w:rsidRPr="004A5DBA" w:rsidRDefault="004A5DBA" w:rsidP="004A5DBA">
            <w:pPr>
              <w:pStyle w:val="FreeForm"/>
            </w:pPr>
            <w:r w:rsidRPr="004A5DBA">
              <w:rPr>
                <w:rFonts w:hint="eastAsia"/>
              </w:rPr>
              <w:t>智能金融</w:t>
            </w:r>
          </w:p>
        </w:tc>
        <w:tc>
          <w:tcPr>
            <w:tcW w:w="3472" w:type="dxa"/>
          </w:tcPr>
          <w:p w14:paraId="2C348744" w14:textId="77777777" w:rsidR="004A5DBA" w:rsidRPr="004A5DBA" w:rsidRDefault="004A5DBA" w:rsidP="004A5DBA">
            <w:pPr>
              <w:pStyle w:val="FreeForm"/>
            </w:pPr>
            <w:r w:rsidRPr="004A5DBA">
              <w:rPr>
                <w:rFonts w:hint="eastAsia"/>
              </w:rPr>
              <w:t>传统金融</w:t>
            </w:r>
          </w:p>
        </w:tc>
      </w:tr>
      <w:tr w:rsidR="004A5DBA" w:rsidRPr="004A5DBA" w14:paraId="7D37CD72" w14:textId="77777777" w:rsidTr="007F5439">
        <w:tc>
          <w:tcPr>
            <w:tcW w:w="1558" w:type="dxa"/>
          </w:tcPr>
          <w:p w14:paraId="11FC9D28" w14:textId="77777777" w:rsidR="004A5DBA" w:rsidRPr="004A5DBA" w:rsidRDefault="004A5DBA" w:rsidP="004A5DBA">
            <w:pPr>
              <w:pStyle w:val="FreeForm"/>
            </w:pPr>
            <w:r w:rsidRPr="004A5DBA">
              <w:rPr>
                <w:rFonts w:hint="eastAsia"/>
              </w:rPr>
              <w:t>用户画像</w:t>
            </w:r>
          </w:p>
        </w:tc>
        <w:tc>
          <w:tcPr>
            <w:tcW w:w="3260" w:type="dxa"/>
          </w:tcPr>
          <w:p w14:paraId="2325C49A" w14:textId="77777777" w:rsidR="004A5DBA" w:rsidRPr="004A5DBA" w:rsidRDefault="004A5DBA" w:rsidP="004A5DBA">
            <w:pPr>
              <w:pStyle w:val="FreeForm"/>
            </w:pPr>
            <w:r w:rsidRPr="004A5DBA">
              <w:rPr>
                <w:rFonts w:hint="eastAsia"/>
              </w:rPr>
              <w:t>包含三个主要信息来源：</w:t>
            </w:r>
            <w:r w:rsidRPr="004A5DBA">
              <w:br/>
              <w:t xml:space="preserve">1. </w:t>
            </w:r>
            <w:r w:rsidRPr="004A5DBA">
              <w:rPr>
                <w:rFonts w:hint="eastAsia"/>
              </w:rPr>
              <w:t>通过静态用户数据（年龄、职业、收入水平、自评交易特点）等建立基本的用户画像内容；</w:t>
            </w:r>
            <w:r w:rsidRPr="004A5DBA">
              <w:br/>
              <w:t xml:space="preserve">2. </w:t>
            </w:r>
            <w:r w:rsidRPr="004A5DBA">
              <w:rPr>
                <w:rFonts w:hint="eastAsia"/>
              </w:rPr>
              <w:t>通过用户在交易平台上的使用信息（链接点击信息、资讯阅读信息、登入登出信息、功能使用信息）等，建立用户使用习惯和信息流画像；</w:t>
            </w:r>
            <w:r w:rsidRPr="004A5DBA">
              <w:br/>
              <w:t xml:space="preserve">3. </w:t>
            </w:r>
            <w:r w:rsidRPr="004A5DBA">
              <w:rPr>
                <w:rFonts w:hint="eastAsia"/>
              </w:rPr>
              <w:t>通过用户投资交易记录（实盘、模拟盘、交易训练等），建立用户在实际投资实践过程中的特征描述，用以理解用户对金融服务的深层次、个性化需求。</w:t>
            </w:r>
          </w:p>
        </w:tc>
        <w:tc>
          <w:tcPr>
            <w:tcW w:w="3472" w:type="dxa"/>
          </w:tcPr>
          <w:p w14:paraId="7AF3FCD7" w14:textId="77777777" w:rsidR="004A5DBA" w:rsidRPr="004A5DBA" w:rsidRDefault="004A5DBA" w:rsidP="004A5DBA">
            <w:pPr>
              <w:pStyle w:val="FreeForm"/>
            </w:pPr>
            <w:r w:rsidRPr="004A5DBA">
              <w:rPr>
                <w:rFonts w:hint="eastAsia"/>
              </w:rPr>
              <w:t>从用户的主观回答识别客户：根据用户自己填写的问卷获取用户的风险偏好等，结果较主观，用户可能言行不一。</w:t>
            </w:r>
          </w:p>
        </w:tc>
      </w:tr>
      <w:tr w:rsidR="004A5DBA" w:rsidRPr="004A5DBA" w14:paraId="4581C04D" w14:textId="77777777" w:rsidTr="007F5439">
        <w:tc>
          <w:tcPr>
            <w:tcW w:w="1558" w:type="dxa"/>
          </w:tcPr>
          <w:p w14:paraId="60D18CAB" w14:textId="77777777" w:rsidR="004A5DBA" w:rsidRPr="004A5DBA" w:rsidRDefault="004A5DBA" w:rsidP="004A5DBA">
            <w:pPr>
              <w:pStyle w:val="FreeForm"/>
            </w:pPr>
            <w:r w:rsidRPr="004A5DBA">
              <w:rPr>
                <w:rFonts w:hint="eastAsia"/>
              </w:rPr>
              <w:lastRenderedPageBreak/>
              <w:t>金融教育</w:t>
            </w:r>
          </w:p>
        </w:tc>
        <w:tc>
          <w:tcPr>
            <w:tcW w:w="3260" w:type="dxa"/>
          </w:tcPr>
          <w:p w14:paraId="620E5882" w14:textId="77777777" w:rsidR="004A5DBA" w:rsidRPr="004A5DBA" w:rsidRDefault="004A5DBA" w:rsidP="004A5DBA">
            <w:pPr>
              <w:pStyle w:val="FreeForm"/>
            </w:pPr>
            <w:r w:rsidRPr="004A5DBA">
              <w:rPr>
                <w:rFonts w:hint="eastAsia"/>
              </w:rPr>
              <w:t>1.根据对用户识别，评估用户的水平，构建用户自己个性化的学习路径；</w:t>
            </w:r>
          </w:p>
          <w:p w14:paraId="5B664BA4" w14:textId="77777777" w:rsidR="004A5DBA" w:rsidRPr="004A5DBA" w:rsidRDefault="004A5DBA" w:rsidP="004A5DBA">
            <w:pPr>
              <w:pStyle w:val="FreeForm"/>
            </w:pPr>
            <w:r w:rsidRPr="004A5DBA">
              <w:rPr>
                <w:rFonts w:hint="eastAsia"/>
              </w:rPr>
              <w:t>2.根据用户使用场景，植入与场景相关的知识点，例如用户的持仓股票有配债（可转债）的公告，则会有可转债的介绍，操作方法以及历史表现等介绍。</w:t>
            </w:r>
          </w:p>
        </w:tc>
        <w:tc>
          <w:tcPr>
            <w:tcW w:w="3472" w:type="dxa"/>
          </w:tcPr>
          <w:p w14:paraId="7E70B94D" w14:textId="77777777" w:rsidR="004A5DBA" w:rsidRPr="004A5DBA" w:rsidRDefault="004A5DBA" w:rsidP="004A5DBA">
            <w:pPr>
              <w:pStyle w:val="FreeForm"/>
            </w:pPr>
            <w:r w:rsidRPr="004A5DBA">
              <w:rPr>
                <w:rFonts w:hint="eastAsia"/>
              </w:rPr>
              <w:t>面对水平参差不齐的用户，基本上是标准化的篇幅（投教园地，产品业务介绍等），无法根据用户的认知水平和偏好，提供差异化的金融教育。</w:t>
            </w:r>
          </w:p>
        </w:tc>
      </w:tr>
      <w:tr w:rsidR="004A5DBA" w:rsidRPr="004A5DBA" w14:paraId="56380BC5" w14:textId="77777777" w:rsidTr="007F5439">
        <w:tc>
          <w:tcPr>
            <w:tcW w:w="1558" w:type="dxa"/>
          </w:tcPr>
          <w:p w14:paraId="1DBB113B" w14:textId="77777777" w:rsidR="004A5DBA" w:rsidRPr="004A5DBA" w:rsidRDefault="004A5DBA" w:rsidP="004A5DBA">
            <w:pPr>
              <w:pStyle w:val="FreeForm"/>
            </w:pPr>
            <w:r w:rsidRPr="004A5DBA">
              <w:rPr>
                <w:rFonts w:hint="eastAsia"/>
              </w:rPr>
              <w:t>投资顾问</w:t>
            </w:r>
          </w:p>
        </w:tc>
        <w:tc>
          <w:tcPr>
            <w:tcW w:w="3260" w:type="dxa"/>
          </w:tcPr>
          <w:p w14:paraId="2C90D44F" w14:textId="77777777" w:rsidR="004A5DBA" w:rsidRPr="004A5DBA" w:rsidRDefault="004A5DBA" w:rsidP="004A5DBA">
            <w:pPr>
              <w:pStyle w:val="FreeForm"/>
            </w:pPr>
            <w:r w:rsidRPr="004A5DBA">
              <w:rPr>
                <w:rFonts w:hint="eastAsia"/>
              </w:rPr>
              <w:t>根据对用户识别及场景，准确推荐与用户偏好相同或是适合用户的产品，例如，在识别该用户可能不适合做主动投资者后，在用户连续亏损时，向他推荐基金产品，让他成为被动投资者，让用户还能留存在证券市场上。</w:t>
            </w:r>
          </w:p>
        </w:tc>
        <w:tc>
          <w:tcPr>
            <w:tcW w:w="3472" w:type="dxa"/>
          </w:tcPr>
          <w:p w14:paraId="4B2DA64D" w14:textId="77777777" w:rsidR="004A5DBA" w:rsidRPr="004A5DBA" w:rsidRDefault="004A5DBA" w:rsidP="004A5DBA">
            <w:pPr>
              <w:pStyle w:val="FreeForm"/>
            </w:pPr>
            <w:r w:rsidRPr="004A5DBA">
              <w:rPr>
                <w:rFonts w:hint="eastAsia"/>
              </w:rPr>
              <w:t>主要有两种形式：</w:t>
            </w:r>
          </w:p>
          <w:p w14:paraId="3151BC61" w14:textId="77777777" w:rsidR="004A5DBA" w:rsidRPr="004A5DBA" w:rsidRDefault="004A5DBA" w:rsidP="004A5DBA">
            <w:pPr>
              <w:pStyle w:val="FreeForm"/>
            </w:pPr>
            <w:r w:rsidRPr="004A5DBA">
              <w:rPr>
                <w:rFonts w:hint="eastAsia"/>
              </w:rPr>
              <w:t>1.面对千差万别的投资者，推荐相同的产品；</w:t>
            </w:r>
          </w:p>
          <w:p w14:paraId="27B49800" w14:textId="77777777" w:rsidR="004A5DBA" w:rsidRPr="004A5DBA" w:rsidRDefault="004A5DBA" w:rsidP="004A5DBA">
            <w:pPr>
              <w:pStyle w:val="FreeForm"/>
            </w:pPr>
            <w:r w:rsidRPr="004A5DBA">
              <w:rPr>
                <w:rFonts w:hint="eastAsia"/>
              </w:rPr>
              <w:t>2.通过投资顾问（人），推荐产品。</w:t>
            </w:r>
          </w:p>
        </w:tc>
      </w:tr>
      <w:tr w:rsidR="004A5DBA" w:rsidRPr="004A5DBA" w14:paraId="48C43B56" w14:textId="77777777" w:rsidTr="007F5439">
        <w:tc>
          <w:tcPr>
            <w:tcW w:w="1558" w:type="dxa"/>
          </w:tcPr>
          <w:p w14:paraId="3F286141" w14:textId="77777777" w:rsidR="004A5DBA" w:rsidRPr="004A5DBA" w:rsidRDefault="004A5DBA" w:rsidP="004A5DBA">
            <w:pPr>
              <w:pStyle w:val="FreeForm"/>
            </w:pPr>
            <w:r w:rsidRPr="004A5DBA">
              <w:rPr>
                <w:rFonts w:hint="eastAsia"/>
              </w:rPr>
              <w:t>交易辅助</w:t>
            </w:r>
          </w:p>
        </w:tc>
        <w:tc>
          <w:tcPr>
            <w:tcW w:w="3260" w:type="dxa"/>
          </w:tcPr>
          <w:p w14:paraId="0B27C88B" w14:textId="77777777" w:rsidR="004A5DBA" w:rsidRPr="004A5DBA" w:rsidRDefault="004A5DBA" w:rsidP="004A5DBA">
            <w:pPr>
              <w:pStyle w:val="FreeForm"/>
            </w:pPr>
            <w:r w:rsidRPr="004A5DBA">
              <w:rPr>
                <w:rFonts w:hint="eastAsia"/>
              </w:rPr>
              <w:t>根据对用户识别及场景，推送交易辅助相关信息，例如，用户偏好短线交易，根据持仓股票，推送该股票的预测波动率，或者用户止损较差，则计算客户加入“假如止损”的收益率曲线，引导客户的风控意识。</w:t>
            </w:r>
          </w:p>
        </w:tc>
        <w:tc>
          <w:tcPr>
            <w:tcW w:w="3472" w:type="dxa"/>
          </w:tcPr>
          <w:p w14:paraId="10452C61" w14:textId="77777777" w:rsidR="004A5DBA" w:rsidRPr="004A5DBA" w:rsidRDefault="004A5DBA" w:rsidP="004A5DBA">
            <w:pPr>
              <w:pStyle w:val="FreeForm"/>
            </w:pPr>
            <w:r w:rsidRPr="004A5DBA">
              <w:rPr>
                <w:rFonts w:hint="eastAsia"/>
              </w:rPr>
              <w:t>千篇一律无差异的F10，资讯，资金流向等信息。</w:t>
            </w:r>
          </w:p>
        </w:tc>
      </w:tr>
    </w:tbl>
    <w:p w14:paraId="2B2531A1" w14:textId="77777777" w:rsidR="004A5DBA" w:rsidRPr="004A5DBA" w:rsidRDefault="004A5DBA" w:rsidP="004A5DBA">
      <w:pPr>
        <w:pStyle w:val="FreeForm"/>
      </w:pPr>
    </w:p>
    <w:p w14:paraId="396EC9F5" w14:textId="77777777" w:rsidR="006E2897" w:rsidRDefault="006E2897">
      <w:pPr>
        <w:pStyle w:val="FreeForm"/>
        <w:rPr>
          <w:rFonts w:hint="eastAsia"/>
        </w:rPr>
      </w:pPr>
    </w:p>
    <w:p w14:paraId="18903DC6" w14:textId="5DAD2693" w:rsidR="00016587" w:rsidRDefault="00016587" w:rsidP="00016587">
      <w:pPr>
        <w:pStyle w:val="Heading2"/>
        <w:rPr>
          <w:rFonts w:eastAsia="Arial Unicode MS"/>
          <w:b w:val="0"/>
          <w:bCs w:val="0"/>
          <w:sz w:val="32"/>
          <w:szCs w:val="32"/>
        </w:rPr>
      </w:pPr>
      <w:r>
        <w:rPr>
          <w:rFonts w:eastAsia="Arial Unicode MS"/>
          <w:b w:val="0"/>
          <w:bCs w:val="0"/>
          <w:sz w:val="32"/>
          <w:szCs w:val="32"/>
        </w:rPr>
        <w:t>第一阶段落地功能</w:t>
      </w:r>
    </w:p>
    <w:p w14:paraId="56ADBBAE" w14:textId="7483724C" w:rsidR="00016587" w:rsidRDefault="00016587" w:rsidP="00016587">
      <w:pPr>
        <w:pStyle w:val="Body2"/>
        <w:numPr>
          <w:ilvl w:val="0"/>
          <w:numId w:val="23"/>
        </w:numPr>
        <w:rPr>
          <w:rFonts w:hint="eastAsia"/>
        </w:rPr>
      </w:pPr>
      <w:r>
        <w:rPr>
          <w:rFonts w:hint="eastAsia"/>
        </w:rPr>
        <w:t>复盘工具</w:t>
      </w:r>
    </w:p>
    <w:p w14:paraId="22A34347" w14:textId="7507B9B2" w:rsidR="00016587" w:rsidRDefault="00016587" w:rsidP="00016587">
      <w:pPr>
        <w:pStyle w:val="Body2"/>
        <w:numPr>
          <w:ilvl w:val="1"/>
          <w:numId w:val="23"/>
        </w:numPr>
        <w:rPr>
          <w:rFonts w:hint="eastAsia"/>
        </w:rPr>
      </w:pPr>
      <w:r>
        <w:rPr>
          <w:rFonts w:hint="eastAsia"/>
        </w:rPr>
        <w:t>分析客户操作习惯，让客户意识自己优势劣势，扬长避短（如上图），延长客户生命周期；</w:t>
      </w:r>
    </w:p>
    <w:p w14:paraId="6C58BC5A" w14:textId="246B51A2" w:rsidR="00016587" w:rsidRDefault="00016587" w:rsidP="00016587">
      <w:pPr>
        <w:pStyle w:val="Body2"/>
        <w:numPr>
          <w:ilvl w:val="1"/>
          <w:numId w:val="23"/>
        </w:numPr>
        <w:rPr>
          <w:rFonts w:hint="eastAsia"/>
        </w:rPr>
      </w:pPr>
      <w:r>
        <w:rPr>
          <w:rFonts w:hint="eastAsia"/>
        </w:rPr>
        <w:t>分析客户偏好，为客户提供与他匹配的产品与服务，做到千人千面，更好服务客户；</w:t>
      </w:r>
    </w:p>
    <w:p w14:paraId="076B1F63" w14:textId="4075CA6F" w:rsidR="00016587" w:rsidRDefault="00016587" w:rsidP="00016587">
      <w:pPr>
        <w:pStyle w:val="Body2"/>
        <w:numPr>
          <w:ilvl w:val="1"/>
          <w:numId w:val="23"/>
        </w:numPr>
        <w:rPr>
          <w:rFonts w:hint="eastAsia"/>
        </w:rPr>
      </w:pPr>
      <w:r>
        <w:rPr>
          <w:rFonts w:hint="eastAsia"/>
        </w:rPr>
        <w:t>增加客户对APP的使用频率，盘中和盘后都使用，有粘性。</w:t>
      </w:r>
    </w:p>
    <w:p w14:paraId="71C4CD0F" w14:textId="7F8DE865" w:rsidR="00016587" w:rsidRDefault="00016587" w:rsidP="00016587">
      <w:pPr>
        <w:pStyle w:val="Body2"/>
        <w:numPr>
          <w:ilvl w:val="0"/>
          <w:numId w:val="23"/>
        </w:numPr>
        <w:rPr>
          <w:rFonts w:hint="eastAsia"/>
        </w:rPr>
      </w:pPr>
      <w:r>
        <w:rPr>
          <w:rFonts w:hint="eastAsia"/>
        </w:rPr>
        <w:t>相似K线</w:t>
      </w:r>
    </w:p>
    <w:p w14:paraId="01E3E92F" w14:textId="39E91D96" w:rsidR="00016587" w:rsidRDefault="00016587" w:rsidP="00016587">
      <w:pPr>
        <w:pStyle w:val="Body2"/>
        <w:numPr>
          <w:ilvl w:val="1"/>
          <w:numId w:val="23"/>
        </w:numPr>
        <w:rPr>
          <w:rFonts w:hint="eastAsia"/>
        </w:rPr>
      </w:pPr>
      <w:r>
        <w:rPr>
          <w:rFonts w:hint="eastAsia"/>
        </w:rPr>
        <w:t>其他竞品的相似K线功能单一，并且对新手有误导性；</w:t>
      </w:r>
    </w:p>
    <w:p w14:paraId="66573069" w14:textId="353C760C" w:rsidR="00016587" w:rsidRDefault="00016587" w:rsidP="00016587">
      <w:pPr>
        <w:pStyle w:val="Body2"/>
        <w:numPr>
          <w:ilvl w:val="1"/>
          <w:numId w:val="23"/>
        </w:numPr>
        <w:rPr>
          <w:rFonts w:hint="eastAsia"/>
        </w:rPr>
      </w:pPr>
      <w:r>
        <w:rPr>
          <w:rFonts w:hint="eastAsia"/>
        </w:rPr>
        <w:t>除了基本的相似K线外，还可以提供K线归纳和历史概率统计。</w:t>
      </w:r>
    </w:p>
    <w:p w14:paraId="021955EB" w14:textId="65BD0231" w:rsidR="00016587" w:rsidRDefault="00016587" w:rsidP="00016587">
      <w:pPr>
        <w:pStyle w:val="Body2"/>
        <w:numPr>
          <w:ilvl w:val="0"/>
          <w:numId w:val="23"/>
        </w:numPr>
        <w:rPr>
          <w:rFonts w:hint="eastAsia"/>
        </w:rPr>
      </w:pPr>
      <w:r>
        <w:rPr>
          <w:rFonts w:hint="eastAsia"/>
        </w:rPr>
        <w:t>策略历史回测</w:t>
      </w:r>
    </w:p>
    <w:p w14:paraId="6B8980C0" w14:textId="37D9D50A" w:rsidR="00016587" w:rsidRDefault="00016587" w:rsidP="00016587">
      <w:pPr>
        <w:pStyle w:val="Body2"/>
        <w:numPr>
          <w:ilvl w:val="1"/>
          <w:numId w:val="23"/>
        </w:numPr>
        <w:rPr>
          <w:rFonts w:hint="eastAsia"/>
        </w:rPr>
      </w:pPr>
      <w:r>
        <w:rPr>
          <w:rFonts w:hint="eastAsia"/>
        </w:rPr>
        <w:t>以简单的界面和可选的经典策略模式，让用户可以对丰富的行情类型（股灾、牛市、熊市），进行快速的策略验证和学习；</w:t>
      </w:r>
    </w:p>
    <w:p w14:paraId="1AEAAC1F" w14:textId="53C7D1EB" w:rsidR="00016587" w:rsidRDefault="00016587" w:rsidP="00016587">
      <w:pPr>
        <w:pStyle w:val="Body2"/>
        <w:numPr>
          <w:ilvl w:val="1"/>
          <w:numId w:val="23"/>
        </w:numPr>
        <w:rPr>
          <w:rFonts w:hint="eastAsia"/>
        </w:rPr>
      </w:pPr>
      <w:r>
        <w:rPr>
          <w:rFonts w:hint="eastAsia"/>
        </w:rPr>
        <w:t>[莫总@30 Nov] 以可融资证券（约为800个）为首先上线的标的，选定一到两个经典策略和经典参数</w:t>
      </w:r>
      <w:r w:rsidR="00C41E52">
        <w:rPr>
          <w:rFonts w:hint="eastAsia"/>
        </w:rPr>
        <w:t>，离线计算策略，线上快速展现回测结果。</w:t>
      </w:r>
    </w:p>
    <w:p w14:paraId="1F09EFD7" w14:textId="6E709B3E" w:rsidR="00016587" w:rsidRDefault="00016587" w:rsidP="00016587">
      <w:pPr>
        <w:pStyle w:val="Body2"/>
        <w:numPr>
          <w:ilvl w:val="0"/>
          <w:numId w:val="23"/>
        </w:numPr>
        <w:rPr>
          <w:rFonts w:hint="eastAsia"/>
        </w:rPr>
      </w:pPr>
      <w:r>
        <w:rPr>
          <w:rFonts w:hint="eastAsia"/>
        </w:rPr>
        <w:lastRenderedPageBreak/>
        <w:t>止损分析（“假如止损”）</w:t>
      </w:r>
    </w:p>
    <w:p w14:paraId="33CCF61E" w14:textId="4352D035" w:rsidR="00C41E52" w:rsidRPr="00016587" w:rsidRDefault="00C41E52" w:rsidP="00C41E52">
      <w:pPr>
        <w:pStyle w:val="Body2"/>
        <w:ind w:left="720"/>
        <w:rPr>
          <w:rFonts w:hint="eastAsia"/>
        </w:rPr>
      </w:pPr>
      <w:r>
        <w:rPr>
          <w:rFonts w:hint="eastAsia"/>
        </w:rPr>
        <w:t>分析用户如果正确的使用了“止损”功能，其交易提升的效果。为了避免内部的合规问题，此功能可以以“到价提醒”和“复盘分析“的形式呈现。</w:t>
      </w:r>
      <w:bookmarkStart w:id="0" w:name="_GoBack"/>
      <w:bookmarkEnd w:id="0"/>
    </w:p>
    <w:sectPr w:rsidR="00C41E52" w:rsidRPr="00016587">
      <w:headerReference w:type="default" r:id="rId9"/>
      <w:footerReference w:type="default" r:id="rId10"/>
      <w:pgSz w:w="11900" w:h="16840"/>
      <w:pgMar w:top="2520" w:right="1200" w:bottom="1800" w:left="1200" w:header="720" w:footer="104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058FE1" w14:textId="77777777" w:rsidR="00894FEF" w:rsidRDefault="00894FEF">
      <w:r>
        <w:separator/>
      </w:r>
    </w:p>
  </w:endnote>
  <w:endnote w:type="continuationSeparator" w:id="0">
    <w:p w14:paraId="066D7702" w14:textId="77777777" w:rsidR="00894FEF" w:rsidRDefault="00894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宋体">
    <w:charset w:val="86"/>
    <w:family w:val="auto"/>
    <w:pitch w:val="variable"/>
    <w:sig w:usb0="000000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Helvetica Neue Medium">
    <w:panose1 w:val="020B0604020202020204"/>
    <w:charset w:val="00"/>
    <w:family w:val="auto"/>
    <w:pitch w:val="variable"/>
    <w:sig w:usb0="A00002FF" w:usb1="5000205B" w:usb2="00000002" w:usb3="00000000" w:csb0="0000009B" w:csb1="00000000"/>
  </w:font>
  <w:font w:name="Helvetica Neue UltraLight">
    <w:panose1 w:val="02000206000000020004"/>
    <w:charset w:val="00"/>
    <w:family w:val="auto"/>
    <w:pitch w:val="variable"/>
    <w:sig w:usb0="A00002FF" w:usb1="5000205B" w:usb2="00000002" w:usb3="00000000" w:csb0="00000001" w:csb1="00000000"/>
  </w:font>
  <w:font w:name="Helvetica Neue Light">
    <w:panose1 w:val="02000403000000020004"/>
    <w:charset w:val="00"/>
    <w:family w:val="auto"/>
    <w:pitch w:val="variable"/>
    <w:sig w:usb0="A00002FF" w:usb1="5000205B" w:usb2="00000002" w:usb3="00000000" w:csb0="00000007"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D830FA" w14:textId="294DF44D" w:rsidR="006E2897" w:rsidRDefault="00905BE5">
    <w:pPr>
      <w:pStyle w:val="HeaderFooter"/>
      <w:tabs>
        <w:tab w:val="clear" w:pos="9020"/>
        <w:tab w:val="center" w:pos="4750"/>
        <w:tab w:val="right" w:pos="9500"/>
      </w:tabs>
    </w:pPr>
    <w:r>
      <w:rPr>
        <w:noProof/>
      </w:rPr>
      <w:drawing>
        <wp:inline distT="0" distB="0" distL="0" distR="0" wp14:anchorId="3AB9CD9C" wp14:editId="70B92AD3">
          <wp:extent cx="1232535" cy="550100"/>
          <wp:effectExtent l="0" t="0" r="12065" b="8890"/>
          <wp:docPr id="5" name="图片 5" descr="../../../com.tencent.xinWeChat/Data/Library/Application%20Support/com.tencent.xinWeChat/2.0b4.0.9/0effb3787c99cda447ca8fe0dc5edf41/Message/MessageTemp/3d030faa574587641982d1f24a35963f/Image/7281508840246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encent.xinWeChat/Data/Library/Application%20Support/com.tencent.xinWeChat/2.0b4.0.9/0effb3787c99cda447ca8fe0dc5edf41/Message/MessageTemp/3d030faa574587641982d1f24a35963f/Image/7281508840246_.pic.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6529" cy="551883"/>
                  </a:xfrm>
                  <a:prstGeom prst="rect">
                    <a:avLst/>
                  </a:prstGeom>
                  <a:noFill/>
                  <a:ln>
                    <a:noFill/>
                  </a:ln>
                </pic:spPr>
              </pic:pic>
            </a:graphicData>
          </a:graphic>
        </wp:inline>
      </w:drawing>
    </w:r>
    <w:r w:rsidR="001F2467">
      <w:tab/>
    </w:r>
    <w:r w:rsidR="001F2467">
      <w:tab/>
    </w:r>
    <w:r w:rsidR="001F2467">
      <w:fldChar w:fldCharType="begin"/>
    </w:r>
    <w:r w:rsidR="001F2467">
      <w:instrText xml:space="preserve"> PAGE </w:instrText>
    </w:r>
    <w:r w:rsidR="001F2467">
      <w:fldChar w:fldCharType="separate"/>
    </w:r>
    <w:r w:rsidR="00C41E52">
      <w:rPr>
        <w:noProof/>
      </w:rPr>
      <w:t>3</w:t>
    </w:r>
    <w:r w:rsidR="001F2467">
      <w:fldChar w:fldCharType="end"/>
    </w:r>
    <w:r w:rsidR="001F2467">
      <w:t xml:space="preserve"> of </w:t>
    </w:r>
    <w:r w:rsidR="00894FEF">
      <w:fldChar w:fldCharType="begin"/>
    </w:r>
    <w:r w:rsidR="00894FEF">
      <w:instrText xml:space="preserve"> NUMPAGES </w:instrText>
    </w:r>
    <w:r w:rsidR="00894FEF">
      <w:fldChar w:fldCharType="separate"/>
    </w:r>
    <w:r w:rsidR="00C41E52">
      <w:rPr>
        <w:noProof/>
      </w:rPr>
      <w:t>4</w:t>
    </w:r>
    <w:r w:rsidR="00894FEF">
      <w:rPr>
        <w:noProof/>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E97288" w14:textId="77777777" w:rsidR="00894FEF" w:rsidRDefault="00894FEF">
      <w:r>
        <w:separator/>
      </w:r>
    </w:p>
  </w:footnote>
  <w:footnote w:type="continuationSeparator" w:id="0">
    <w:p w14:paraId="0B5F080D" w14:textId="77777777" w:rsidR="00894FEF" w:rsidRDefault="00894FE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870ADD" w14:textId="77777777" w:rsidR="006E2897" w:rsidRDefault="001F2467">
    <w:r>
      <w:rPr>
        <w:noProof/>
        <w:lang w:eastAsia="zh-CN"/>
      </w:rPr>
      <mc:AlternateContent>
        <mc:Choice Requires="wps">
          <w:drawing>
            <wp:anchor distT="152400" distB="152400" distL="152400" distR="152400" simplePos="0" relativeHeight="251658240" behindDoc="1" locked="0" layoutInCell="1" allowOverlap="1" wp14:anchorId="4FE21306" wp14:editId="2F00BED9">
              <wp:simplePos x="0" y="0"/>
              <wp:positionH relativeFrom="page">
                <wp:posOffset>762000</wp:posOffset>
              </wp:positionH>
              <wp:positionV relativeFrom="page">
                <wp:posOffset>723881</wp:posOffset>
              </wp:positionV>
              <wp:extent cx="6029665" cy="19"/>
              <wp:effectExtent l="0" t="0" r="0" b="0"/>
              <wp:wrapNone/>
              <wp:docPr id="1073741825" name="officeArt object"/>
              <wp:cNvGraphicFramePr/>
              <a:graphic xmlns:a="http://schemas.openxmlformats.org/drawingml/2006/main">
                <a:graphicData uri="http://schemas.microsoft.com/office/word/2010/wordprocessingShape">
                  <wps:wsp>
                    <wps:cNvCnPr/>
                    <wps:spPr>
                      <a:xfrm flipV="1">
                        <a:off x="0" y="0"/>
                        <a:ext cx="6029665" cy="19"/>
                      </a:xfrm>
                      <a:prstGeom prst="line">
                        <a:avLst/>
                      </a:prstGeom>
                      <a:noFill/>
                      <a:ln w="38100" cap="flat">
                        <a:solidFill>
                          <a:schemeClr val="accent1">
                            <a:hueOff val="366345"/>
                            <a:satOff val="11385"/>
                            <a:lumOff val="-23239"/>
                          </a:schemeClr>
                        </a:solidFill>
                        <a:prstDash val="solid"/>
                        <a:miter lim="400000"/>
                      </a:ln>
                      <a:effectLst/>
                    </wps:spPr>
                    <wps:bodyPr/>
                  </wps:wsp>
                </a:graphicData>
              </a:graphic>
            </wp:anchor>
          </w:drawing>
        </mc:Choice>
        <mc:Fallback>
          <w:pict>
            <v:line w14:anchorId="04EC51B6" id="officeArt object" o:spid="_x0000_s1026" style="position:absolute;left:0;text-align:left;flip:y;z-index:-251658240;visibility:visible;mso-wrap-style:square;mso-wrap-distance-left:12pt;mso-wrap-distance-top:12pt;mso-wrap-distance-right:12pt;mso-wrap-distance-bottom:12pt;mso-position-horizontal:absolute;mso-position-horizontal-relative:page;mso-position-vertical:absolute;mso-position-vertical-relative:page" from="60pt,57pt" to="534.8pt,5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stUd+wBAADGAwAADgAAAGRycy9lMm9Eb2MueG1srFPJbtswEL0X6D8QvMfaHMURLAdFjPRStAa6&#10;3GmKtFhwA0lb9t93SCpC2t6K6kBwFr6ZefO0fboqiS7MeWF0j6tViRHT1AxCn3r8/dvL3QYjH4ge&#10;iDSa9fjGPH7avX+3nWzHajMaOTCHAET7brI9HkOwXVF4OjJF/MpYpiHIjVMkgOlOxeDIBOhKFnVZ&#10;tsVk3GCdocx78O5zEO8SPueMhi+cexaQ7DH0FtLp0nmMZ7Hbku7kiB0Fndsg/9CFIkJD0QVqTwJB&#10;Zyf+glKCOuMNDytqVGE4F5SlGWCaqvxjmq8jsSzNAuR4u9Dk/x8s/Xw5OCQG2F350Dysq019j5Em&#10;CnaVu/vgAjLHn8BkJGuyvoM3z/rgZsvbg4uTX7lTiEthfwBW4gLeo2ui+rZQza4BUXC2Zf3YtlCK&#10;Qqx6jNBFxohY1vnwkRmF4qXHUuhIA+nI5ZMPOfU1Jbq1eRFSgp90UqOpx82mKmHblICiuCQhPfZG&#10;iiEmxrwkMPYsHboQkAahlOmQ2x7PDDST/U3bNuv7rBJPopayv6qazeyWZ7W47+qmbl6HWUqk0X6r&#10;HpvfEz9msBTKNZQI8DtIoXq8LuM3EyN1bJolQc8UxE1k7uPtaIZbWkkRLRBLKjoLO6rxrQ33t7/f&#10;7hcAAAD//wMAUEsDBBQABgAIAAAAIQBbSqhK3QAAAAwBAAAPAAAAZHJzL2Rvd25yZXYueG1sTI9B&#10;a8MwDIXvg/0Ho8EupXVSSujSOGUMuh1H2lF2dGMtCYvlYLtp+u+nwmC7vSc9nj4V28n2YkQfOkcK&#10;0kUCAql2pqNGwcdhN1+DCFGT0b0jVHDFANvy/q7QuXEXqnDcx0ZwCYVcK2hjHHIpQ92i1WHhBiTe&#10;fTlvdWTrG2m8vnC57eUySTJpdUd8odUDvrRYf+/PVkE1W1NdLY/j4fXqZ8e33Wca31dKPT5MzxsQ&#10;Eaf4F4YbPqNDyUwndyYTRM+e6znKIl2xuCWS7CkDcfodybKQ/58ofwAAAP//AwBQSwECLQAUAAYA&#10;CAAAACEA5JnDwPsAAADhAQAAEwAAAAAAAAAAAAAAAAAAAAAAW0NvbnRlbnRfVHlwZXNdLnhtbFBL&#10;AQItABQABgAIAAAAIQAjsmrh1wAAAJQBAAALAAAAAAAAAAAAAAAAACwBAABfcmVscy8ucmVsc1BL&#10;AQItABQABgAIAAAAIQBqy1R37AEAAMYDAAAOAAAAAAAAAAAAAAAAACwCAABkcnMvZTJvRG9jLnht&#10;bFBLAQItABQABgAIAAAAIQBbSqhK3QAAAAwBAAAPAAAAAAAAAAAAAAAAAEQEAABkcnMvZG93bnJl&#10;di54bWxQSwUGAAAAAAQABADzAAAATgUAAAAA&#10;" strokecolor="#85b9c9 [3204]" strokeweight="3pt">
              <v:stroke miterlimit="4" joinstyle="miter"/>
              <w10:wrap anchorx="page" anchory="page"/>
            </v:line>
          </w:pict>
        </mc:Fallback>
      </mc:AlternateContent>
    </w:r>
    <w:r>
      <w:rPr>
        <w:noProof/>
        <w:lang w:eastAsia="zh-CN"/>
      </w:rPr>
      <mc:AlternateContent>
        <mc:Choice Requires="wps">
          <w:drawing>
            <wp:anchor distT="152400" distB="152400" distL="152400" distR="152400" simplePos="0" relativeHeight="251659264" behindDoc="1" locked="0" layoutInCell="1" allowOverlap="1" wp14:anchorId="4AA6535D" wp14:editId="69D8EA07">
              <wp:simplePos x="0" y="0"/>
              <wp:positionH relativeFrom="page">
                <wp:posOffset>762000</wp:posOffset>
              </wp:positionH>
              <wp:positionV relativeFrom="page">
                <wp:posOffset>9804400</wp:posOffset>
              </wp:positionV>
              <wp:extent cx="6030791" cy="3"/>
              <wp:effectExtent l="0" t="0" r="0" b="0"/>
              <wp:wrapNone/>
              <wp:docPr id="1073741826" name="officeArt object"/>
              <wp:cNvGraphicFramePr/>
              <a:graphic xmlns:a="http://schemas.openxmlformats.org/drawingml/2006/main">
                <a:graphicData uri="http://schemas.microsoft.com/office/word/2010/wordprocessingShape">
                  <wps:wsp>
                    <wps:cNvCnPr/>
                    <wps:spPr>
                      <a:xfrm>
                        <a:off x="0" y="0"/>
                        <a:ext cx="6030791" cy="3"/>
                      </a:xfrm>
                      <a:prstGeom prst="line">
                        <a:avLst/>
                      </a:prstGeom>
                      <a:noFill/>
                      <a:ln w="12700" cap="flat">
                        <a:solidFill>
                          <a:schemeClr val="accent1">
                            <a:hueOff val="366345"/>
                            <a:satOff val="11385"/>
                            <a:lumOff val="-23239"/>
                          </a:schemeClr>
                        </a:solidFill>
                        <a:prstDash val="solid"/>
                        <a:miter lim="400000"/>
                      </a:ln>
                      <a:effectLst/>
                    </wps:spPr>
                    <wps:bodyPr/>
                  </wps:wsp>
                </a:graphicData>
              </a:graphic>
            </wp:anchor>
          </w:drawing>
        </mc:Choice>
        <mc:Fallback>
          <w:pict>
            <v:line w14:anchorId="2FFC4076" id="officeArt object" o:spid="_x0000_s1026" style="position:absolute;left:0;text-align:left;z-index:-251657216;visibility:visible;mso-wrap-style:square;mso-wrap-distance-left:12pt;mso-wrap-distance-top:12pt;mso-wrap-distance-right:12pt;mso-wrap-distance-bottom:12pt;mso-position-horizontal:absolute;mso-position-horizontal-relative:page;mso-position-vertical:absolute;mso-position-vertical-relative:page" from="60pt,772pt" to="534.85pt,77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ivkCeQBAAC7AwAADgAAAGRycy9lMm9Eb2MueG1srFPbjtMwEH1H4h8sv29zK2k3arpCWy0vCCoB&#10;HzB1nMbIN9lu0/49YyeEBd4QeXDs8fjMnOPj3dNNSXLlzgujW1qsckq4ZqYT+tzSb19fHraU+AC6&#10;A2k0b+mde/q0f/tmN9qGl2YwsuOOIIj2zWhbOoRgmyzzbOAK/MpYrnGzN05BwKU7Z52DEdGVzMo8&#10;r7PRuM46w7j3GD1Mm3Sf8Pues/C57z0PRLYUewtpdGk8xTHb76A5O7CDYHMb8A9dKBAaiy5QBwhA&#10;Lk78BaUEc8abPqyYUZnpe8F44oBsivwPNl8GsDxxQXG8XWTy/w+WfboeHREd3l2+qTbrYlvWlGhQ&#10;eFdTd+9dIOb0HZWMYo3WN3jmWR/dvPL26CLzW+9U/OMpcksC3xeB+S0QhsE6r/LNY0EJw70q4mW/&#10;DlrnwwduFImTlkqhI3do4PrRhyn1Z0oMa/MipMQ4NFKTEQmUmxyvmAHaqJcQ0mFvpOhiYsxLruLP&#10;0pEroB+AMa5DkfKGC0ejTPGqrqv1u8kaHqKBpnhRVNs5LC9qCT+UVVk9zmSWEonab9Vj8wfwwwSW&#10;tqYaSgR8A1Kolq7z+M1YUsemeXLxLEGUfxI8zk6mu6d7yOIKHZKKzm6OFny9xvnrN7f/AQAA//8D&#10;AFBLAwQUAAYACAAAACEAUcgq4eAAAAAOAQAADwAAAGRycy9kb3ducmV2LnhtbEyPzU7DMBCE70i8&#10;g7VI3KhDKS0NcSpUCZCgl/6gXt14SULsdYjdNvD0bA8IbjO7o9lvs1nvrDhgF2pPCq4HCQikwpua&#10;SgWb9ePVHYgQNRltPaGCLwwwy8/PMp0af6QlHlaxFFxCIdUKqhjbVMpQVOh0GPgWiXfvvnM6su1K&#10;aTp95HJn5TBJxtLpmvhCpVucV1g0q71TED8nr03zEj7ssJw/37w1Yfv0vVDq8qJ/uAcRsY9/YTjh&#10;MzrkzLTzezJBWPZcz1EWt6MRq1MkGU8nIHa/M5ln8v8b+Q8AAAD//wMAUEsBAi0AFAAGAAgAAAAh&#10;AOSZw8D7AAAA4QEAABMAAAAAAAAAAAAAAAAAAAAAAFtDb250ZW50X1R5cGVzXS54bWxQSwECLQAU&#10;AAYACAAAACEAI7Jq4dcAAACUAQAACwAAAAAAAAAAAAAAAAAsAQAAX3JlbHMvLnJlbHNQSwECLQAU&#10;AAYACAAAACEAAivkCeQBAAC7AwAADgAAAAAAAAAAAAAAAAAsAgAAZHJzL2Uyb0RvYy54bWxQSwEC&#10;LQAUAAYACAAAACEAUcgq4eAAAAAOAQAADwAAAAAAAAAAAAAAAAA8BAAAZHJzL2Rvd25yZXYueG1s&#10;UEsFBgAAAAAEAAQA8wAAAEkFAAAAAA==&#10;" strokecolor="#85b9c9 [3204]" strokeweight="1pt">
              <v:stroke miterlimit="4" joinstyle="miter"/>
              <w10:wrap anchorx="page" anchory="page"/>
            </v:lin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840A72"/>
    <w:multiLevelType w:val="hybridMultilevel"/>
    <w:tmpl w:val="C28C0854"/>
    <w:lvl w:ilvl="0" w:tplc="D278076A">
      <w:start w:val="1"/>
      <w:numFmt w:val="bullet"/>
      <w:lvlText w:val="•"/>
      <w:lvlJc w:val="left"/>
      <w:pPr>
        <w:ind w:left="194" w:hanging="194"/>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tplc="BBE60576">
      <w:start w:val="1"/>
      <w:numFmt w:val="bullet"/>
      <w:lvlText w:val="•"/>
      <w:lvlJc w:val="left"/>
      <w:pPr>
        <w:ind w:left="44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tplc="F0523BBE">
      <w:start w:val="1"/>
      <w:numFmt w:val="bullet"/>
      <w:lvlText w:val="•"/>
      <w:lvlJc w:val="left"/>
      <w:pPr>
        <w:ind w:left="6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tplc="3B7EAD38">
      <w:start w:val="1"/>
      <w:numFmt w:val="bullet"/>
      <w:lvlText w:val="•"/>
      <w:lvlJc w:val="left"/>
      <w:pPr>
        <w:ind w:left="8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tplc="E54643D2">
      <w:start w:val="1"/>
      <w:numFmt w:val="bullet"/>
      <w:lvlText w:val="•"/>
      <w:lvlJc w:val="left"/>
      <w:pPr>
        <w:ind w:left="107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tplc="62CA4912">
      <w:start w:val="1"/>
      <w:numFmt w:val="bullet"/>
      <w:lvlText w:val="•"/>
      <w:lvlJc w:val="left"/>
      <w:pPr>
        <w:ind w:left="129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tplc="C80880CE">
      <w:start w:val="1"/>
      <w:numFmt w:val="bullet"/>
      <w:lvlText w:val="•"/>
      <w:lvlJc w:val="left"/>
      <w:pPr>
        <w:ind w:left="151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tplc="E7F2BB82">
      <w:start w:val="1"/>
      <w:numFmt w:val="bullet"/>
      <w:lvlText w:val="•"/>
      <w:lvlJc w:val="left"/>
      <w:pPr>
        <w:ind w:left="17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tplc="10DC34B4">
      <w:start w:val="1"/>
      <w:numFmt w:val="bullet"/>
      <w:lvlText w:val="•"/>
      <w:lvlJc w:val="left"/>
      <w:pPr>
        <w:ind w:left="19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1">
    <w:nsid w:val="0E1855AD"/>
    <w:multiLevelType w:val="hybridMultilevel"/>
    <w:tmpl w:val="51B88646"/>
    <w:numStyleLink w:val="Lettered"/>
  </w:abstractNum>
  <w:abstractNum w:abstractNumId="2">
    <w:nsid w:val="15673D94"/>
    <w:multiLevelType w:val="hybridMultilevel"/>
    <w:tmpl w:val="51B88646"/>
    <w:styleLink w:val="Lettered"/>
    <w:lvl w:ilvl="0" w:tplc="8C2AC488">
      <w:start w:val="1"/>
      <w:numFmt w:val="upperLetter"/>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1AF20F0E">
      <w:start w:val="1"/>
      <w:numFmt w:val="upperLetter"/>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CE04FC72">
      <w:start w:val="1"/>
      <w:numFmt w:val="upperLetter"/>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4AAE81CA">
      <w:start w:val="1"/>
      <w:numFmt w:val="upperLetter"/>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8070C582">
      <w:start w:val="1"/>
      <w:numFmt w:val="upperLetter"/>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9B14C9EC">
      <w:start w:val="1"/>
      <w:numFmt w:val="upperLetter"/>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01A8E412">
      <w:start w:val="1"/>
      <w:numFmt w:val="upperLetter"/>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2FBA7134">
      <w:start w:val="1"/>
      <w:numFmt w:val="upperLetter"/>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3572B960">
      <w:start w:val="1"/>
      <w:numFmt w:val="upperLetter"/>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nsid w:val="168A719D"/>
    <w:multiLevelType w:val="hybridMultilevel"/>
    <w:tmpl w:val="E6782252"/>
    <w:styleLink w:val="Lettered2"/>
    <w:lvl w:ilvl="0" w:tplc="17B004D8">
      <w:start w:val="1"/>
      <w:numFmt w:val="upperLetter"/>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0BFAC01A">
      <w:start w:val="1"/>
      <w:numFmt w:val="upperLetter"/>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1EAAD4E8">
      <w:start w:val="1"/>
      <w:numFmt w:val="upperLetter"/>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6C6A830E">
      <w:start w:val="1"/>
      <w:numFmt w:val="upperLetter"/>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0E762DF6">
      <w:start w:val="1"/>
      <w:numFmt w:val="upperLetter"/>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9956EA56">
      <w:start w:val="1"/>
      <w:numFmt w:val="upperLetter"/>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7B04CE88">
      <w:start w:val="1"/>
      <w:numFmt w:val="upperLetter"/>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D8F49964">
      <w:start w:val="1"/>
      <w:numFmt w:val="upperLetter"/>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4106FEA2">
      <w:start w:val="1"/>
      <w:numFmt w:val="upperLetter"/>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nsid w:val="182E44E3"/>
    <w:multiLevelType w:val="hybridMultilevel"/>
    <w:tmpl w:val="05669E74"/>
    <w:styleLink w:val="Bullet3"/>
    <w:lvl w:ilvl="0" w:tplc="7576965E">
      <w:start w:val="1"/>
      <w:numFmt w:val="bullet"/>
      <w:lvlText w:val="•"/>
      <w:lvlJc w:val="left"/>
      <w:pPr>
        <w:ind w:left="216" w:hanging="21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tplc="FE0E2770">
      <w:start w:val="1"/>
      <w:numFmt w:val="bullet"/>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tplc="6CC095C8">
      <w:start w:val="1"/>
      <w:numFmt w:val="bullet"/>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tplc="AF303032">
      <w:start w:val="1"/>
      <w:numFmt w:val="bullet"/>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tplc="40E2775A">
      <w:start w:val="1"/>
      <w:numFmt w:val="bullet"/>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tplc="4DCAA0A2">
      <w:start w:val="1"/>
      <w:numFmt w:val="bullet"/>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tplc="DB7CDEFC">
      <w:start w:val="1"/>
      <w:numFmt w:val="bullet"/>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tplc="ECFAE77C">
      <w:start w:val="1"/>
      <w:numFmt w:val="bullet"/>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tplc="452C1A48">
      <w:start w:val="1"/>
      <w:numFmt w:val="bullet"/>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5">
    <w:nsid w:val="219743EC"/>
    <w:multiLevelType w:val="hybridMultilevel"/>
    <w:tmpl w:val="E6782252"/>
    <w:numStyleLink w:val="Lettered2"/>
  </w:abstractNum>
  <w:abstractNum w:abstractNumId="6">
    <w:nsid w:val="24212FDE"/>
    <w:multiLevelType w:val="hybridMultilevel"/>
    <w:tmpl w:val="537E8776"/>
    <w:numStyleLink w:val="Lettered1"/>
  </w:abstractNum>
  <w:abstractNum w:abstractNumId="7">
    <w:nsid w:val="295F4BC8"/>
    <w:multiLevelType w:val="hybridMultilevel"/>
    <w:tmpl w:val="03345D0E"/>
    <w:styleLink w:val="Bullet"/>
    <w:lvl w:ilvl="0" w:tplc="3D6E0934">
      <w:start w:val="1"/>
      <w:numFmt w:val="bullet"/>
      <w:lvlText w:val="•"/>
      <w:lvlJc w:val="left"/>
      <w:pPr>
        <w:ind w:left="281" w:hanging="281"/>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tplc="70329406">
      <w:start w:val="1"/>
      <w:numFmt w:val="bullet"/>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tplc="420AC9F2">
      <w:start w:val="1"/>
      <w:numFmt w:val="bullet"/>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tplc="CD2A7836">
      <w:start w:val="1"/>
      <w:numFmt w:val="bullet"/>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tplc="2138BB2C">
      <w:start w:val="1"/>
      <w:numFmt w:val="bullet"/>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tplc="30720B64">
      <w:start w:val="1"/>
      <w:numFmt w:val="bullet"/>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tplc="4FAAB7BE">
      <w:start w:val="1"/>
      <w:numFmt w:val="bullet"/>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tplc="9B64B16E">
      <w:start w:val="1"/>
      <w:numFmt w:val="bullet"/>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tplc="596C1F36">
      <w:start w:val="1"/>
      <w:numFmt w:val="bullet"/>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8">
    <w:nsid w:val="2ACD29CB"/>
    <w:multiLevelType w:val="hybridMultilevel"/>
    <w:tmpl w:val="26B2C01C"/>
    <w:numStyleLink w:val="Lettered3"/>
  </w:abstractNum>
  <w:abstractNum w:abstractNumId="9">
    <w:nsid w:val="32B20276"/>
    <w:multiLevelType w:val="hybridMultilevel"/>
    <w:tmpl w:val="03345D0E"/>
    <w:numStyleLink w:val="Bullet"/>
  </w:abstractNum>
  <w:abstractNum w:abstractNumId="10">
    <w:nsid w:val="340F68AD"/>
    <w:multiLevelType w:val="hybridMultilevel"/>
    <w:tmpl w:val="27E0293E"/>
    <w:lvl w:ilvl="0" w:tplc="90DA6FDE">
      <w:start w:val="1"/>
      <w:numFmt w:val="decimal"/>
      <w:lvlText w:val="%1."/>
      <w:lvlJc w:val="left"/>
      <w:pPr>
        <w:ind w:left="72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5B6493C"/>
    <w:multiLevelType w:val="hybridMultilevel"/>
    <w:tmpl w:val="B0E61DEE"/>
    <w:lvl w:ilvl="0" w:tplc="AA6C8074">
      <w:start w:val="1"/>
      <w:numFmt w:val="bullet"/>
      <w:lvlText w:val="•"/>
      <w:lvlJc w:val="left"/>
      <w:pPr>
        <w:ind w:left="194" w:hanging="194"/>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tplc="49B89688">
      <w:start w:val="1"/>
      <w:numFmt w:val="bullet"/>
      <w:lvlText w:val="•"/>
      <w:lvlJc w:val="left"/>
      <w:pPr>
        <w:ind w:left="44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tplc="75860D68">
      <w:start w:val="1"/>
      <w:numFmt w:val="bullet"/>
      <w:lvlText w:val="•"/>
      <w:lvlJc w:val="left"/>
      <w:pPr>
        <w:ind w:left="6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tplc="A3E29288">
      <w:start w:val="1"/>
      <w:numFmt w:val="bullet"/>
      <w:lvlText w:val="•"/>
      <w:lvlJc w:val="left"/>
      <w:pPr>
        <w:ind w:left="8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tplc="DBB8ABA4">
      <w:start w:val="1"/>
      <w:numFmt w:val="bullet"/>
      <w:lvlText w:val="•"/>
      <w:lvlJc w:val="left"/>
      <w:pPr>
        <w:ind w:left="107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tplc="629209FA">
      <w:start w:val="1"/>
      <w:numFmt w:val="bullet"/>
      <w:lvlText w:val="•"/>
      <w:lvlJc w:val="left"/>
      <w:pPr>
        <w:ind w:left="129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tplc="22AC97AC">
      <w:start w:val="1"/>
      <w:numFmt w:val="bullet"/>
      <w:lvlText w:val="•"/>
      <w:lvlJc w:val="left"/>
      <w:pPr>
        <w:ind w:left="151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tplc="0C5C8476">
      <w:start w:val="1"/>
      <w:numFmt w:val="bullet"/>
      <w:lvlText w:val="•"/>
      <w:lvlJc w:val="left"/>
      <w:pPr>
        <w:ind w:left="17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tplc="2CDC5AC0">
      <w:start w:val="1"/>
      <w:numFmt w:val="bullet"/>
      <w:lvlText w:val="•"/>
      <w:lvlJc w:val="left"/>
      <w:pPr>
        <w:ind w:left="19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12">
    <w:nsid w:val="37F87302"/>
    <w:multiLevelType w:val="hybridMultilevel"/>
    <w:tmpl w:val="EEF23F32"/>
    <w:lvl w:ilvl="0" w:tplc="E8825ED2">
      <w:start w:val="1"/>
      <w:numFmt w:val="bullet"/>
      <w:lvlText w:val="•"/>
      <w:lvlJc w:val="left"/>
      <w:pPr>
        <w:ind w:left="194" w:hanging="194"/>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tplc="0A6E8370">
      <w:start w:val="1"/>
      <w:numFmt w:val="bullet"/>
      <w:lvlText w:val="•"/>
      <w:lvlJc w:val="left"/>
      <w:pPr>
        <w:ind w:left="44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tplc="FC640AB2">
      <w:start w:val="1"/>
      <w:numFmt w:val="bullet"/>
      <w:lvlText w:val="•"/>
      <w:lvlJc w:val="left"/>
      <w:pPr>
        <w:ind w:left="6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tplc="B6AEC344">
      <w:start w:val="1"/>
      <w:numFmt w:val="bullet"/>
      <w:lvlText w:val="•"/>
      <w:lvlJc w:val="left"/>
      <w:pPr>
        <w:ind w:left="8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tplc="96CEF46C">
      <w:start w:val="1"/>
      <w:numFmt w:val="bullet"/>
      <w:lvlText w:val="•"/>
      <w:lvlJc w:val="left"/>
      <w:pPr>
        <w:ind w:left="107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tplc="86783C02">
      <w:start w:val="1"/>
      <w:numFmt w:val="bullet"/>
      <w:lvlText w:val="•"/>
      <w:lvlJc w:val="left"/>
      <w:pPr>
        <w:ind w:left="129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tplc="89DC39EC">
      <w:start w:val="1"/>
      <w:numFmt w:val="bullet"/>
      <w:lvlText w:val="•"/>
      <w:lvlJc w:val="left"/>
      <w:pPr>
        <w:ind w:left="151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tplc="97425076">
      <w:start w:val="1"/>
      <w:numFmt w:val="bullet"/>
      <w:lvlText w:val="•"/>
      <w:lvlJc w:val="left"/>
      <w:pPr>
        <w:ind w:left="17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tplc="12FA5B06">
      <w:start w:val="1"/>
      <w:numFmt w:val="bullet"/>
      <w:lvlText w:val="•"/>
      <w:lvlJc w:val="left"/>
      <w:pPr>
        <w:ind w:left="19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13">
    <w:nsid w:val="47D57913"/>
    <w:multiLevelType w:val="hybridMultilevel"/>
    <w:tmpl w:val="537E8776"/>
    <w:styleLink w:val="Lettered1"/>
    <w:lvl w:ilvl="0" w:tplc="5B0EA978">
      <w:start w:val="1"/>
      <w:numFmt w:val="upperLetter"/>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FC748E52">
      <w:start w:val="1"/>
      <w:numFmt w:val="upperLetter"/>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89ECA0D4">
      <w:start w:val="1"/>
      <w:numFmt w:val="upperLetter"/>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8F063C0E">
      <w:start w:val="1"/>
      <w:numFmt w:val="upperLetter"/>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40B6DFDA">
      <w:start w:val="1"/>
      <w:numFmt w:val="upperLetter"/>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4C4C8CAC">
      <w:start w:val="1"/>
      <w:numFmt w:val="upperLetter"/>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4860FDE6">
      <w:start w:val="1"/>
      <w:numFmt w:val="upperLetter"/>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FE3E377C">
      <w:start w:val="1"/>
      <w:numFmt w:val="upperLetter"/>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D79C243A">
      <w:start w:val="1"/>
      <w:numFmt w:val="upperLetter"/>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nsid w:val="497F5186"/>
    <w:multiLevelType w:val="hybridMultilevel"/>
    <w:tmpl w:val="A86E1110"/>
    <w:styleLink w:val="Numbered"/>
    <w:lvl w:ilvl="0" w:tplc="01EE8254">
      <w:start w:val="1"/>
      <w:numFmt w:val="decimal"/>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36BACC34">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6DAA860E">
      <w:start w:val="1"/>
      <w:numFmt w:val="decimal"/>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6568C39C">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F3940E00">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734ED00E">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68785AB0">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94144990">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AB30ECAC">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nsid w:val="4BBD62C1"/>
    <w:multiLevelType w:val="hybridMultilevel"/>
    <w:tmpl w:val="A86E1110"/>
    <w:numStyleLink w:val="Numbered"/>
  </w:abstractNum>
  <w:abstractNum w:abstractNumId="16">
    <w:nsid w:val="551C588E"/>
    <w:multiLevelType w:val="hybridMultilevel"/>
    <w:tmpl w:val="26B2C01C"/>
    <w:styleLink w:val="Lettered3"/>
    <w:lvl w:ilvl="0" w:tplc="A648BB72">
      <w:start w:val="1"/>
      <w:numFmt w:val="upperLetter"/>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BD2A96C6">
      <w:start w:val="1"/>
      <w:numFmt w:val="upperLetter"/>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BE5660E2">
      <w:start w:val="1"/>
      <w:numFmt w:val="upperLetter"/>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55F04ADC">
      <w:start w:val="1"/>
      <w:numFmt w:val="upperLetter"/>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308A8CFA">
      <w:start w:val="1"/>
      <w:numFmt w:val="upperLetter"/>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CB92461C">
      <w:start w:val="1"/>
      <w:numFmt w:val="upperLetter"/>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FCDAF5DA">
      <w:start w:val="1"/>
      <w:numFmt w:val="upperLetter"/>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3E70B436">
      <w:start w:val="1"/>
      <w:numFmt w:val="upperLetter"/>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1DB4C364">
      <w:start w:val="1"/>
      <w:numFmt w:val="upperLetter"/>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nsid w:val="560B2352"/>
    <w:multiLevelType w:val="hybridMultilevel"/>
    <w:tmpl w:val="05669E74"/>
    <w:numStyleLink w:val="Bullet3"/>
  </w:abstractNum>
  <w:abstractNum w:abstractNumId="18">
    <w:nsid w:val="7E641DCC"/>
    <w:multiLevelType w:val="hybridMultilevel"/>
    <w:tmpl w:val="B7CC9B90"/>
    <w:lvl w:ilvl="0" w:tplc="7BF4D4DE">
      <w:start w:val="1"/>
      <w:numFmt w:val="bullet"/>
      <w:lvlText w:val="•"/>
      <w:lvlJc w:val="left"/>
      <w:pPr>
        <w:ind w:left="194" w:hanging="194"/>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tplc="048A927A">
      <w:start w:val="1"/>
      <w:numFmt w:val="bullet"/>
      <w:lvlText w:val="•"/>
      <w:lvlJc w:val="left"/>
      <w:pPr>
        <w:ind w:left="44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tplc="B8F87974">
      <w:start w:val="1"/>
      <w:numFmt w:val="bullet"/>
      <w:lvlText w:val="•"/>
      <w:lvlJc w:val="left"/>
      <w:pPr>
        <w:ind w:left="6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tplc="BF164530">
      <w:start w:val="1"/>
      <w:numFmt w:val="bullet"/>
      <w:lvlText w:val="•"/>
      <w:lvlJc w:val="left"/>
      <w:pPr>
        <w:ind w:left="8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tplc="D696E206">
      <w:start w:val="1"/>
      <w:numFmt w:val="bullet"/>
      <w:lvlText w:val="•"/>
      <w:lvlJc w:val="left"/>
      <w:pPr>
        <w:ind w:left="107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tplc="C4EE7A14">
      <w:start w:val="1"/>
      <w:numFmt w:val="bullet"/>
      <w:lvlText w:val="•"/>
      <w:lvlJc w:val="left"/>
      <w:pPr>
        <w:ind w:left="129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tplc="F14ECB64">
      <w:start w:val="1"/>
      <w:numFmt w:val="bullet"/>
      <w:lvlText w:val="•"/>
      <w:lvlJc w:val="left"/>
      <w:pPr>
        <w:ind w:left="151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tplc="524ED150">
      <w:start w:val="1"/>
      <w:numFmt w:val="bullet"/>
      <w:lvlText w:val="•"/>
      <w:lvlJc w:val="left"/>
      <w:pPr>
        <w:ind w:left="17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tplc="82765B70">
      <w:start w:val="1"/>
      <w:numFmt w:val="bullet"/>
      <w:lvlText w:val="•"/>
      <w:lvlJc w:val="left"/>
      <w:pPr>
        <w:ind w:left="19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num w:numId="1">
    <w:abstractNumId w:val="7"/>
  </w:num>
  <w:num w:numId="2">
    <w:abstractNumId w:val="9"/>
  </w:num>
  <w:num w:numId="3">
    <w:abstractNumId w:val="4"/>
  </w:num>
  <w:num w:numId="4">
    <w:abstractNumId w:val="17"/>
  </w:num>
  <w:num w:numId="5">
    <w:abstractNumId w:val="14"/>
  </w:num>
  <w:num w:numId="6">
    <w:abstractNumId w:val="15"/>
  </w:num>
  <w:num w:numId="7">
    <w:abstractNumId w:val="2"/>
  </w:num>
  <w:num w:numId="8">
    <w:abstractNumId w:val="1"/>
  </w:num>
  <w:num w:numId="9">
    <w:abstractNumId w:val="15"/>
    <w:lvlOverride w:ilvl="4">
      <w:startOverride w:val="1"/>
    </w:lvlOverride>
  </w:num>
  <w:num w:numId="10">
    <w:abstractNumId w:val="15"/>
    <w:lvlOverride w:ilvl="4">
      <w:startOverride w:val="1"/>
    </w:lvlOverride>
  </w:num>
  <w:num w:numId="11">
    <w:abstractNumId w:val="0"/>
  </w:num>
  <w:num w:numId="12">
    <w:abstractNumId w:val="11"/>
  </w:num>
  <w:num w:numId="13">
    <w:abstractNumId w:val="18"/>
  </w:num>
  <w:num w:numId="14">
    <w:abstractNumId w:val="12"/>
  </w:num>
  <w:num w:numId="15">
    <w:abstractNumId w:val="9"/>
    <w:lvlOverride w:ilvl="0">
      <w:lvl w:ilvl="0" w:tplc="349A5484">
        <w:start w:val="1"/>
        <w:numFmt w:val="bullet"/>
        <w:lvlText w:val="•"/>
        <w:lvlJc w:val="left"/>
        <w:pPr>
          <w:ind w:left="216" w:hanging="21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1">
      <w:lvl w:ilvl="1" w:tplc="A20AD05A">
        <w:start w:val="1"/>
        <w:numFmt w:val="bullet"/>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2">
      <w:lvl w:ilvl="2" w:tplc="A73E838A">
        <w:start w:val="1"/>
        <w:numFmt w:val="bullet"/>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3">
      <w:lvl w:ilvl="3" w:tplc="AC34D422">
        <w:start w:val="1"/>
        <w:numFmt w:val="bullet"/>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4">
      <w:lvl w:ilvl="4" w:tplc="9E50F1BA">
        <w:start w:val="1"/>
        <w:numFmt w:val="bullet"/>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5">
      <w:lvl w:ilvl="5" w:tplc="2F24C6BA">
        <w:start w:val="1"/>
        <w:numFmt w:val="bullet"/>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6">
      <w:lvl w:ilvl="6" w:tplc="53708500">
        <w:start w:val="1"/>
        <w:numFmt w:val="bullet"/>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7">
      <w:lvl w:ilvl="7" w:tplc="E1EA59A6">
        <w:start w:val="1"/>
        <w:numFmt w:val="bullet"/>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8">
      <w:lvl w:ilvl="8" w:tplc="98FA17F6">
        <w:start w:val="1"/>
        <w:numFmt w:val="bullet"/>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num>
  <w:num w:numId="16">
    <w:abstractNumId w:val="13"/>
  </w:num>
  <w:num w:numId="17">
    <w:abstractNumId w:val="6"/>
  </w:num>
  <w:num w:numId="18">
    <w:abstractNumId w:val="3"/>
  </w:num>
  <w:num w:numId="19">
    <w:abstractNumId w:val="5"/>
  </w:num>
  <w:num w:numId="20">
    <w:abstractNumId w:val="16"/>
  </w:num>
  <w:num w:numId="21">
    <w:abstractNumId w:val="8"/>
  </w:num>
  <w:num w:numId="22">
    <w:abstractNumId w:val="9"/>
    <w:lvlOverride w:ilvl="0">
      <w:lvl w:ilvl="0" w:tplc="349A5484">
        <w:start w:val="1"/>
        <w:numFmt w:val="bullet"/>
        <w:lvlText w:val="•"/>
        <w:lvlJc w:val="left"/>
        <w:pPr>
          <w:ind w:left="238" w:hanging="238"/>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1">
      <w:lvl w:ilvl="1" w:tplc="A20AD05A">
        <w:start w:val="1"/>
        <w:numFmt w:val="bullet"/>
        <w:lvlText w:val="•"/>
        <w:lvlJc w:val="left"/>
        <w:pPr>
          <w:ind w:left="46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2">
      <w:lvl w:ilvl="2" w:tplc="A73E838A">
        <w:start w:val="1"/>
        <w:numFmt w:val="bullet"/>
        <w:lvlText w:val="•"/>
        <w:lvlJc w:val="left"/>
        <w:pPr>
          <w:ind w:left="68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3">
      <w:lvl w:ilvl="3" w:tplc="AC34D422">
        <w:start w:val="1"/>
        <w:numFmt w:val="bullet"/>
        <w:lvlText w:val="•"/>
        <w:lvlJc w:val="left"/>
        <w:pPr>
          <w:ind w:left="90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4">
      <w:lvl w:ilvl="4" w:tplc="9E50F1BA">
        <w:start w:val="1"/>
        <w:numFmt w:val="bullet"/>
        <w:lvlText w:val="•"/>
        <w:lvlJc w:val="left"/>
        <w:pPr>
          <w:ind w:left="112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5">
      <w:lvl w:ilvl="5" w:tplc="2F24C6BA">
        <w:start w:val="1"/>
        <w:numFmt w:val="bullet"/>
        <w:lvlText w:val="•"/>
        <w:lvlJc w:val="left"/>
        <w:pPr>
          <w:ind w:left="134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6">
      <w:lvl w:ilvl="6" w:tplc="53708500">
        <w:start w:val="1"/>
        <w:numFmt w:val="bullet"/>
        <w:lvlText w:val="•"/>
        <w:lvlJc w:val="left"/>
        <w:pPr>
          <w:ind w:left="156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7">
      <w:lvl w:ilvl="7" w:tplc="E1EA59A6">
        <w:start w:val="1"/>
        <w:numFmt w:val="bullet"/>
        <w:lvlText w:val="•"/>
        <w:lvlJc w:val="left"/>
        <w:pPr>
          <w:ind w:left="178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8">
      <w:lvl w:ilvl="8" w:tplc="98FA17F6">
        <w:start w:val="1"/>
        <w:numFmt w:val="bullet"/>
        <w:lvlText w:val="•"/>
        <w:lvlJc w:val="left"/>
        <w:pPr>
          <w:ind w:left="200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revisionView w:formatting="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897"/>
    <w:rsid w:val="00001E5E"/>
    <w:rsid w:val="00016587"/>
    <w:rsid w:val="0003577E"/>
    <w:rsid w:val="000459C8"/>
    <w:rsid w:val="000628C0"/>
    <w:rsid w:val="000A4E81"/>
    <w:rsid w:val="000C29E5"/>
    <w:rsid w:val="000D0FDE"/>
    <w:rsid w:val="00117781"/>
    <w:rsid w:val="00136FA3"/>
    <w:rsid w:val="00146E7A"/>
    <w:rsid w:val="00151DE3"/>
    <w:rsid w:val="00164B47"/>
    <w:rsid w:val="00187753"/>
    <w:rsid w:val="001B086C"/>
    <w:rsid w:val="001B14F2"/>
    <w:rsid w:val="001C097F"/>
    <w:rsid w:val="001F2467"/>
    <w:rsid w:val="001F3E2E"/>
    <w:rsid w:val="002257B4"/>
    <w:rsid w:val="002419DF"/>
    <w:rsid w:val="002711BD"/>
    <w:rsid w:val="002A5423"/>
    <w:rsid w:val="002D3F64"/>
    <w:rsid w:val="00336CD1"/>
    <w:rsid w:val="00344528"/>
    <w:rsid w:val="00361CA1"/>
    <w:rsid w:val="003A2904"/>
    <w:rsid w:val="003B3030"/>
    <w:rsid w:val="003D082B"/>
    <w:rsid w:val="00417039"/>
    <w:rsid w:val="00432712"/>
    <w:rsid w:val="00441E2E"/>
    <w:rsid w:val="00481168"/>
    <w:rsid w:val="004A1085"/>
    <w:rsid w:val="004A5DBA"/>
    <w:rsid w:val="004A7CB4"/>
    <w:rsid w:val="004E5777"/>
    <w:rsid w:val="00506790"/>
    <w:rsid w:val="00546A3C"/>
    <w:rsid w:val="005E34AC"/>
    <w:rsid w:val="0064659B"/>
    <w:rsid w:val="0066487E"/>
    <w:rsid w:val="00670352"/>
    <w:rsid w:val="00677526"/>
    <w:rsid w:val="00684903"/>
    <w:rsid w:val="006E2897"/>
    <w:rsid w:val="006E65E3"/>
    <w:rsid w:val="006F3132"/>
    <w:rsid w:val="006F42D0"/>
    <w:rsid w:val="007321E8"/>
    <w:rsid w:val="007628BD"/>
    <w:rsid w:val="00791255"/>
    <w:rsid w:val="00792320"/>
    <w:rsid w:val="007B20AD"/>
    <w:rsid w:val="00824B61"/>
    <w:rsid w:val="00854D05"/>
    <w:rsid w:val="008760BD"/>
    <w:rsid w:val="00887F75"/>
    <w:rsid w:val="00894FEF"/>
    <w:rsid w:val="008B6D13"/>
    <w:rsid w:val="00905BE5"/>
    <w:rsid w:val="00916409"/>
    <w:rsid w:val="00921A98"/>
    <w:rsid w:val="00964FC6"/>
    <w:rsid w:val="00984414"/>
    <w:rsid w:val="00996D9B"/>
    <w:rsid w:val="009D3966"/>
    <w:rsid w:val="009F794F"/>
    <w:rsid w:val="00A00525"/>
    <w:rsid w:val="00A01A8B"/>
    <w:rsid w:val="00A01DD2"/>
    <w:rsid w:val="00A36D3D"/>
    <w:rsid w:val="00A45A20"/>
    <w:rsid w:val="00A526C7"/>
    <w:rsid w:val="00A63F2D"/>
    <w:rsid w:val="00A77FED"/>
    <w:rsid w:val="00A80E8B"/>
    <w:rsid w:val="00AD7C99"/>
    <w:rsid w:val="00AE10F8"/>
    <w:rsid w:val="00AE2A06"/>
    <w:rsid w:val="00B07DB4"/>
    <w:rsid w:val="00B21E52"/>
    <w:rsid w:val="00B451AA"/>
    <w:rsid w:val="00B453B9"/>
    <w:rsid w:val="00B6654E"/>
    <w:rsid w:val="00BF3CCA"/>
    <w:rsid w:val="00C13B01"/>
    <w:rsid w:val="00C41E52"/>
    <w:rsid w:val="00CE773C"/>
    <w:rsid w:val="00D17819"/>
    <w:rsid w:val="00D7631E"/>
    <w:rsid w:val="00DC4E35"/>
    <w:rsid w:val="00E3341A"/>
    <w:rsid w:val="00E5329F"/>
    <w:rsid w:val="00E65CF2"/>
    <w:rsid w:val="00F10D59"/>
    <w:rsid w:val="00F34831"/>
    <w:rsid w:val="00F6409B"/>
    <w:rsid w:val="00F708E8"/>
    <w:rsid w:val="00F71C10"/>
    <w:rsid w:val="00FB2AC6"/>
    <w:rsid w:val="00FB5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670B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64FC6"/>
    <w:rPr>
      <w:sz w:val="24"/>
      <w:szCs w:val="24"/>
      <w:lang w:eastAsia="en-US"/>
    </w:rPr>
  </w:style>
  <w:style w:type="paragraph" w:styleId="Heading2">
    <w:name w:val="heading 2"/>
    <w:next w:val="Body2"/>
    <w:pPr>
      <w:spacing w:before="200" w:after="140"/>
      <w:outlineLvl w:val="1"/>
    </w:pPr>
    <w:rPr>
      <w:rFonts w:ascii="Arial Unicode MS" w:eastAsia="Helvetica Neue" w:hAnsi="Arial Unicode MS" w:cs="Arial Unicode MS" w:hint="eastAsia"/>
      <w:b/>
      <w:bCs/>
      <w:color w:val="357CA2"/>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pPr>
      <w:tabs>
        <w:tab w:val="right" w:pos="9020"/>
      </w:tabs>
      <w:spacing w:line="288" w:lineRule="auto"/>
    </w:pPr>
    <w:rPr>
      <w:rFonts w:ascii="Helvetica Neue Medium" w:eastAsia="Arial Unicode MS" w:hAnsi="Helvetica Neue Medium" w:cs="Arial Unicode MS"/>
      <w:color w:val="5F5F5F"/>
    </w:rPr>
  </w:style>
  <w:style w:type="paragraph" w:styleId="Title">
    <w:name w:val="Title"/>
    <w:next w:val="Body2"/>
    <w:pPr>
      <w:keepNext/>
      <w:spacing w:line="288" w:lineRule="auto"/>
    </w:pPr>
    <w:rPr>
      <w:rFonts w:ascii="Helvetica Neue UltraLight" w:eastAsia="Helvetica Neue UltraLight" w:hAnsi="Helvetica Neue UltraLight" w:cs="Helvetica Neue UltraLight"/>
      <w:color w:val="000000"/>
      <w:spacing w:val="16"/>
      <w:sz w:val="56"/>
      <w:szCs w:val="56"/>
    </w:rPr>
  </w:style>
  <w:style w:type="paragraph" w:customStyle="1" w:styleId="Body2">
    <w:name w:val="Body 2"/>
    <w:pPr>
      <w:suppressAutoHyphens/>
      <w:spacing w:after="180" w:line="288" w:lineRule="auto"/>
    </w:pPr>
    <w:rPr>
      <w:rFonts w:ascii="Helvetica Neue Light" w:eastAsia="Helvetica Neue Light" w:hAnsi="Helvetica Neue Light" w:cs="Helvetica Neue Light"/>
      <w:color w:val="000000"/>
    </w:rPr>
  </w:style>
  <w:style w:type="paragraph" w:customStyle="1" w:styleId="Body">
    <w:name w:val="Body"/>
    <w:pPr>
      <w:spacing w:line="312" w:lineRule="auto"/>
    </w:pPr>
    <w:rPr>
      <w:rFonts w:ascii="Helvetica Neue Light" w:eastAsia="Arial Unicode MS" w:hAnsi="Helvetica Neue Light" w:cs="Arial Unicode MS"/>
      <w:color w:val="000000"/>
    </w:rPr>
  </w:style>
  <w:style w:type="paragraph" w:customStyle="1" w:styleId="Heading">
    <w:name w:val="Heading"/>
    <w:next w:val="Body2"/>
    <w:pPr>
      <w:outlineLvl w:val="0"/>
    </w:pPr>
    <w:rPr>
      <w:rFonts w:ascii="Helvetica Neue Light" w:eastAsia="Helvetica Neue Light" w:hAnsi="Helvetica Neue Light" w:cs="Helvetica Neue Light"/>
      <w:caps/>
      <w:color w:val="434343"/>
      <w:spacing w:val="7"/>
      <w:sz w:val="36"/>
      <w:szCs w:val="36"/>
    </w:rPr>
  </w:style>
  <w:style w:type="paragraph" w:customStyle="1" w:styleId="Subheading">
    <w:name w:val="Subheading"/>
    <w:next w:val="Body2"/>
    <w:pPr>
      <w:spacing w:line="288" w:lineRule="auto"/>
      <w:outlineLvl w:val="0"/>
    </w:pPr>
    <w:rPr>
      <w:rFonts w:ascii="Helvetica Neue" w:eastAsia="Arial Unicode MS" w:hAnsi="Helvetica Neue" w:cs="Arial Unicode MS"/>
      <w:b/>
      <w:bCs/>
      <w:caps/>
      <w:color w:val="357CA2"/>
      <w:spacing w:val="4"/>
      <w:sz w:val="22"/>
      <w:szCs w:val="22"/>
      <w:lang w:val="zh-CN"/>
    </w:rPr>
  </w:style>
  <w:style w:type="paragraph" w:customStyle="1" w:styleId="FreeForm">
    <w:name w:val="Free Form"/>
    <w:rPr>
      <w:rFonts w:ascii="Helvetica Neue Light" w:eastAsia="Helvetica Neue Light" w:hAnsi="Helvetica Neue Light" w:cs="Helvetica Neue Light"/>
      <w:color w:val="000000"/>
    </w:rPr>
  </w:style>
  <w:style w:type="numbering" w:customStyle="1" w:styleId="Bullet">
    <w:name w:val="Bullet"/>
    <w:pPr>
      <w:numPr>
        <w:numId w:val="1"/>
      </w:numPr>
    </w:pPr>
  </w:style>
  <w:style w:type="numbering" w:customStyle="1" w:styleId="Bullet3">
    <w:name w:val="Bullet 3"/>
    <w:pPr>
      <w:numPr>
        <w:numId w:val="3"/>
      </w:numPr>
    </w:pPr>
  </w:style>
  <w:style w:type="numbering" w:customStyle="1" w:styleId="Numbered">
    <w:name w:val="Numbered"/>
    <w:pPr>
      <w:numPr>
        <w:numId w:val="5"/>
      </w:numPr>
    </w:pPr>
  </w:style>
  <w:style w:type="numbering" w:customStyle="1" w:styleId="Lettered">
    <w:name w:val="Lettered"/>
    <w:pPr>
      <w:numPr>
        <w:numId w:val="7"/>
      </w:numPr>
    </w:pPr>
  </w:style>
  <w:style w:type="numbering" w:customStyle="1" w:styleId="Lettered1">
    <w:name w:val="Lettered 1"/>
    <w:pPr>
      <w:numPr>
        <w:numId w:val="16"/>
      </w:numPr>
    </w:pPr>
  </w:style>
  <w:style w:type="numbering" w:customStyle="1" w:styleId="Lettered2">
    <w:name w:val="Lettered 2"/>
    <w:pPr>
      <w:numPr>
        <w:numId w:val="18"/>
      </w:numPr>
    </w:pPr>
  </w:style>
  <w:style w:type="numbering" w:customStyle="1" w:styleId="Lettered3">
    <w:name w:val="Lettered 3"/>
    <w:pPr>
      <w:numPr>
        <w:numId w:val="20"/>
      </w:numPr>
    </w:pPr>
  </w:style>
  <w:style w:type="paragraph" w:customStyle="1" w:styleId="1">
    <w:name w:val="表格样式 1"/>
    <w:rsid w:val="00AD7C99"/>
    <w:rPr>
      <w:rFonts w:ascii="Helvetica" w:eastAsia="Arial Unicode MS" w:hAnsi="Helvetica" w:cs="Arial Unicode MS"/>
      <w:b/>
      <w:bCs/>
      <w:color w:val="000000"/>
    </w:rPr>
  </w:style>
  <w:style w:type="paragraph" w:customStyle="1" w:styleId="2">
    <w:name w:val="表格样式 2"/>
    <w:rsid w:val="00AD7C99"/>
    <w:rPr>
      <w:rFonts w:ascii="Helvetica" w:eastAsia="Arial Unicode MS" w:hAnsi="Helvetica" w:cs="Arial Unicode MS"/>
      <w:color w:val="000000"/>
    </w:rPr>
  </w:style>
  <w:style w:type="paragraph" w:styleId="Header">
    <w:name w:val="header"/>
    <w:basedOn w:val="Normal"/>
    <w:link w:val="HeaderChar"/>
    <w:uiPriority w:val="99"/>
    <w:unhideWhenUsed/>
    <w:rsid w:val="00996D9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996D9B"/>
    <w:rPr>
      <w:sz w:val="18"/>
      <w:szCs w:val="18"/>
      <w:lang w:eastAsia="en-US"/>
    </w:rPr>
  </w:style>
  <w:style w:type="paragraph" w:styleId="Footer">
    <w:name w:val="footer"/>
    <w:basedOn w:val="Normal"/>
    <w:link w:val="FooterChar"/>
    <w:uiPriority w:val="99"/>
    <w:unhideWhenUsed/>
    <w:rsid w:val="00996D9B"/>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996D9B"/>
    <w:rPr>
      <w:sz w:val="18"/>
      <w:szCs w:val="18"/>
      <w:lang w:eastAsia="en-US"/>
    </w:rPr>
  </w:style>
  <w:style w:type="paragraph" w:styleId="BalloonText">
    <w:name w:val="Balloon Text"/>
    <w:basedOn w:val="Normal"/>
    <w:link w:val="BalloonTextChar"/>
    <w:uiPriority w:val="99"/>
    <w:semiHidden/>
    <w:unhideWhenUsed/>
    <w:rsid w:val="001B086C"/>
    <w:rPr>
      <w:rFonts w:ascii="宋体" w:eastAsia="宋体"/>
      <w:sz w:val="18"/>
      <w:szCs w:val="18"/>
    </w:rPr>
  </w:style>
  <w:style w:type="character" w:customStyle="1" w:styleId="BalloonTextChar">
    <w:name w:val="Balloon Text Char"/>
    <w:basedOn w:val="DefaultParagraphFont"/>
    <w:link w:val="BalloonText"/>
    <w:uiPriority w:val="99"/>
    <w:semiHidden/>
    <w:rsid w:val="001B086C"/>
    <w:rPr>
      <w:rFonts w:ascii="宋体" w:eastAsia="宋体"/>
      <w:sz w:val="18"/>
      <w:szCs w:val="18"/>
      <w:lang w:eastAsia="en-US"/>
    </w:rPr>
  </w:style>
  <w:style w:type="table" w:styleId="TableGrid">
    <w:name w:val="Table Grid"/>
    <w:basedOn w:val="TableNormal"/>
    <w:uiPriority w:val="39"/>
    <w:rsid w:val="004A5DB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7589377">
      <w:bodyDiv w:val="1"/>
      <w:marLeft w:val="0"/>
      <w:marRight w:val="0"/>
      <w:marTop w:val="0"/>
      <w:marBottom w:val="0"/>
      <w:divBdr>
        <w:top w:val="none" w:sz="0" w:space="0" w:color="auto"/>
        <w:left w:val="none" w:sz="0" w:space="0" w:color="auto"/>
        <w:bottom w:val="none" w:sz="0" w:space="0" w:color="auto"/>
        <w:right w:val="none" w:sz="0" w:space="0" w:color="auto"/>
      </w:divBdr>
    </w:div>
    <w:div w:id="2038460752">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02_Modern_Business_Project_Proposal">
  <a:themeElements>
    <a:clrScheme name="02_Modern_Business_Project_Proposal">
      <a:dk1>
        <a:srgbClr val="000000"/>
      </a:dk1>
      <a:lt1>
        <a:srgbClr val="FFFFFF"/>
      </a:lt1>
      <a:dk2>
        <a:srgbClr val="535F65"/>
      </a:dk2>
      <a:lt2>
        <a:srgbClr val="F4F2EF"/>
      </a:lt2>
      <a:accent1>
        <a:srgbClr val="85B9C9"/>
      </a:accent1>
      <a:accent2>
        <a:srgbClr val="93B06D"/>
      </a:accent2>
      <a:accent3>
        <a:srgbClr val="FED227"/>
      </a:accent3>
      <a:accent4>
        <a:srgbClr val="F3A14D"/>
      </a:accent4>
      <a:accent5>
        <a:srgbClr val="E67869"/>
      </a:accent5>
      <a:accent6>
        <a:srgbClr val="899FD7"/>
      </a:accent6>
      <a:hlink>
        <a:srgbClr val="0000FF"/>
      </a:hlink>
      <a:folHlink>
        <a:srgbClr val="FF00FF"/>
      </a:folHlink>
    </a:clrScheme>
    <a:fontScheme name="02_Modern_Business_Project_Proposal">
      <a:majorFont>
        <a:latin typeface="Helvetica Neue UltraLight"/>
        <a:ea typeface="宋体"/>
        <a:cs typeface="Helvetica Neue UltraLight"/>
      </a:majorFont>
      <a:minorFont>
        <a:latin typeface="Helvetica Neue UltraLight"/>
        <a:ea typeface="宋体"/>
        <a:cs typeface="Helvetica Neue UltraLight"/>
      </a:minorFont>
    </a:fontScheme>
    <a:fmtScheme name="02_Modern_Business_Project_Propos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25400" dist="12700" dir="5400000" rotWithShape="0">
              <a:srgbClr val="000000">
                <a:alpha val="6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hueOff val="366345"/>
            <a:satOff val="11385"/>
            <a:lumOff val="-23239"/>
          </a:schemeClr>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20000"/>
          </a:lnSpc>
          <a:spcBef>
            <a:spcPts val="900"/>
          </a:spcBef>
          <a:spcAft>
            <a:spcPts val="0"/>
          </a:spcAft>
          <a:buClrTx/>
          <a:buSzTx/>
          <a:buFontTx/>
          <a:buNone/>
          <a:tabLst/>
          <a:defRPr kumimoji="0" sz="1200" b="0" i="0" u="none" strike="noStrike" cap="none" spc="0" normalizeH="0" baseline="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hueOff val="366345"/>
              <a:satOff val="11385"/>
              <a:lumOff val="-23239"/>
            </a:schemeClr>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20000"/>
          </a:lnSpc>
          <a:spcBef>
            <a:spcPts val="900"/>
          </a:spcBef>
          <a:spcAft>
            <a:spcPts val="0"/>
          </a:spcAft>
          <a:buClrTx/>
          <a:buSzTx/>
          <a:buFontTx/>
          <a:buNone/>
          <a:tabLst/>
          <a:defRPr kumimoji="0" sz="1000" b="0" i="0" u="none" strike="noStrike" cap="none" spc="0" normalizeH="0" baseline="0">
            <a:ln>
              <a:noFill/>
            </a:ln>
            <a:solidFill>
              <a:srgbClr val="000000"/>
            </a:solidFill>
            <a:effectLst/>
            <a:uFillTx/>
            <a:latin typeface="Helvetica Neue Light"/>
            <a:ea typeface="Helvetica Neue Light"/>
            <a:cs typeface="Helvetica Neue Light"/>
            <a:sym typeface="Helvetica Neue Light"/>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329</Words>
  <Characters>1876</Characters>
  <Application>Microsoft Macintosh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5</cp:revision>
  <cp:lastPrinted>2017-11-07T11:13:00Z</cp:lastPrinted>
  <dcterms:created xsi:type="dcterms:W3CDTF">2017-12-01T03:03:00Z</dcterms:created>
  <dcterms:modified xsi:type="dcterms:W3CDTF">2017-12-01T03:26:00Z</dcterms:modified>
</cp:coreProperties>
</file>