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宋体" w:hAnsi="宋体" w:eastAsia="宋体"/>
          <w:b w:val="0"/>
          <w:sz w:val="22"/>
        </w:rPr>
        <w:t>密级：公开</w:t>
      </w:r>
    </w:p>
    <w:p>
      <w:r>
        <w:rPr>
          <w:rFonts w:ascii="宋体" w:hAnsi="宋体" w:eastAsia="宋体"/>
        </w:rPr>
        <w:br/>
        <w:br/>
      </w:r>
    </w:p>
    <w:p>
      <w:pPr>
        <w:jc w:val="center"/>
      </w:pPr>
      <w:r>
        <w:rPr>
          <w:rFonts w:ascii="黑体" w:hAnsi="黑体" w:eastAsia="黑体"/>
          <w:b/>
          <w:sz w:val="44"/>
        </w:rPr>
        <w:t>蓬莱一号飞行器飞轮研制任务书</w:t>
      </w:r>
    </w:p>
    <w:p>
      <w:pPr>
        <w:jc w:val="center"/>
      </w:pPr>
      <w:r>
        <w:rPr>
          <w:rFonts w:ascii="Times New Roman" w:hAnsi="Times New Roman"/>
          <w:b/>
          <w:sz w:val="28"/>
        </w:rPr>
        <w:t>PL-1-1 RW</w:t>
      </w:r>
    </w:p>
    <w:p>
      <w:r>
        <w:rPr>
          <w:rFonts w:ascii="宋体" w:hAnsi="宋体" w:eastAsia="宋体"/>
        </w:rPr>
        <w:br/>
        <w:br/>
      </w:r>
    </w:p>
    <w:tbl>
      <w:tblPr>
        <w:tblStyle w:val="TableGrid"/>
        <w:tblW w:type="auto" w:w="0"/>
        <w:jc w:val="center"/>
        <w:tblLook w:firstColumn="1" w:firstRow="1" w:lastColumn="0" w:lastRow="0" w:noHBand="0" w:noVBand="1" w:val="04A0"/>
      </w:tblPr>
      <w:tblGrid>
        <w:gridCol w:w="3211"/>
        <w:gridCol w:w="3211"/>
        <w:gridCol w:w="3211"/>
      </w:tblGrid>
      <w:tr>
        <w:tc>
          <w:tcPr>
            <w:tcW w:type="dxa" w:w="1701"/>
          </w:tcPr>
          <w:p>
            <w:pPr>
              <w:jc w:val="center"/>
            </w:pPr>
            <w:r/>
            <w:r>
              <w:rPr>
                <w:rFonts w:ascii="宋体" w:hAnsi="宋体" w:eastAsia="宋体"/>
                <w:b/>
                <w:sz w:val="22"/>
              </w:rPr>
              <w:t>编写</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校对</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审核</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工艺</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标审</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r>
        <w:tc>
          <w:tcPr>
            <w:tcW w:type="dxa" w:w="1701"/>
          </w:tcPr>
          <w:p>
            <w:pPr>
              <w:jc w:val="center"/>
            </w:pPr>
            <w:r/>
            <w:r>
              <w:rPr>
                <w:rFonts w:ascii="宋体" w:hAnsi="宋体" w:eastAsia="宋体"/>
                <w:b/>
                <w:sz w:val="22"/>
              </w:rPr>
              <w:t>批准</w:t>
            </w:r>
          </w:p>
        </w:tc>
        <w:tc>
          <w:tcPr>
            <w:tcW w:type="dxa" w:w="3969"/>
          </w:tcPr>
          <w:p>
            <w:pPr>
              <w:jc w:val="center"/>
            </w:pPr>
            <w:r/>
            <w:r>
              <w:rPr>
                <w:rFonts w:ascii="宋体" w:hAnsi="宋体" w:eastAsia="宋体"/>
                <w:b w:val="0"/>
                <w:sz w:val="22"/>
              </w:rPr>
            </w:r>
          </w:p>
        </w:tc>
        <w:tc>
          <w:tcPr>
            <w:tcW w:type="dxa" w:w="2268"/>
          </w:tcPr>
          <w:p>
            <w:pPr>
              <w:jc w:val="center"/>
            </w:pPr>
            <w:r/>
            <w:r>
              <w:rPr>
                <w:rFonts w:ascii="宋体" w:hAnsi="宋体" w:eastAsia="宋体"/>
                <w:b w:val="0"/>
                <w:sz w:val="22"/>
              </w:rPr>
              <w:t>日期：</w:t>
            </w:r>
          </w:p>
        </w:tc>
      </w:tr>
    </w:tbl>
    <w:p>
      <w:r>
        <w:rPr>
          <w:rFonts w:ascii="宋体" w:hAnsi="宋体" w:eastAsia="宋体"/>
        </w:rPr>
        <w:br/>
        <w:br/>
      </w:r>
    </w:p>
    <w:tbl>
      <w:tblPr>
        <w:tblStyle w:val="TableGrid"/>
        <w:tblW w:type="auto" w:w="0"/>
        <w:jc w:val="center"/>
        <w:tblLook w:firstColumn="1" w:firstRow="1" w:lastColumn="0" w:lastRow="0" w:noHBand="0" w:noVBand="1" w:val="04A0"/>
      </w:tblPr>
      <w:tblGrid>
        <w:gridCol w:w="4816"/>
        <w:gridCol w:w="4816"/>
      </w:tblGrid>
      <w:tr>
        <w:tc>
          <w:tcPr>
            <w:tcW w:type="dxa" w:w="4816"/>
          </w:tcPr>
          <w:p>
            <w:pPr>
              <w:jc w:val="center"/>
            </w:pPr>
            <w:r/>
            <w:r>
              <w:rPr>
                <w:rFonts w:ascii="宋体" w:hAnsi="宋体" w:eastAsia="宋体"/>
                <w:b/>
                <w:sz w:val="19"/>
              </w:rPr>
              <w:t>文件属性</w:t>
            </w:r>
          </w:p>
        </w:tc>
        <w:tc>
          <w:tcPr>
            <w:tcW w:type="dxa" w:w="4816"/>
          </w:tcPr>
          <w:p>
            <w:pPr>
              <w:jc w:val="center"/>
            </w:pPr>
            <w:r/>
            <w:r>
              <w:rPr>
                <w:rFonts w:ascii="宋体" w:hAnsi="宋体" w:eastAsia="宋体"/>
                <w:b w:val="0"/>
                <w:sz w:val="19"/>
              </w:rPr>
              <w:t>研制任务书 / 任务要求文件</w:t>
            </w:r>
          </w:p>
        </w:tc>
      </w:tr>
      <w:tr>
        <w:tc>
          <w:tcPr>
            <w:tcW w:type="dxa" w:w="4816"/>
          </w:tcPr>
          <w:p>
            <w:pPr>
              <w:jc w:val="center"/>
            </w:pPr>
            <w:r/>
            <w:r>
              <w:rPr>
                <w:rFonts w:ascii="宋体" w:hAnsi="宋体" w:eastAsia="宋体"/>
                <w:b/>
                <w:sz w:val="19"/>
              </w:rPr>
              <w:t>版本状态</w:t>
            </w:r>
          </w:p>
        </w:tc>
        <w:tc>
          <w:tcPr>
            <w:tcW w:type="dxa" w:w="4816"/>
          </w:tcPr>
          <w:p>
            <w:pPr>
              <w:jc w:val="center"/>
            </w:pPr>
            <w:r/>
            <w:r>
              <w:rPr>
                <w:rFonts w:ascii="宋体" w:hAnsi="宋体" w:eastAsia="宋体"/>
                <w:b w:val="0"/>
                <w:sz w:val="19"/>
              </w:rPr>
              <w:t>按任务书模板重排压缩版</w:t>
            </w:r>
          </w:p>
        </w:tc>
      </w:tr>
      <w:tr>
        <w:tc>
          <w:tcPr>
            <w:tcW w:type="dxa" w:w="4816"/>
          </w:tcPr>
          <w:p>
            <w:pPr>
              <w:jc w:val="center"/>
            </w:pPr>
            <w:r/>
            <w:r>
              <w:rPr>
                <w:rFonts w:ascii="宋体" w:hAnsi="宋体" w:eastAsia="宋体"/>
                <w:b/>
                <w:sz w:val="19"/>
              </w:rPr>
              <w:t>编制依据</w:t>
            </w:r>
          </w:p>
        </w:tc>
        <w:tc>
          <w:tcPr>
            <w:tcW w:type="dxa" w:w="4816"/>
          </w:tcPr>
          <w:p>
            <w:pPr>
              <w:jc w:val="left"/>
            </w:pPr>
            <w:r/>
            <w:r>
              <w:rPr>
                <w:rFonts w:ascii="宋体" w:hAnsi="宋体" w:eastAsia="宋体"/>
                <w:b w:val="0"/>
                <w:sz w:val="19"/>
              </w:rPr>
              <w:t>原飞轮补充任务书、GNC设计输入、安全可靠性设计与分析报告、产品保证工作检查单及公开型号参照数据</w:t>
            </w:r>
          </w:p>
        </w:tc>
      </w:tr>
      <w:tr>
        <w:tc>
          <w:tcPr>
            <w:tcW w:type="dxa" w:w="4816"/>
          </w:tcPr>
          <w:p>
            <w:pPr>
              <w:jc w:val="center"/>
            </w:pPr>
            <w:r/>
            <w:r>
              <w:rPr>
                <w:rFonts w:ascii="宋体" w:hAnsi="宋体" w:eastAsia="宋体"/>
                <w:b/>
                <w:sz w:val="19"/>
              </w:rPr>
              <w:t>适用对象</w:t>
            </w:r>
          </w:p>
        </w:tc>
        <w:tc>
          <w:tcPr>
            <w:tcW w:type="dxa" w:w="4816"/>
          </w:tcPr>
          <w:p>
            <w:pPr>
              <w:jc w:val="left"/>
            </w:pPr>
            <w:r/>
            <w:r>
              <w:rPr>
                <w:rFonts w:ascii="宋体" w:hAnsi="宋体" w:eastAsia="宋体"/>
                <w:b w:val="0"/>
                <w:sz w:val="19"/>
              </w:rPr>
              <w:t>蓬莱一号飞行器飞轮单机及其轴承组件、控制驱动、接口、试验和交付数据</w:t>
            </w:r>
          </w:p>
        </w:tc>
      </w:tr>
    </w:tbl>
    <w:p>
      <w:r>
        <w:rPr>
          <w:rFonts w:ascii="宋体" w:hAnsi="宋体" w:eastAsia="宋体"/>
        </w:rPr>
        <w:br w:type="page"/>
      </w:r>
    </w:p>
    <w:p>
      <w:pPr>
        <w:jc w:val="center"/>
      </w:pPr>
      <w:r>
        <w:rPr>
          <w:rFonts w:ascii="黑体" w:hAnsi="黑体" w:eastAsia="黑体"/>
          <w:b/>
          <w:sz w:val="32"/>
        </w:rPr>
        <w:t>目录</w:t>
      </w:r>
    </w:p>
    <w:p>
      <w:pPr>
        <w:spacing w:after="40"/>
        <w:ind w:left="0"/>
      </w:pPr>
      <w:r>
        <w:rPr>
          <w:rFonts w:ascii="宋体" w:hAnsi="宋体" w:eastAsia="宋体"/>
          <w:b w:val="0"/>
          <w:sz w:val="21"/>
        </w:rPr>
        <w:t>1 前言</w:t>
      </w:r>
    </w:p>
    <w:p>
      <w:pPr>
        <w:spacing w:after="40"/>
        <w:ind w:left="0"/>
      </w:pPr>
      <w:r>
        <w:rPr>
          <w:rFonts w:ascii="宋体" w:hAnsi="宋体" w:eastAsia="宋体"/>
          <w:b w:val="0"/>
          <w:sz w:val="21"/>
        </w:rPr>
        <w:t>2 引用与参考文件</w:t>
      </w:r>
    </w:p>
    <w:p>
      <w:pPr>
        <w:spacing w:after="40"/>
        <w:ind w:left="0"/>
      </w:pPr>
      <w:r>
        <w:rPr>
          <w:rFonts w:ascii="宋体" w:hAnsi="宋体" w:eastAsia="宋体"/>
          <w:b w:val="0"/>
          <w:sz w:val="21"/>
        </w:rPr>
        <w:t>3 研制任务要求</w:t>
      </w:r>
    </w:p>
    <w:p>
      <w:pPr>
        <w:spacing w:after="40"/>
        <w:ind w:left="360"/>
      </w:pPr>
      <w:r>
        <w:rPr>
          <w:rFonts w:ascii="宋体" w:hAnsi="宋体" w:eastAsia="宋体"/>
          <w:b w:val="0"/>
          <w:sz w:val="21"/>
        </w:rPr>
        <w:t xml:space="preserve">  3.1 任务依据与研制目标</w:t>
      </w:r>
    </w:p>
    <w:p>
      <w:pPr>
        <w:spacing w:after="40"/>
        <w:ind w:left="360"/>
      </w:pPr>
      <w:r>
        <w:rPr>
          <w:rFonts w:ascii="宋体" w:hAnsi="宋体" w:eastAsia="宋体"/>
          <w:b w:val="0"/>
          <w:sz w:val="21"/>
        </w:rPr>
        <w:t xml:space="preserve">  3.2 公开型号任务包络参照</w:t>
      </w:r>
    </w:p>
    <w:p>
      <w:pPr>
        <w:spacing w:after="40"/>
        <w:ind w:left="360"/>
      </w:pPr>
      <w:r>
        <w:rPr>
          <w:rFonts w:ascii="宋体" w:hAnsi="宋体" w:eastAsia="宋体"/>
          <w:b w:val="0"/>
          <w:sz w:val="21"/>
        </w:rPr>
        <w:t xml:space="preserve">  3.3 GNC系统牵引要求</w:t>
      </w:r>
    </w:p>
    <w:p>
      <w:pPr>
        <w:spacing w:after="40"/>
        <w:ind w:left="360"/>
      </w:pPr>
      <w:r>
        <w:rPr>
          <w:rFonts w:ascii="宋体" w:hAnsi="宋体" w:eastAsia="宋体"/>
          <w:b w:val="0"/>
          <w:sz w:val="21"/>
        </w:rPr>
        <w:t xml:space="preserve">  3.4 飞轮单机功能与性能要求</w:t>
      </w:r>
    </w:p>
    <w:p>
      <w:pPr>
        <w:spacing w:after="40"/>
        <w:ind w:left="360"/>
      </w:pPr>
      <w:r>
        <w:rPr>
          <w:rFonts w:ascii="宋体" w:hAnsi="宋体" w:eastAsia="宋体"/>
          <w:b w:val="0"/>
          <w:sz w:val="21"/>
        </w:rPr>
        <w:t xml:space="preserve">  3.5 接口适配要求</w:t>
      </w:r>
    </w:p>
    <w:p>
      <w:pPr>
        <w:spacing w:after="40"/>
        <w:ind w:left="360"/>
      </w:pPr>
      <w:r>
        <w:rPr>
          <w:rFonts w:ascii="宋体" w:hAnsi="宋体" w:eastAsia="宋体"/>
          <w:b w:val="0"/>
          <w:sz w:val="21"/>
        </w:rPr>
        <w:t xml:space="preserve">  3.6 轴承组件筛选要求</w:t>
      </w:r>
    </w:p>
    <w:p>
      <w:pPr>
        <w:spacing w:after="40"/>
        <w:ind w:left="360"/>
      </w:pPr>
      <w:r>
        <w:rPr>
          <w:rFonts w:ascii="宋体" w:hAnsi="宋体" w:eastAsia="宋体"/>
          <w:b w:val="0"/>
          <w:sz w:val="21"/>
        </w:rPr>
        <w:t xml:space="preserve">  3.7 寿命试验要求</w:t>
      </w:r>
    </w:p>
    <w:p>
      <w:pPr>
        <w:spacing w:after="40"/>
        <w:ind w:left="360"/>
      </w:pPr>
      <w:r>
        <w:rPr>
          <w:rFonts w:ascii="宋体" w:hAnsi="宋体" w:eastAsia="宋体"/>
          <w:b w:val="0"/>
          <w:sz w:val="21"/>
        </w:rPr>
        <w:t xml:space="preserve">  3.8 可靠性安全性与产品保证要求</w:t>
      </w:r>
    </w:p>
    <w:p>
      <w:pPr>
        <w:spacing w:after="40"/>
        <w:ind w:left="360"/>
      </w:pPr>
      <w:r>
        <w:rPr>
          <w:rFonts w:ascii="宋体" w:hAnsi="宋体" w:eastAsia="宋体"/>
          <w:b w:val="0"/>
          <w:sz w:val="21"/>
        </w:rPr>
        <w:t xml:space="preserve">  3.9 试验验证与验收要求</w:t>
      </w:r>
    </w:p>
    <w:p>
      <w:pPr>
        <w:spacing w:after="40"/>
        <w:ind w:left="360"/>
      </w:pPr>
      <w:r>
        <w:rPr>
          <w:rFonts w:ascii="宋体" w:hAnsi="宋体" w:eastAsia="宋体"/>
          <w:b w:val="0"/>
          <w:sz w:val="21"/>
        </w:rPr>
        <w:t xml:space="preserve">  3.10 强制检验点要求</w:t>
      </w:r>
    </w:p>
    <w:p>
      <w:pPr>
        <w:spacing w:after="40"/>
        <w:ind w:left="360"/>
      </w:pPr>
      <w:r>
        <w:rPr>
          <w:rFonts w:ascii="宋体" w:hAnsi="宋体" w:eastAsia="宋体"/>
          <w:b w:val="0"/>
          <w:sz w:val="21"/>
        </w:rPr>
        <w:t xml:space="preserve">  3.11 交付物要求</w:t>
      </w:r>
    </w:p>
    <w:p>
      <w:pPr>
        <w:spacing w:after="40"/>
        <w:ind w:left="360"/>
      </w:pPr>
      <w:r>
        <w:rPr>
          <w:rFonts w:ascii="宋体" w:hAnsi="宋体" w:eastAsia="宋体"/>
          <w:b w:val="0"/>
          <w:sz w:val="21"/>
        </w:rPr>
        <w:t xml:space="preserve">  3.12 审查与验收准则</w:t>
      </w:r>
    </w:p>
    <w:p>
      <w:pPr>
        <w:spacing w:after="40"/>
        <w:ind w:left="0"/>
      </w:pPr>
      <w:r>
        <w:rPr>
          <w:rFonts w:ascii="宋体" w:hAnsi="宋体" w:eastAsia="宋体"/>
          <w:b w:val="0"/>
          <w:sz w:val="21"/>
        </w:rPr>
        <w:t>附录A 任务要求—交付物—验收准则矩阵</w:t>
      </w:r>
    </w:p>
    <w:p>
      <w:pPr>
        <w:spacing w:after="40"/>
        <w:ind w:left="0"/>
      </w:pPr>
      <w:r>
        <w:rPr>
          <w:rFonts w:ascii="宋体" w:hAnsi="宋体" w:eastAsia="宋体"/>
          <w:b w:val="0"/>
          <w:sz w:val="21"/>
        </w:rPr>
        <w:t>附录B 产品保证检查单映射表</w:t>
      </w:r>
    </w:p>
    <w:p>
      <w:pPr>
        <w:spacing w:after="40"/>
        <w:ind w:left="0"/>
      </w:pPr>
      <w:r>
        <w:rPr>
          <w:rFonts w:ascii="宋体" w:hAnsi="宋体" w:eastAsia="宋体"/>
          <w:b w:val="0"/>
          <w:sz w:val="21"/>
        </w:rPr>
        <w:t>附录C 公开型号参照数据说明</w:t>
      </w:r>
    </w:p>
    <w:p>
      <w:r>
        <w:rPr>
          <w:rFonts w:ascii="宋体" w:hAnsi="宋体" w:eastAsia="宋体"/>
        </w:rPr>
        <w:br w:type="page"/>
      </w:r>
    </w:p>
    <w:p>
      <w:pPr>
        <w:pStyle w:val="Heading1"/>
      </w:pPr>
      <w:r>
        <w:rPr>
          <w:rFonts w:ascii="宋体" w:hAnsi="宋体" w:eastAsia="宋体"/>
        </w:rPr>
        <w:t>1 前言</w:t>
      </w:r>
    </w:p>
    <w:p>
      <w:pPr>
        <w:spacing w:line="300" w:lineRule="auto" w:after="80"/>
        <w:ind w:firstLine="420"/>
      </w:pPr>
      <w:r>
        <w:rPr>
          <w:rFonts w:ascii="宋体" w:hAnsi="宋体" w:eastAsia="宋体"/>
          <w:b w:val="0"/>
          <w:sz w:val="21"/>
        </w:rPr>
        <w:t>飞轮是蓬莱一号飞行器姿态控制闭环中的关键执行单机，承担姿态稳定、目标指向调整、机动后稳定恢复和角动量管理支撑等任务。飞轮工作状态直接影响对地观测成像窗口内的平台稳定度、姿态控制带宽、机动任务可达性以及异常情况下的安全恢复能力。</w:t>
      </w:r>
    </w:p>
    <w:p>
      <w:pPr>
        <w:spacing w:line="300" w:lineRule="auto" w:after="80"/>
        <w:ind w:firstLine="420"/>
      </w:pPr>
      <w:r>
        <w:rPr>
          <w:rFonts w:ascii="宋体" w:hAnsi="宋体" w:eastAsia="宋体"/>
          <w:b w:val="0"/>
          <w:sz w:val="21"/>
        </w:rPr>
        <w:t>本任务书依据蓬莱一号飞行器总体任务需求、GNC系统设计输入、可靠性安全性设计与分析要求、产品保证工作检查单以及飞轮补充任务书中明确的轴承筛选、寿命试验和强制检验点要求，对飞轮单机研制任务、交付物和验收准则进行统一规定。</w:t>
      </w:r>
    </w:p>
    <w:p>
      <w:pPr>
        <w:spacing w:line="300" w:lineRule="auto" w:after="80"/>
        <w:ind w:firstLine="420"/>
      </w:pPr>
      <w:r>
        <w:rPr>
          <w:rFonts w:ascii="宋体" w:hAnsi="宋体" w:eastAsia="宋体"/>
          <w:b w:val="0"/>
          <w:sz w:val="21"/>
        </w:rPr>
        <w:t>本任务书为飞轮单机研制、供方控制、接口协调、可靠性安全性分析、试验验证、交付验收和后续智能化辅助审查的依据文件。详细的FMEA、FTA、SCA、WCCA、寿命评估、环境试验和安全性分析应在配套专项报告中展开，本任务书仅规定其任务输入、交付范围和验收准则。</w:t>
      </w:r>
    </w:p>
    <w:p>
      <w:pPr>
        <w:pStyle w:val="Heading1"/>
      </w:pPr>
      <w:r>
        <w:rPr>
          <w:rFonts w:ascii="宋体" w:hAnsi="宋体" w:eastAsia="宋体"/>
        </w:rPr>
        <w:t>2 引用与参考文件</w:t>
      </w:r>
    </w:p>
    <w:p>
      <w:pPr>
        <w:pStyle w:val="Heading2"/>
      </w:pPr>
      <w:r>
        <w:rPr>
          <w:rFonts w:ascii="宋体" w:hAnsi="宋体" w:eastAsia="宋体"/>
        </w:rPr>
        <w:t>2.1 直接依据文件</w:t>
      </w:r>
    </w:p>
    <w:tbl>
      <w:tblPr>
        <w:tblStyle w:val="TableGrid"/>
        <w:tblW w:type="auto" w:w="0"/>
        <w:jc w:val="center"/>
        <w:tblLook w:firstColumn="1" w:firstRow="1" w:lastColumn="0" w:lastRow="0" w:noHBand="0" w:noVBand="1" w:val="04A0"/>
      </w:tblPr>
      <w:tblGrid>
        <w:gridCol w:w="3211"/>
        <w:gridCol w:w="3211"/>
        <w:gridCol w:w="3211"/>
      </w:tblGrid>
      <w:tr>
        <w:tc>
          <w:tcPr>
            <w:tcW w:type="dxa" w:w="680"/>
            <w:shd w:fill="4F647A"/>
            <w:vAlign w:val="center"/>
          </w:tcPr>
          <w:p>
            <w:pPr>
              <w:jc w:val="center"/>
            </w:pPr>
            <w:r/>
            <w:r>
              <w:rPr>
                <w:rFonts w:ascii="宋体" w:hAnsi="宋体" w:eastAsia="宋体"/>
                <w:b/>
                <w:color w:val="FFFFFF"/>
                <w:sz w:val="17"/>
              </w:rPr>
              <w:t>序号</w:t>
            </w:r>
          </w:p>
        </w:tc>
        <w:tc>
          <w:tcPr>
            <w:tcW w:type="dxa" w:w="4025"/>
            <w:shd w:fill="4F647A"/>
            <w:vAlign w:val="center"/>
          </w:tcPr>
          <w:p>
            <w:pPr>
              <w:jc w:val="center"/>
            </w:pPr>
            <w:r/>
            <w:r>
              <w:rPr>
                <w:rFonts w:ascii="宋体" w:hAnsi="宋体" w:eastAsia="宋体"/>
                <w:b/>
                <w:color w:val="FFFFFF"/>
                <w:sz w:val="17"/>
              </w:rPr>
              <w:t>文件名称</w:t>
            </w:r>
          </w:p>
        </w:tc>
        <w:tc>
          <w:tcPr>
            <w:tcW w:type="dxa" w:w="4082"/>
            <w:shd w:fill="4F647A"/>
            <w:vAlign w:val="center"/>
          </w:tcPr>
          <w:p>
            <w:pPr>
              <w:jc w:val="center"/>
            </w:pPr>
            <w:r/>
            <w:r>
              <w:rPr>
                <w:rFonts w:ascii="宋体" w:hAnsi="宋体" w:eastAsia="宋体"/>
                <w:b/>
                <w:color w:val="FFFFFF"/>
                <w:sz w:val="17"/>
              </w:rPr>
              <w:t>用途</w:t>
            </w:r>
          </w:p>
        </w:tc>
      </w:tr>
      <w:tr>
        <w:tc>
          <w:tcPr>
            <w:tcW w:type="dxa" w:w="680"/>
            <w:vAlign w:val="center"/>
          </w:tcPr>
          <w:p>
            <w:pPr>
              <w:jc w:val="center"/>
            </w:pPr>
            <w:r/>
            <w:r>
              <w:rPr>
                <w:rFonts w:ascii="宋体" w:hAnsi="宋体" w:eastAsia="宋体"/>
                <w:b w:val="0"/>
                <w:sz w:val="17"/>
              </w:rPr>
              <w:t>1</w:t>
            </w:r>
          </w:p>
        </w:tc>
        <w:tc>
          <w:tcPr>
            <w:tcW w:type="dxa" w:w="4025"/>
            <w:vAlign w:val="center"/>
          </w:tcPr>
          <w:p>
            <w:pPr>
              <w:jc w:val="center"/>
            </w:pPr>
            <w:r/>
            <w:r>
              <w:rPr>
                <w:rFonts w:ascii="宋体" w:hAnsi="宋体" w:eastAsia="宋体"/>
                <w:b w:val="0"/>
                <w:sz w:val="17"/>
              </w:rPr>
              <w:t>《蓬莱一号飞行器飞轮补充任务书》</w:t>
            </w:r>
          </w:p>
        </w:tc>
        <w:tc>
          <w:tcPr>
            <w:tcW w:type="dxa" w:w="4082"/>
            <w:vAlign w:val="center"/>
          </w:tcPr>
          <w:p>
            <w:pPr>
              <w:jc w:val="left"/>
            </w:pPr>
            <w:r/>
            <w:r>
              <w:rPr>
                <w:rFonts w:ascii="宋体" w:hAnsi="宋体" w:eastAsia="宋体"/>
                <w:b w:val="0"/>
                <w:sz w:val="17"/>
              </w:rPr>
              <w:t>作为轴承组件加严筛选、寿命试验、强制检验点的直接依据。</w:t>
            </w:r>
          </w:p>
        </w:tc>
      </w:tr>
      <w:tr>
        <w:tc>
          <w:tcPr>
            <w:tcW w:type="dxa" w:w="680"/>
            <w:vAlign w:val="center"/>
          </w:tcPr>
          <w:p>
            <w:pPr>
              <w:jc w:val="center"/>
            </w:pPr>
            <w:r/>
            <w:r>
              <w:rPr>
                <w:rFonts w:ascii="宋体" w:hAnsi="宋体" w:eastAsia="宋体"/>
                <w:b w:val="0"/>
                <w:sz w:val="17"/>
              </w:rPr>
              <w:t>2</w:t>
            </w:r>
          </w:p>
        </w:tc>
        <w:tc>
          <w:tcPr>
            <w:tcW w:type="dxa" w:w="4025"/>
            <w:vAlign w:val="center"/>
          </w:tcPr>
          <w:p>
            <w:pPr>
              <w:jc w:val="center"/>
            </w:pPr>
            <w:r/>
            <w:r>
              <w:rPr>
                <w:rFonts w:ascii="宋体" w:hAnsi="宋体" w:eastAsia="宋体"/>
                <w:b w:val="0"/>
                <w:sz w:val="17"/>
              </w:rPr>
              <w:t>《蓬莱一号飞行器飞轮任务书》</w:t>
            </w:r>
          </w:p>
        </w:tc>
        <w:tc>
          <w:tcPr>
            <w:tcW w:type="dxa" w:w="4082"/>
            <w:vAlign w:val="center"/>
          </w:tcPr>
          <w:p>
            <w:pPr>
              <w:jc w:val="center"/>
            </w:pPr>
            <w:r/>
            <w:r>
              <w:rPr>
                <w:rFonts w:ascii="宋体" w:hAnsi="宋体" w:eastAsia="宋体"/>
                <w:b w:val="0"/>
                <w:sz w:val="17"/>
              </w:rPr>
              <w:t>作为飞轮单机研制的原始任务依据。</w:t>
            </w:r>
          </w:p>
        </w:tc>
      </w:tr>
      <w:tr>
        <w:tc>
          <w:tcPr>
            <w:tcW w:type="dxa" w:w="680"/>
            <w:vAlign w:val="center"/>
          </w:tcPr>
          <w:p>
            <w:pPr>
              <w:jc w:val="center"/>
            </w:pPr>
            <w:r/>
            <w:r>
              <w:rPr>
                <w:rFonts w:ascii="宋体" w:hAnsi="宋体" w:eastAsia="宋体"/>
                <w:b w:val="0"/>
                <w:sz w:val="17"/>
              </w:rPr>
              <w:t>3</w:t>
            </w:r>
          </w:p>
        </w:tc>
        <w:tc>
          <w:tcPr>
            <w:tcW w:type="dxa" w:w="4025"/>
            <w:vAlign w:val="center"/>
          </w:tcPr>
          <w:p>
            <w:pPr>
              <w:jc w:val="left"/>
            </w:pPr>
            <w:r/>
            <w:r>
              <w:rPr>
                <w:rFonts w:ascii="宋体" w:hAnsi="宋体" w:eastAsia="宋体"/>
                <w:b w:val="0"/>
                <w:sz w:val="17"/>
              </w:rPr>
              <w:t>《卫星GNC系统设计报告｜姿态确定与姿态控制联合设计说明》</w:t>
            </w:r>
          </w:p>
        </w:tc>
        <w:tc>
          <w:tcPr>
            <w:tcW w:type="dxa" w:w="4082"/>
            <w:vAlign w:val="center"/>
          </w:tcPr>
          <w:p>
            <w:pPr>
              <w:jc w:val="left"/>
            </w:pPr>
            <w:r/>
            <w:r>
              <w:rPr>
                <w:rFonts w:ascii="宋体" w:hAnsi="宋体" w:eastAsia="宋体"/>
                <w:b w:val="0"/>
                <w:sz w:val="17"/>
              </w:rPr>
              <w:t>作为姿态稳定度、控制带宽、机动时间、角动量管理等系统牵引输入。</w:t>
            </w:r>
          </w:p>
        </w:tc>
      </w:tr>
      <w:tr>
        <w:tc>
          <w:tcPr>
            <w:tcW w:type="dxa" w:w="680"/>
            <w:vAlign w:val="center"/>
          </w:tcPr>
          <w:p>
            <w:pPr>
              <w:jc w:val="center"/>
            </w:pPr>
            <w:r/>
            <w:r>
              <w:rPr>
                <w:rFonts w:ascii="宋体" w:hAnsi="宋体" w:eastAsia="宋体"/>
                <w:b w:val="0"/>
                <w:sz w:val="17"/>
              </w:rPr>
              <w:t>4</w:t>
            </w:r>
          </w:p>
        </w:tc>
        <w:tc>
          <w:tcPr>
            <w:tcW w:type="dxa" w:w="4025"/>
            <w:vAlign w:val="center"/>
          </w:tcPr>
          <w:p>
            <w:pPr>
              <w:jc w:val="left"/>
            </w:pPr>
            <w:r/>
            <w:r>
              <w:rPr>
                <w:rFonts w:ascii="宋体" w:hAnsi="宋体" w:eastAsia="宋体"/>
                <w:b w:val="0"/>
                <w:sz w:val="17"/>
              </w:rPr>
              <w:t>《蓬莱一号飞行器飞轮初样阶段可靠性安全性设计与分析报告》</w:t>
            </w:r>
          </w:p>
        </w:tc>
        <w:tc>
          <w:tcPr>
            <w:tcW w:type="dxa" w:w="4082"/>
            <w:vAlign w:val="center"/>
          </w:tcPr>
          <w:p>
            <w:pPr>
              <w:jc w:val="left"/>
            </w:pPr>
            <w:r/>
            <w:r>
              <w:rPr>
                <w:rFonts w:ascii="宋体" w:hAnsi="宋体" w:eastAsia="宋体"/>
                <w:b w:val="0"/>
                <w:sz w:val="17"/>
              </w:rPr>
              <w:t>作为可靠性安全性专项设计、分析和验证工作的承接文件。</w:t>
            </w:r>
          </w:p>
        </w:tc>
      </w:tr>
      <w:tr>
        <w:tc>
          <w:tcPr>
            <w:tcW w:type="dxa" w:w="680"/>
            <w:vAlign w:val="center"/>
          </w:tcPr>
          <w:p>
            <w:pPr>
              <w:jc w:val="center"/>
            </w:pPr>
            <w:r/>
            <w:r>
              <w:rPr>
                <w:rFonts w:ascii="宋体" w:hAnsi="宋体" w:eastAsia="宋体"/>
                <w:b w:val="0"/>
                <w:sz w:val="17"/>
              </w:rPr>
              <w:t>5</w:t>
            </w:r>
          </w:p>
        </w:tc>
        <w:tc>
          <w:tcPr>
            <w:tcW w:type="dxa" w:w="4025"/>
            <w:vAlign w:val="center"/>
          </w:tcPr>
          <w:p>
            <w:pPr>
              <w:jc w:val="center"/>
            </w:pPr>
            <w:r/>
            <w:r>
              <w:rPr>
                <w:rFonts w:ascii="宋体" w:hAnsi="宋体" w:eastAsia="宋体"/>
                <w:b w:val="0"/>
                <w:sz w:val="17"/>
              </w:rPr>
              <w:t>《蓬莱一号产品保证工作检查单》</w:t>
            </w:r>
          </w:p>
        </w:tc>
        <w:tc>
          <w:tcPr>
            <w:tcW w:type="dxa" w:w="4082"/>
            <w:vAlign w:val="center"/>
          </w:tcPr>
          <w:p>
            <w:pPr>
              <w:jc w:val="left"/>
            </w:pPr>
            <w:r/>
            <w:r>
              <w:rPr>
                <w:rFonts w:ascii="宋体" w:hAnsi="宋体" w:eastAsia="宋体"/>
                <w:b w:val="0"/>
                <w:sz w:val="17"/>
              </w:rPr>
              <w:t>作为关键项目、可靠性、安全性、产品保证和交付物闭环检查依据。</w:t>
            </w:r>
          </w:p>
        </w:tc>
      </w:tr>
      <w:tr>
        <w:tc>
          <w:tcPr>
            <w:tcW w:type="dxa" w:w="680"/>
            <w:vAlign w:val="center"/>
          </w:tcPr>
          <w:p>
            <w:pPr>
              <w:jc w:val="center"/>
            </w:pPr>
            <w:r/>
            <w:r>
              <w:rPr>
                <w:rFonts w:ascii="宋体" w:hAnsi="宋体" w:eastAsia="宋体"/>
                <w:b w:val="0"/>
                <w:sz w:val="17"/>
              </w:rPr>
              <w:t>6</w:t>
            </w:r>
          </w:p>
        </w:tc>
        <w:tc>
          <w:tcPr>
            <w:tcW w:type="dxa" w:w="4025"/>
            <w:vAlign w:val="center"/>
          </w:tcPr>
          <w:p>
            <w:pPr>
              <w:jc w:val="left"/>
            </w:pPr>
            <w:r/>
            <w:r>
              <w:rPr>
                <w:rFonts w:ascii="宋体" w:hAnsi="宋体" w:eastAsia="宋体"/>
                <w:b w:val="0"/>
                <w:sz w:val="17"/>
              </w:rPr>
              <w:t>《卫星GNC系统设计报告的多智能体审查》</w:t>
            </w:r>
          </w:p>
        </w:tc>
        <w:tc>
          <w:tcPr>
            <w:tcW w:type="dxa" w:w="4082"/>
            <w:vAlign w:val="center"/>
          </w:tcPr>
          <w:p>
            <w:pPr>
              <w:jc w:val="left"/>
            </w:pPr>
            <w:r/>
            <w:r>
              <w:rPr>
                <w:rFonts w:ascii="宋体" w:hAnsi="宋体" w:eastAsia="宋体"/>
                <w:b w:val="0"/>
                <w:sz w:val="17"/>
              </w:rPr>
              <w:t>作为结构化预审、证据一致性检查和问题单闭环要求来源。</w:t>
            </w:r>
          </w:p>
        </w:tc>
      </w:tr>
    </w:tbl>
    <w:p/>
    <w:p>
      <w:pPr>
        <w:pStyle w:val="Heading2"/>
      </w:pPr>
      <w:r>
        <w:rPr>
          <w:rFonts w:ascii="宋体" w:hAnsi="宋体" w:eastAsia="宋体"/>
        </w:rPr>
        <w:t>2.2 公开型号参照资料</w:t>
      </w:r>
    </w:p>
    <w:p>
      <w:pPr>
        <w:spacing w:line="300" w:lineRule="auto" w:after="80"/>
        <w:ind w:firstLine="420"/>
      </w:pPr>
      <w:r>
        <w:rPr>
          <w:rFonts w:ascii="宋体" w:hAnsi="宋体" w:eastAsia="宋体"/>
          <w:b w:val="0"/>
          <w:sz w:val="21"/>
        </w:rPr>
        <w:t>为形成蓬莱一号飞轮研制任务的公开任务包络参照，本任务书选取Landsat 8/LDCM作为对地观测卫星公开参照型号。公开型号数据仅用于任务剖面、寿命包络、成像稳定性和可靠性安全性分析背景的参照，不作为蓬莱一号最终定型参数；蓬莱一号正式轨道、载荷、寿命、机动频次和环境条件以总体正式文件为准。</w:t>
      </w:r>
    </w:p>
    <w:tbl>
      <w:tblPr>
        <w:tblStyle w:val="TableGrid"/>
        <w:tblW w:type="auto" w:w="0"/>
        <w:jc w:val="center"/>
        <w:tblLook w:firstColumn="1" w:firstRow="1" w:lastColumn="0" w:lastRow="0" w:noHBand="0" w:noVBand="1" w:val="04A0"/>
      </w:tblPr>
      <w:tblGrid>
        <w:gridCol w:w="3211"/>
        <w:gridCol w:w="3211"/>
        <w:gridCol w:w="3211"/>
      </w:tblGrid>
      <w:tr>
        <w:tc>
          <w:tcPr>
            <w:tcW w:type="dxa" w:w="680"/>
            <w:shd w:fill="4F647A"/>
            <w:vAlign w:val="center"/>
          </w:tcPr>
          <w:p>
            <w:pPr>
              <w:jc w:val="center"/>
            </w:pPr>
            <w:r/>
            <w:r>
              <w:rPr>
                <w:rFonts w:ascii="宋体" w:hAnsi="宋体" w:eastAsia="宋体"/>
                <w:b/>
                <w:color w:val="FFFFFF"/>
                <w:sz w:val="17"/>
              </w:rPr>
              <w:t>序号</w:t>
            </w:r>
          </w:p>
        </w:tc>
        <w:tc>
          <w:tcPr>
            <w:tcW w:type="dxa" w:w="4195"/>
            <w:shd w:fill="4F647A"/>
            <w:vAlign w:val="center"/>
          </w:tcPr>
          <w:p>
            <w:pPr>
              <w:jc w:val="center"/>
            </w:pPr>
            <w:r/>
            <w:r>
              <w:rPr>
                <w:rFonts w:ascii="宋体" w:hAnsi="宋体" w:eastAsia="宋体"/>
                <w:b/>
                <w:color w:val="FFFFFF"/>
                <w:sz w:val="17"/>
              </w:rPr>
              <w:t>资料名称</w:t>
            </w:r>
          </w:p>
        </w:tc>
        <w:tc>
          <w:tcPr>
            <w:tcW w:type="dxa" w:w="3969"/>
            <w:shd w:fill="4F647A"/>
            <w:vAlign w:val="center"/>
          </w:tcPr>
          <w:p>
            <w:pPr>
              <w:jc w:val="center"/>
            </w:pPr>
            <w:r/>
            <w:r>
              <w:rPr>
                <w:rFonts w:ascii="宋体" w:hAnsi="宋体" w:eastAsia="宋体"/>
                <w:b/>
                <w:color w:val="FFFFFF"/>
                <w:sz w:val="17"/>
              </w:rPr>
              <w:t>参照内容</w:t>
            </w:r>
          </w:p>
        </w:tc>
      </w:tr>
      <w:tr>
        <w:tc>
          <w:tcPr>
            <w:tcW w:type="dxa" w:w="680"/>
            <w:vAlign w:val="center"/>
          </w:tcPr>
          <w:p>
            <w:pPr>
              <w:jc w:val="center"/>
            </w:pPr>
            <w:r/>
            <w:r>
              <w:rPr>
                <w:rFonts w:ascii="宋体" w:hAnsi="宋体" w:eastAsia="宋体"/>
                <w:b w:val="0"/>
                <w:sz w:val="17"/>
              </w:rPr>
              <w:t>1</w:t>
            </w:r>
          </w:p>
        </w:tc>
        <w:tc>
          <w:tcPr>
            <w:tcW w:type="dxa" w:w="4195"/>
            <w:vAlign w:val="center"/>
          </w:tcPr>
          <w:p>
            <w:pPr>
              <w:jc w:val="left"/>
            </w:pPr>
            <w:r/>
            <w:r>
              <w:rPr>
                <w:rFonts w:ascii="宋体" w:hAnsi="宋体" w:eastAsia="宋体"/>
                <w:b w:val="0"/>
                <w:sz w:val="17"/>
              </w:rPr>
              <w:t>NASA Landsat 8 Mission Page</w:t>
            </w:r>
          </w:p>
        </w:tc>
        <w:tc>
          <w:tcPr>
            <w:tcW w:type="dxa" w:w="3969"/>
            <w:vAlign w:val="center"/>
          </w:tcPr>
          <w:p>
            <w:pPr>
              <w:jc w:val="center"/>
            </w:pPr>
            <w:r/>
            <w:r>
              <w:rPr>
                <w:rFonts w:ascii="宋体" w:hAnsi="宋体" w:eastAsia="宋体"/>
                <w:b w:val="0"/>
                <w:sz w:val="17"/>
              </w:rPr>
              <w:t>任务性质、设计寿命、在轨运行背景。</w:t>
            </w:r>
          </w:p>
        </w:tc>
      </w:tr>
      <w:tr>
        <w:tc>
          <w:tcPr>
            <w:tcW w:type="dxa" w:w="680"/>
            <w:vAlign w:val="center"/>
          </w:tcPr>
          <w:p>
            <w:pPr>
              <w:jc w:val="center"/>
            </w:pPr>
            <w:r/>
            <w:r>
              <w:rPr>
                <w:rFonts w:ascii="宋体" w:hAnsi="宋体" w:eastAsia="宋体"/>
                <w:b w:val="0"/>
                <w:sz w:val="17"/>
              </w:rPr>
              <w:t>2</w:t>
            </w:r>
          </w:p>
        </w:tc>
        <w:tc>
          <w:tcPr>
            <w:tcW w:type="dxa" w:w="4195"/>
            <w:vAlign w:val="center"/>
          </w:tcPr>
          <w:p>
            <w:pPr>
              <w:jc w:val="left"/>
            </w:pPr>
            <w:r/>
            <w:r>
              <w:rPr>
                <w:rFonts w:ascii="宋体" w:hAnsi="宋体" w:eastAsia="宋体"/>
                <w:b w:val="0"/>
                <w:sz w:val="17"/>
              </w:rPr>
              <w:t>USGS Landsat 8 Mission Information</w:t>
            </w:r>
          </w:p>
        </w:tc>
        <w:tc>
          <w:tcPr>
            <w:tcW w:type="dxa" w:w="3969"/>
            <w:vAlign w:val="center"/>
          </w:tcPr>
          <w:p>
            <w:pPr>
              <w:jc w:val="left"/>
            </w:pPr>
            <w:r/>
            <w:r>
              <w:rPr>
                <w:rFonts w:ascii="宋体" w:hAnsi="宋体" w:eastAsia="宋体"/>
                <w:b w:val="0"/>
                <w:sz w:val="17"/>
              </w:rPr>
              <w:t>太阳同步近极轨道、轨道高度、倾角、轨道周期、重复周期、过境时间等。</w:t>
            </w:r>
          </w:p>
        </w:tc>
      </w:tr>
      <w:tr>
        <w:tc>
          <w:tcPr>
            <w:tcW w:type="dxa" w:w="680"/>
            <w:vAlign w:val="center"/>
          </w:tcPr>
          <w:p>
            <w:pPr>
              <w:jc w:val="center"/>
            </w:pPr>
            <w:r/>
            <w:r>
              <w:rPr>
                <w:rFonts w:ascii="宋体" w:hAnsi="宋体" w:eastAsia="宋体"/>
                <w:b w:val="0"/>
                <w:sz w:val="17"/>
              </w:rPr>
              <w:t>3</w:t>
            </w:r>
          </w:p>
        </w:tc>
        <w:tc>
          <w:tcPr>
            <w:tcW w:type="dxa" w:w="4195"/>
            <w:vAlign w:val="center"/>
          </w:tcPr>
          <w:p>
            <w:pPr>
              <w:jc w:val="left"/>
            </w:pPr>
            <w:r/>
            <w:r>
              <w:rPr>
                <w:rFonts w:ascii="宋体" w:hAnsi="宋体" w:eastAsia="宋体"/>
                <w:b w:val="0"/>
                <w:sz w:val="17"/>
              </w:rPr>
              <w:t>NASA NTRS：Attitude Determination and Control Systems</w:t>
            </w:r>
          </w:p>
        </w:tc>
        <w:tc>
          <w:tcPr>
            <w:tcW w:type="dxa" w:w="3969"/>
            <w:vAlign w:val="center"/>
          </w:tcPr>
          <w:p>
            <w:pPr>
              <w:jc w:val="left"/>
            </w:pPr>
            <w:r/>
            <w:r>
              <w:rPr>
                <w:rFonts w:ascii="宋体" w:hAnsi="宋体" w:eastAsia="宋体"/>
                <w:b w:val="0"/>
                <w:sz w:val="17"/>
              </w:rPr>
              <w:t>反作用飞轮、推力器、磁力矩器等姿态控制执行机构及卸载逻辑。</w:t>
            </w:r>
          </w:p>
        </w:tc>
      </w:tr>
      <w:tr>
        <w:tc>
          <w:tcPr>
            <w:tcW w:type="dxa" w:w="680"/>
            <w:vAlign w:val="center"/>
          </w:tcPr>
          <w:p>
            <w:pPr>
              <w:jc w:val="center"/>
            </w:pPr>
            <w:r/>
            <w:r>
              <w:rPr>
                <w:rFonts w:ascii="宋体" w:hAnsi="宋体" w:eastAsia="宋体"/>
                <w:b w:val="0"/>
                <w:sz w:val="17"/>
              </w:rPr>
              <w:t>4</w:t>
            </w:r>
          </w:p>
        </w:tc>
        <w:tc>
          <w:tcPr>
            <w:tcW w:type="dxa" w:w="4195"/>
            <w:vAlign w:val="center"/>
          </w:tcPr>
          <w:p>
            <w:pPr>
              <w:jc w:val="left"/>
            </w:pPr>
            <w:r/>
            <w:r>
              <w:rPr>
                <w:rFonts w:ascii="宋体" w:hAnsi="宋体" w:eastAsia="宋体"/>
                <w:b w:val="0"/>
                <w:sz w:val="17"/>
              </w:rPr>
              <w:t>NASA NTRS：Maximum Torque and Momentum Envelopes for Reaction Wheel Arrays</w:t>
            </w:r>
          </w:p>
        </w:tc>
        <w:tc>
          <w:tcPr>
            <w:tcW w:type="dxa" w:w="3969"/>
            <w:vAlign w:val="center"/>
          </w:tcPr>
          <w:p>
            <w:pPr>
              <w:jc w:val="left"/>
            </w:pPr>
            <w:r/>
            <w:r>
              <w:rPr>
                <w:rFonts w:ascii="宋体" w:hAnsi="宋体" w:eastAsia="宋体"/>
                <w:b w:val="0"/>
                <w:sz w:val="17"/>
              </w:rPr>
              <w:t>反作用轮阵列最大力矩、角动量包络和轮组构型分析方法。</w:t>
            </w:r>
          </w:p>
        </w:tc>
      </w:tr>
    </w:tbl>
    <w:p/>
    <w:p>
      <w:pPr>
        <w:pStyle w:val="Heading1"/>
      </w:pPr>
      <w:r>
        <w:rPr>
          <w:rFonts w:ascii="宋体" w:hAnsi="宋体" w:eastAsia="宋体"/>
        </w:rPr>
        <w:t>3 研制任务要求</w:t>
      </w:r>
    </w:p>
    <w:p>
      <w:pPr>
        <w:pStyle w:val="Heading2"/>
      </w:pPr>
      <w:r>
        <w:rPr>
          <w:rFonts w:ascii="宋体" w:hAnsi="宋体" w:eastAsia="宋体"/>
        </w:rPr>
        <w:t>3.1 任务依据与研制目标</w:t>
      </w:r>
    </w:p>
    <w:p>
      <w:pPr>
        <w:spacing w:line="300" w:lineRule="auto" w:after="80"/>
        <w:ind w:firstLine="420"/>
      </w:pPr>
      <w:r>
        <w:rPr>
          <w:rFonts w:ascii="宋体" w:hAnsi="宋体" w:eastAsia="宋体"/>
          <w:b w:val="0"/>
          <w:sz w:val="21"/>
        </w:rPr>
        <w:t>飞轮产品应满足蓬莱一号飞行器对地观测任务对姿态稳定、姿态机动和角动量管理的要求。产品研制应以“满足GNC闭环、控制关键风险、形成可交付证据、支持专家验收”为基本原则。</w:t>
      </w:r>
    </w:p>
    <w:p>
      <w:pPr>
        <w:spacing w:line="300" w:lineRule="auto" w:after="80"/>
        <w:ind w:firstLine="420"/>
      </w:pPr>
      <w:r>
        <w:rPr>
          <w:rFonts w:ascii="宋体" w:hAnsi="宋体" w:eastAsia="宋体"/>
          <w:b w:val="0"/>
          <w:sz w:val="21"/>
        </w:rPr>
        <w:t>飞轮研制目标包括：提供满足GNC控制分配要求的力矩和角动量能力；在稳态成像窗口内支撑姿态稳定度要求；在大角度姿态机动和机动后稳定恢复过程中保持可控、可监测、可保护；在寿命期内具备可验证的轴承、转子、电机驱动、控制电子和接口可靠性；形成满足产品保证检查单要求的全过程交付证据。</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134"/>
            <w:shd w:fill="4F647A"/>
            <w:vAlign w:val="center"/>
          </w:tcPr>
          <w:p>
            <w:pPr>
              <w:jc w:val="center"/>
            </w:pPr>
            <w:r/>
            <w:r>
              <w:rPr>
                <w:rFonts w:ascii="宋体" w:hAnsi="宋体" w:eastAsia="宋体"/>
                <w:b/>
                <w:color w:val="FFFFFF"/>
                <w:sz w:val="15"/>
              </w:rPr>
              <w:t>编号</w:t>
            </w:r>
          </w:p>
        </w:tc>
        <w:tc>
          <w:tcPr>
            <w:tcW w:type="dxa" w:w="1247"/>
            <w:shd w:fill="4F647A"/>
            <w:vAlign w:val="center"/>
          </w:tcPr>
          <w:p>
            <w:pPr>
              <w:jc w:val="center"/>
            </w:pPr>
            <w:r/>
            <w:r>
              <w:rPr>
                <w:rFonts w:ascii="宋体" w:hAnsi="宋体" w:eastAsia="宋体"/>
                <w:b/>
                <w:color w:val="FFFFFF"/>
                <w:sz w:val="15"/>
              </w:rPr>
              <w:t>任务目标</w:t>
            </w:r>
          </w:p>
        </w:tc>
        <w:tc>
          <w:tcPr>
            <w:tcW w:type="dxa" w:w="2948"/>
            <w:shd w:fill="4F647A"/>
            <w:vAlign w:val="center"/>
          </w:tcPr>
          <w:p>
            <w:pPr>
              <w:jc w:val="center"/>
            </w:pPr>
            <w:r/>
            <w:r>
              <w:rPr>
                <w:rFonts w:ascii="宋体" w:hAnsi="宋体" w:eastAsia="宋体"/>
                <w:b/>
                <w:color w:val="FFFFFF"/>
                <w:sz w:val="15"/>
              </w:rPr>
              <w:t>任务要求</w:t>
            </w:r>
          </w:p>
        </w:tc>
        <w:tc>
          <w:tcPr>
            <w:tcW w:type="dxa" w:w="2268"/>
            <w:shd w:fill="4F647A"/>
            <w:vAlign w:val="center"/>
          </w:tcPr>
          <w:p>
            <w:pPr>
              <w:jc w:val="center"/>
            </w:pPr>
            <w:r/>
            <w:r>
              <w:rPr>
                <w:rFonts w:ascii="宋体" w:hAnsi="宋体" w:eastAsia="宋体"/>
                <w:b/>
                <w:color w:val="FFFFFF"/>
                <w:sz w:val="15"/>
              </w:rPr>
              <w:t>交付物</w:t>
            </w:r>
          </w:p>
        </w:tc>
        <w:tc>
          <w:tcPr>
            <w:tcW w:type="dxa" w:w="2381"/>
            <w:shd w:fill="4F647A"/>
            <w:vAlign w:val="center"/>
          </w:tcPr>
          <w:p>
            <w:pPr>
              <w:jc w:val="center"/>
            </w:pPr>
            <w:r/>
            <w:r>
              <w:rPr>
                <w:rFonts w:ascii="宋体" w:hAnsi="宋体" w:eastAsia="宋体"/>
                <w:b/>
                <w:color w:val="FFFFFF"/>
                <w:sz w:val="15"/>
              </w:rPr>
              <w:t>验收准则</w:t>
            </w:r>
          </w:p>
        </w:tc>
      </w:tr>
      <w:tr>
        <w:tc>
          <w:tcPr>
            <w:tcW w:type="dxa" w:w="1134"/>
            <w:vAlign w:val="center"/>
          </w:tcPr>
          <w:p>
            <w:pPr>
              <w:jc w:val="center"/>
            </w:pPr>
            <w:r/>
            <w:r>
              <w:rPr>
                <w:rFonts w:ascii="宋体" w:hAnsi="宋体" w:eastAsia="宋体"/>
                <w:b w:val="0"/>
                <w:sz w:val="15"/>
              </w:rPr>
              <w:t>RW-TGT-001</w:t>
            </w:r>
          </w:p>
        </w:tc>
        <w:tc>
          <w:tcPr>
            <w:tcW w:type="dxa" w:w="1247"/>
            <w:vAlign w:val="center"/>
          </w:tcPr>
          <w:p>
            <w:pPr>
              <w:jc w:val="center"/>
            </w:pPr>
            <w:r/>
            <w:r>
              <w:rPr>
                <w:rFonts w:ascii="宋体" w:hAnsi="宋体" w:eastAsia="宋体"/>
                <w:b w:val="0"/>
                <w:sz w:val="15"/>
              </w:rPr>
              <w:t>GNC闭环支撑</w:t>
            </w:r>
          </w:p>
        </w:tc>
        <w:tc>
          <w:tcPr>
            <w:tcW w:type="dxa" w:w="2948"/>
            <w:vAlign w:val="center"/>
          </w:tcPr>
          <w:p>
            <w:pPr>
              <w:jc w:val="left"/>
            </w:pPr>
            <w:r/>
            <w:r>
              <w:rPr>
                <w:rFonts w:ascii="宋体" w:hAnsi="宋体" w:eastAsia="宋体"/>
                <w:b w:val="0"/>
                <w:sz w:val="15"/>
              </w:rPr>
              <w:t>飞轮应作为姿态控制主执行机构，支撑稳态保持、机动控制、机动后稳定恢复和角动量管理。</w:t>
            </w:r>
          </w:p>
        </w:tc>
        <w:tc>
          <w:tcPr>
            <w:tcW w:type="dxa" w:w="2268"/>
            <w:vAlign w:val="center"/>
          </w:tcPr>
          <w:p>
            <w:pPr>
              <w:jc w:val="left"/>
            </w:pPr>
            <w:r/>
            <w:r>
              <w:rPr>
                <w:rFonts w:ascii="宋体" w:hAnsi="宋体" w:eastAsia="宋体"/>
                <w:b w:val="0"/>
                <w:sz w:val="15"/>
              </w:rPr>
              <w:t>控制分配说明、接口控制文件、GNC联试报告。</w:t>
            </w:r>
          </w:p>
        </w:tc>
        <w:tc>
          <w:tcPr>
            <w:tcW w:type="dxa" w:w="2381"/>
            <w:vAlign w:val="center"/>
          </w:tcPr>
          <w:p>
            <w:pPr>
              <w:jc w:val="left"/>
            </w:pPr>
            <w:r/>
            <w:r>
              <w:rPr>
                <w:rFonts w:ascii="宋体" w:hAnsi="宋体" w:eastAsia="宋体"/>
                <w:b w:val="0"/>
                <w:sz w:val="15"/>
              </w:rPr>
              <w:t>GNC联试中飞轮遥测、指令响应和控制闭环判据满足总体要求。</w:t>
            </w:r>
          </w:p>
        </w:tc>
      </w:tr>
      <w:tr>
        <w:tc>
          <w:tcPr>
            <w:tcW w:type="dxa" w:w="1134"/>
            <w:vAlign w:val="center"/>
          </w:tcPr>
          <w:p>
            <w:pPr>
              <w:jc w:val="center"/>
            </w:pPr>
            <w:r/>
            <w:r>
              <w:rPr>
                <w:rFonts w:ascii="宋体" w:hAnsi="宋体" w:eastAsia="宋体"/>
                <w:b w:val="0"/>
                <w:sz w:val="15"/>
              </w:rPr>
              <w:t>RW-TGT-002</w:t>
            </w:r>
          </w:p>
        </w:tc>
        <w:tc>
          <w:tcPr>
            <w:tcW w:type="dxa" w:w="1247"/>
            <w:vAlign w:val="center"/>
          </w:tcPr>
          <w:p>
            <w:pPr>
              <w:jc w:val="center"/>
            </w:pPr>
            <w:r/>
            <w:r>
              <w:rPr>
                <w:rFonts w:ascii="宋体" w:hAnsi="宋体" w:eastAsia="宋体"/>
                <w:b w:val="0"/>
                <w:sz w:val="15"/>
              </w:rPr>
              <w:t>关键单机控制</w:t>
            </w:r>
          </w:p>
        </w:tc>
        <w:tc>
          <w:tcPr>
            <w:tcW w:type="dxa" w:w="2948"/>
            <w:vAlign w:val="center"/>
          </w:tcPr>
          <w:p>
            <w:pPr>
              <w:jc w:val="left"/>
            </w:pPr>
            <w:r/>
            <w:r>
              <w:rPr>
                <w:rFonts w:ascii="宋体" w:hAnsi="宋体" w:eastAsia="宋体"/>
                <w:b w:val="0"/>
                <w:sz w:val="15"/>
              </w:rPr>
              <w:t>飞轮按关键单机管理，轴承组件、驱动电子、转速测量、保护逻辑和寿命样本纳入关键项目控制。</w:t>
            </w:r>
          </w:p>
        </w:tc>
        <w:tc>
          <w:tcPr>
            <w:tcW w:type="dxa" w:w="2268"/>
            <w:vAlign w:val="center"/>
          </w:tcPr>
          <w:p>
            <w:pPr>
              <w:jc w:val="left"/>
            </w:pPr>
            <w:r/>
            <w:r>
              <w:rPr>
                <w:rFonts w:ascii="宋体" w:hAnsi="宋体" w:eastAsia="宋体"/>
                <w:b w:val="0"/>
                <w:sz w:val="15"/>
              </w:rPr>
              <w:t>关键项目清单、控制措施、检查落实表。</w:t>
            </w:r>
          </w:p>
        </w:tc>
        <w:tc>
          <w:tcPr>
            <w:tcW w:type="dxa" w:w="2381"/>
            <w:vAlign w:val="center"/>
          </w:tcPr>
          <w:p>
            <w:pPr>
              <w:jc w:val="left"/>
            </w:pPr>
            <w:r/>
            <w:r>
              <w:rPr>
                <w:rFonts w:ascii="宋体" w:hAnsi="宋体" w:eastAsia="宋体"/>
                <w:b w:val="0"/>
                <w:sz w:val="15"/>
              </w:rPr>
              <w:t>关键项目清单经评审确认，控制措施可追溯到设计、生产、试验和交付。</w:t>
            </w:r>
          </w:p>
        </w:tc>
      </w:tr>
      <w:tr>
        <w:tc>
          <w:tcPr>
            <w:tcW w:type="dxa" w:w="1134"/>
            <w:vAlign w:val="center"/>
          </w:tcPr>
          <w:p>
            <w:pPr>
              <w:jc w:val="center"/>
            </w:pPr>
            <w:r/>
            <w:r>
              <w:rPr>
                <w:rFonts w:ascii="宋体" w:hAnsi="宋体" w:eastAsia="宋体"/>
                <w:b w:val="0"/>
                <w:sz w:val="15"/>
              </w:rPr>
              <w:t>RW-TGT-003</w:t>
            </w:r>
          </w:p>
        </w:tc>
        <w:tc>
          <w:tcPr>
            <w:tcW w:type="dxa" w:w="1247"/>
            <w:vAlign w:val="center"/>
          </w:tcPr>
          <w:p>
            <w:pPr>
              <w:jc w:val="center"/>
            </w:pPr>
            <w:r/>
            <w:r>
              <w:rPr>
                <w:rFonts w:ascii="宋体" w:hAnsi="宋体" w:eastAsia="宋体"/>
                <w:b w:val="0"/>
                <w:sz w:val="15"/>
              </w:rPr>
              <w:t>证据链交付</w:t>
            </w:r>
          </w:p>
        </w:tc>
        <w:tc>
          <w:tcPr>
            <w:tcW w:type="dxa" w:w="2948"/>
            <w:vAlign w:val="center"/>
          </w:tcPr>
          <w:p>
            <w:pPr>
              <w:jc w:val="left"/>
            </w:pPr>
            <w:r/>
            <w:r>
              <w:rPr>
                <w:rFonts w:ascii="宋体" w:hAnsi="宋体" w:eastAsia="宋体"/>
                <w:b w:val="0"/>
                <w:sz w:val="15"/>
              </w:rPr>
              <w:t>所有需求、设计、试验、问题处理和验收结论应形成RID追溯关系。</w:t>
            </w:r>
          </w:p>
        </w:tc>
        <w:tc>
          <w:tcPr>
            <w:tcW w:type="dxa" w:w="2268"/>
            <w:vAlign w:val="center"/>
          </w:tcPr>
          <w:p>
            <w:pPr>
              <w:jc w:val="left"/>
            </w:pPr>
            <w:r/>
            <w:r>
              <w:rPr>
                <w:rFonts w:ascii="宋体" w:hAnsi="宋体" w:eastAsia="宋体"/>
                <w:b w:val="0"/>
                <w:sz w:val="15"/>
              </w:rPr>
              <w:t>需求符合性矩阵、试验数据包、问题单闭环记录。</w:t>
            </w:r>
          </w:p>
        </w:tc>
        <w:tc>
          <w:tcPr>
            <w:tcW w:type="dxa" w:w="2381"/>
            <w:vAlign w:val="center"/>
          </w:tcPr>
          <w:p>
            <w:pPr>
              <w:jc w:val="left"/>
            </w:pPr>
            <w:r/>
            <w:r>
              <w:rPr>
                <w:rFonts w:ascii="宋体" w:hAnsi="宋体" w:eastAsia="宋体"/>
                <w:b w:val="0"/>
                <w:sz w:val="15"/>
              </w:rPr>
              <w:t>任一验收结论均能追溯到需求、试验记录、数据文件和责任结论。</w:t>
            </w:r>
          </w:p>
        </w:tc>
      </w:tr>
    </w:tbl>
    <w:p/>
    <w:p>
      <w:pPr>
        <w:pStyle w:val="Heading2"/>
      </w:pPr>
      <w:r>
        <w:rPr>
          <w:rFonts w:ascii="宋体" w:hAnsi="宋体" w:eastAsia="宋体"/>
        </w:rPr>
        <w:t>3.2 公开型号任务包络参照</w:t>
      </w:r>
    </w:p>
    <w:p>
      <w:pPr>
        <w:spacing w:line="300" w:lineRule="auto" w:after="80"/>
        <w:ind w:firstLine="420"/>
      </w:pPr>
      <w:r>
        <w:rPr>
          <w:rFonts w:ascii="宋体" w:hAnsi="宋体" w:eastAsia="宋体"/>
          <w:b w:val="0"/>
          <w:sz w:val="21"/>
        </w:rPr>
        <w:t>蓬莱一号飞轮任务包络可参照公开对地观测卫星Landsat 8/LDCM的任务特征进行工程取值和边界校核。该参照用于说明对地观测卫星长期在轨、周期成像、太阳同步轨道、重复访问和寿命包络对飞轮可靠性、安全性、热控、润滑、角动量管理和数据监测提出的约束。</w:t>
      </w:r>
    </w:p>
    <w:tbl>
      <w:tblPr>
        <w:tblStyle w:val="TableGrid"/>
        <w:tblW w:type="auto" w:w="0"/>
        <w:jc w:val="center"/>
        <w:tblLook w:firstColumn="1" w:firstRow="1" w:lastColumn="0" w:lastRow="0" w:noHBand="0" w:noVBand="1" w:val="04A0"/>
      </w:tblPr>
      <w:tblGrid>
        <w:gridCol w:w="3211"/>
        <w:gridCol w:w="3211"/>
        <w:gridCol w:w="3211"/>
      </w:tblGrid>
      <w:tr>
        <w:tc>
          <w:tcPr>
            <w:tcW w:type="dxa" w:w="1587"/>
            <w:shd w:fill="4F647A"/>
            <w:vAlign w:val="center"/>
          </w:tcPr>
          <w:p>
            <w:pPr>
              <w:jc w:val="center"/>
            </w:pPr>
            <w:r/>
            <w:r>
              <w:rPr>
                <w:rFonts w:ascii="宋体" w:hAnsi="宋体" w:eastAsia="宋体"/>
                <w:b/>
                <w:color w:val="FFFFFF"/>
                <w:sz w:val="16"/>
              </w:rPr>
              <w:t>参照项目</w:t>
            </w:r>
          </w:p>
        </w:tc>
        <w:tc>
          <w:tcPr>
            <w:tcW w:type="dxa" w:w="2835"/>
            <w:shd w:fill="4F647A"/>
            <w:vAlign w:val="center"/>
          </w:tcPr>
          <w:p>
            <w:pPr>
              <w:jc w:val="center"/>
            </w:pPr>
            <w:r/>
            <w:r>
              <w:rPr>
                <w:rFonts w:ascii="宋体" w:hAnsi="宋体" w:eastAsia="宋体"/>
                <w:b/>
                <w:color w:val="FFFFFF"/>
                <w:sz w:val="16"/>
              </w:rPr>
              <w:t>公开型号参照数据</w:t>
            </w:r>
          </w:p>
        </w:tc>
        <w:tc>
          <w:tcPr>
            <w:tcW w:type="dxa" w:w="4252"/>
            <w:shd w:fill="4F647A"/>
            <w:vAlign w:val="center"/>
          </w:tcPr>
          <w:p>
            <w:pPr>
              <w:jc w:val="center"/>
            </w:pPr>
            <w:r/>
            <w:r>
              <w:rPr>
                <w:rFonts w:ascii="宋体" w:hAnsi="宋体" w:eastAsia="宋体"/>
                <w:b/>
                <w:color w:val="FFFFFF"/>
                <w:sz w:val="16"/>
              </w:rPr>
              <w:t>对飞轮任务书的约束转化</w:t>
            </w:r>
          </w:p>
        </w:tc>
      </w:tr>
      <w:tr>
        <w:tc>
          <w:tcPr>
            <w:tcW w:type="dxa" w:w="1587"/>
            <w:vAlign w:val="center"/>
          </w:tcPr>
          <w:p>
            <w:pPr>
              <w:jc w:val="center"/>
            </w:pPr>
            <w:r/>
            <w:r>
              <w:rPr>
                <w:rFonts w:ascii="宋体" w:hAnsi="宋体" w:eastAsia="宋体"/>
                <w:b w:val="0"/>
                <w:sz w:val="16"/>
              </w:rPr>
              <w:t>任务类型</w:t>
            </w:r>
          </w:p>
        </w:tc>
        <w:tc>
          <w:tcPr>
            <w:tcW w:type="dxa" w:w="2835"/>
            <w:vAlign w:val="center"/>
          </w:tcPr>
          <w:p>
            <w:pPr>
              <w:jc w:val="center"/>
            </w:pPr>
            <w:r/>
            <w:r>
              <w:rPr>
                <w:rFonts w:ascii="宋体" w:hAnsi="宋体" w:eastAsia="宋体"/>
                <w:b w:val="0"/>
                <w:sz w:val="16"/>
              </w:rPr>
              <w:t>太阳同步近极轨道对地观测任务。</w:t>
            </w:r>
          </w:p>
        </w:tc>
        <w:tc>
          <w:tcPr>
            <w:tcW w:type="dxa" w:w="4252"/>
            <w:vAlign w:val="center"/>
          </w:tcPr>
          <w:p>
            <w:pPr>
              <w:jc w:val="left"/>
            </w:pPr>
            <w:r/>
            <w:r>
              <w:rPr>
                <w:rFonts w:ascii="宋体" w:hAnsi="宋体" w:eastAsia="宋体"/>
                <w:b w:val="0"/>
                <w:sz w:val="16"/>
              </w:rPr>
              <w:t>飞轮应支撑长期周期性成像、目标区域姿态保持和机动后恢复。</w:t>
            </w:r>
          </w:p>
        </w:tc>
      </w:tr>
      <w:tr>
        <w:tc>
          <w:tcPr>
            <w:tcW w:type="dxa" w:w="1587"/>
            <w:vAlign w:val="center"/>
          </w:tcPr>
          <w:p>
            <w:pPr>
              <w:jc w:val="center"/>
            </w:pPr>
            <w:r/>
            <w:r>
              <w:rPr>
                <w:rFonts w:ascii="宋体" w:hAnsi="宋体" w:eastAsia="宋体"/>
                <w:b w:val="0"/>
                <w:sz w:val="16"/>
              </w:rPr>
              <w:t>轨道高度/倾角</w:t>
            </w:r>
          </w:p>
        </w:tc>
        <w:tc>
          <w:tcPr>
            <w:tcW w:type="dxa" w:w="2835"/>
            <w:vAlign w:val="center"/>
          </w:tcPr>
          <w:p>
            <w:pPr>
              <w:jc w:val="center"/>
            </w:pPr>
            <w:r/>
            <w:r>
              <w:rPr>
                <w:rFonts w:ascii="宋体" w:hAnsi="宋体" w:eastAsia="宋体"/>
                <w:b w:val="0"/>
                <w:sz w:val="16"/>
              </w:rPr>
              <w:t>约705 km、约98.2°倾角。</w:t>
            </w:r>
          </w:p>
        </w:tc>
        <w:tc>
          <w:tcPr>
            <w:tcW w:type="dxa" w:w="4252"/>
            <w:vAlign w:val="center"/>
          </w:tcPr>
          <w:p>
            <w:pPr>
              <w:jc w:val="left"/>
            </w:pPr>
            <w:r/>
            <w:r>
              <w:rPr>
                <w:rFonts w:ascii="宋体" w:hAnsi="宋体" w:eastAsia="宋体"/>
                <w:b w:val="0"/>
                <w:sz w:val="16"/>
              </w:rPr>
              <w:t>飞轮环境适应性分析应覆盖低轨热循环、辐照、轨道扰动力矩和长期角动量积累。</w:t>
            </w:r>
          </w:p>
        </w:tc>
      </w:tr>
      <w:tr>
        <w:tc>
          <w:tcPr>
            <w:tcW w:type="dxa" w:w="1587"/>
            <w:vAlign w:val="center"/>
          </w:tcPr>
          <w:p>
            <w:pPr>
              <w:jc w:val="center"/>
            </w:pPr>
            <w:r/>
            <w:r>
              <w:rPr>
                <w:rFonts w:ascii="宋体" w:hAnsi="宋体" w:eastAsia="宋体"/>
                <w:b w:val="0"/>
                <w:sz w:val="16"/>
              </w:rPr>
              <w:t>轨道周期/重复周期</w:t>
            </w:r>
          </w:p>
        </w:tc>
        <w:tc>
          <w:tcPr>
            <w:tcW w:type="dxa" w:w="2835"/>
            <w:vAlign w:val="center"/>
          </w:tcPr>
          <w:p>
            <w:pPr>
              <w:jc w:val="left"/>
            </w:pPr>
            <w:r/>
            <w:r>
              <w:rPr>
                <w:rFonts w:ascii="宋体" w:hAnsi="宋体" w:eastAsia="宋体"/>
                <w:b w:val="0"/>
                <w:sz w:val="16"/>
              </w:rPr>
              <w:t>约99 min轨道周期，16天重复周期。</w:t>
            </w:r>
          </w:p>
        </w:tc>
        <w:tc>
          <w:tcPr>
            <w:tcW w:type="dxa" w:w="4252"/>
            <w:vAlign w:val="center"/>
          </w:tcPr>
          <w:p>
            <w:pPr>
              <w:jc w:val="left"/>
            </w:pPr>
            <w:r/>
            <w:r>
              <w:rPr>
                <w:rFonts w:ascii="宋体" w:hAnsi="宋体" w:eastAsia="宋体"/>
                <w:b w:val="0"/>
                <w:sz w:val="16"/>
              </w:rPr>
              <w:t>寿命试验和热循环分析应考虑长期重复工况及多次成像任务累积效应。</w:t>
            </w:r>
          </w:p>
        </w:tc>
      </w:tr>
      <w:tr>
        <w:tc>
          <w:tcPr>
            <w:tcW w:type="dxa" w:w="1587"/>
            <w:vAlign w:val="center"/>
          </w:tcPr>
          <w:p>
            <w:pPr>
              <w:jc w:val="center"/>
            </w:pPr>
            <w:r/>
            <w:r>
              <w:rPr>
                <w:rFonts w:ascii="宋体" w:hAnsi="宋体" w:eastAsia="宋体"/>
                <w:b w:val="0"/>
                <w:sz w:val="16"/>
              </w:rPr>
              <w:t>寿命包络</w:t>
            </w:r>
          </w:p>
        </w:tc>
        <w:tc>
          <w:tcPr>
            <w:tcW w:type="dxa" w:w="2835"/>
            <w:vAlign w:val="center"/>
          </w:tcPr>
          <w:p>
            <w:pPr>
              <w:jc w:val="left"/>
            </w:pPr>
            <w:r/>
            <w:r>
              <w:rPr>
                <w:rFonts w:ascii="宋体" w:hAnsi="宋体" w:eastAsia="宋体"/>
                <w:b w:val="0"/>
                <w:sz w:val="16"/>
              </w:rPr>
              <w:t>设计寿命5年，并具备更长期运行消耗品保障的公开经验。</w:t>
            </w:r>
          </w:p>
        </w:tc>
        <w:tc>
          <w:tcPr>
            <w:tcW w:type="dxa" w:w="4252"/>
            <w:vAlign w:val="center"/>
          </w:tcPr>
          <w:p>
            <w:pPr>
              <w:jc w:val="left"/>
            </w:pPr>
            <w:r/>
            <w:r>
              <w:rPr>
                <w:rFonts w:ascii="宋体" w:hAnsi="宋体" w:eastAsia="宋体"/>
                <w:b w:val="0"/>
                <w:sz w:val="16"/>
              </w:rPr>
              <w:t>飞轮寿命设计、轴承筛选、润滑保持和寿命评估应以任务寿命及裕度要求为输入。</w:t>
            </w:r>
          </w:p>
        </w:tc>
      </w:tr>
      <w:tr>
        <w:tc>
          <w:tcPr>
            <w:tcW w:type="dxa" w:w="1587"/>
            <w:vAlign w:val="center"/>
          </w:tcPr>
          <w:p>
            <w:pPr>
              <w:jc w:val="center"/>
            </w:pPr>
            <w:r/>
            <w:r>
              <w:rPr>
                <w:rFonts w:ascii="宋体" w:hAnsi="宋体" w:eastAsia="宋体"/>
                <w:b w:val="0"/>
                <w:sz w:val="16"/>
              </w:rPr>
              <w:t>任务数据特征</w:t>
            </w:r>
          </w:p>
        </w:tc>
        <w:tc>
          <w:tcPr>
            <w:tcW w:type="dxa" w:w="2835"/>
            <w:vAlign w:val="center"/>
          </w:tcPr>
          <w:p>
            <w:pPr>
              <w:jc w:val="left"/>
            </w:pPr>
            <w:r/>
            <w:r>
              <w:rPr>
                <w:rFonts w:ascii="宋体" w:hAnsi="宋体" w:eastAsia="宋体"/>
                <w:b w:val="0"/>
                <w:sz w:val="16"/>
              </w:rPr>
              <w:t>多谱段对地观测，成像窗口对姿态稳定和微振动敏感。</w:t>
            </w:r>
          </w:p>
        </w:tc>
        <w:tc>
          <w:tcPr>
            <w:tcW w:type="dxa" w:w="4252"/>
            <w:vAlign w:val="center"/>
          </w:tcPr>
          <w:p>
            <w:pPr>
              <w:jc w:val="left"/>
            </w:pPr>
            <w:r/>
            <w:r>
              <w:rPr>
                <w:rFonts w:ascii="宋体" w:hAnsi="宋体" w:eastAsia="宋体"/>
                <w:b w:val="0"/>
                <w:sz w:val="16"/>
              </w:rPr>
              <w:t>飞轮应提交微振动、转速谐波、电流纹波和结构耦合影响评估。</w:t>
            </w:r>
          </w:p>
        </w:tc>
      </w:tr>
    </w:tbl>
    <w:p/>
    <w:p>
      <w:pPr>
        <w:spacing w:line="276" w:lineRule="auto" w:after="60"/>
      </w:pPr>
      <w:r>
        <w:rPr>
          <w:rFonts w:ascii="宋体" w:hAnsi="宋体" w:eastAsia="宋体"/>
          <w:b w:val="0"/>
          <w:sz w:val="18"/>
        </w:rPr>
        <w:t>说明：公开型号参照数据用于建立蓬莱一号研制阶段的工程包络和审查基准，不替代总体正式指标。</w:t>
      </w:r>
    </w:p>
    <w:p>
      <w:pPr>
        <w:pStyle w:val="Heading2"/>
      </w:pPr>
      <w:r>
        <w:rPr>
          <w:rFonts w:ascii="宋体" w:hAnsi="宋体" w:eastAsia="宋体"/>
        </w:rPr>
        <w:t>3.3 GNC系统牵引要求</w:t>
      </w:r>
    </w:p>
    <w:p>
      <w:pPr>
        <w:spacing w:line="300" w:lineRule="auto" w:after="80"/>
        <w:ind w:firstLine="420"/>
      </w:pPr>
      <w:r>
        <w:rPr>
          <w:rFonts w:ascii="宋体" w:hAnsi="宋体" w:eastAsia="宋体"/>
          <w:b w:val="0"/>
          <w:sz w:val="21"/>
        </w:rPr>
        <w:t>飞轮产品应承接GNC系统对姿态稳定度、控制带宽、大角度机动、角动量管理和卸载协同的要求。GNC系统牵引要求应向飞轮单机分解为角动量能力、力矩响应、转速范围、遥测精度、控制延迟、保护阈值、微振动和接口一致性要求。</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304"/>
            <w:shd w:fill="4F647A"/>
            <w:vAlign w:val="center"/>
          </w:tcPr>
          <w:p>
            <w:pPr>
              <w:jc w:val="center"/>
            </w:pPr>
            <w:r/>
            <w:r>
              <w:rPr>
                <w:rFonts w:ascii="宋体" w:hAnsi="宋体" w:eastAsia="宋体"/>
                <w:b/>
                <w:color w:val="FFFFFF"/>
                <w:sz w:val="14"/>
              </w:rPr>
              <w:t>GNC牵引项</w:t>
            </w:r>
          </w:p>
        </w:tc>
        <w:tc>
          <w:tcPr>
            <w:tcW w:type="dxa" w:w="1587"/>
            <w:shd w:fill="4F647A"/>
            <w:vAlign w:val="center"/>
          </w:tcPr>
          <w:p>
            <w:pPr>
              <w:jc w:val="center"/>
            </w:pPr>
            <w:r/>
            <w:r>
              <w:rPr>
                <w:rFonts w:ascii="宋体" w:hAnsi="宋体" w:eastAsia="宋体"/>
                <w:b/>
                <w:color w:val="FFFFFF"/>
                <w:sz w:val="14"/>
              </w:rPr>
              <w:t>系统输入</w:t>
            </w:r>
          </w:p>
        </w:tc>
        <w:tc>
          <w:tcPr>
            <w:tcW w:type="dxa" w:w="2948"/>
            <w:shd w:fill="4F647A"/>
            <w:vAlign w:val="center"/>
          </w:tcPr>
          <w:p>
            <w:pPr>
              <w:jc w:val="center"/>
            </w:pPr>
            <w:r/>
            <w:r>
              <w:rPr>
                <w:rFonts w:ascii="宋体" w:hAnsi="宋体" w:eastAsia="宋体"/>
                <w:b/>
                <w:color w:val="FFFFFF"/>
                <w:sz w:val="14"/>
              </w:rPr>
              <w:t>飞轮任务要求</w:t>
            </w:r>
          </w:p>
        </w:tc>
        <w:tc>
          <w:tcPr>
            <w:tcW w:type="dxa" w:w="2154"/>
            <w:shd w:fill="4F647A"/>
            <w:vAlign w:val="center"/>
          </w:tcPr>
          <w:p>
            <w:pPr>
              <w:jc w:val="center"/>
            </w:pPr>
            <w:r/>
            <w:r>
              <w:rPr>
                <w:rFonts w:ascii="宋体" w:hAnsi="宋体" w:eastAsia="宋体"/>
                <w:b/>
                <w:color w:val="FFFFFF"/>
                <w:sz w:val="14"/>
              </w:rPr>
              <w:t>交付物</w:t>
            </w:r>
          </w:p>
        </w:tc>
        <w:tc>
          <w:tcPr>
            <w:tcW w:type="dxa" w:w="2721"/>
            <w:shd w:fill="4F647A"/>
            <w:vAlign w:val="center"/>
          </w:tcPr>
          <w:p>
            <w:pPr>
              <w:jc w:val="center"/>
            </w:pPr>
            <w:r/>
            <w:r>
              <w:rPr>
                <w:rFonts w:ascii="宋体" w:hAnsi="宋体" w:eastAsia="宋体"/>
                <w:b/>
                <w:color w:val="FFFFFF"/>
                <w:sz w:val="14"/>
              </w:rPr>
              <w:t>验收准则</w:t>
            </w:r>
          </w:p>
        </w:tc>
      </w:tr>
      <w:tr>
        <w:tc>
          <w:tcPr>
            <w:tcW w:type="dxa" w:w="1304"/>
            <w:vAlign w:val="center"/>
          </w:tcPr>
          <w:p>
            <w:pPr>
              <w:jc w:val="center"/>
            </w:pPr>
            <w:r/>
            <w:r>
              <w:rPr>
                <w:rFonts w:ascii="宋体" w:hAnsi="宋体" w:eastAsia="宋体"/>
                <w:b w:val="0"/>
                <w:sz w:val="14"/>
              </w:rPr>
              <w:t>稳态稳定度</w:t>
            </w:r>
          </w:p>
        </w:tc>
        <w:tc>
          <w:tcPr>
            <w:tcW w:type="dxa" w:w="1587"/>
            <w:vAlign w:val="center"/>
          </w:tcPr>
          <w:p>
            <w:pPr>
              <w:jc w:val="center"/>
            </w:pPr>
            <w:r/>
            <w:r>
              <w:rPr>
                <w:rFonts w:ascii="宋体" w:hAnsi="宋体" w:eastAsia="宋体"/>
                <w:b w:val="0"/>
                <w:sz w:val="14"/>
              </w:rPr>
              <w:t>姿态控制稳定度0.001°/s。</w:t>
            </w:r>
          </w:p>
        </w:tc>
        <w:tc>
          <w:tcPr>
            <w:tcW w:type="dxa" w:w="2948"/>
            <w:vAlign w:val="center"/>
          </w:tcPr>
          <w:p>
            <w:pPr>
              <w:jc w:val="left"/>
            </w:pPr>
            <w:r/>
            <w:r>
              <w:rPr>
                <w:rFonts w:ascii="宋体" w:hAnsi="宋体" w:eastAsia="宋体"/>
                <w:b w:val="0"/>
                <w:sz w:val="14"/>
              </w:rPr>
              <w:t>飞轮应支持稳态微小力矩输出，控制指令不应引入不可接受的高频抖振和周期扰动。</w:t>
            </w:r>
          </w:p>
        </w:tc>
        <w:tc>
          <w:tcPr>
            <w:tcW w:type="dxa" w:w="2154"/>
            <w:vAlign w:val="center"/>
          </w:tcPr>
          <w:p>
            <w:pPr>
              <w:jc w:val="left"/>
            </w:pPr>
            <w:r/>
            <w:r>
              <w:rPr>
                <w:rFonts w:ascii="宋体" w:hAnsi="宋体" w:eastAsia="宋体"/>
                <w:b w:val="0"/>
                <w:sz w:val="14"/>
              </w:rPr>
              <w:t>稳态闭环仿真、微振动测试、GNC联试报告。</w:t>
            </w:r>
          </w:p>
        </w:tc>
        <w:tc>
          <w:tcPr>
            <w:tcW w:type="dxa" w:w="2721"/>
            <w:vAlign w:val="center"/>
          </w:tcPr>
          <w:p>
            <w:pPr>
              <w:jc w:val="left"/>
            </w:pPr>
            <w:r/>
            <w:r>
              <w:rPr>
                <w:rFonts w:ascii="宋体" w:hAnsi="宋体" w:eastAsia="宋体"/>
                <w:b w:val="0"/>
                <w:sz w:val="14"/>
              </w:rPr>
              <w:t>稳态窗口内飞轮转速、电流、力矩响应和角速度残差满足GNC判据。</w:t>
            </w:r>
          </w:p>
        </w:tc>
      </w:tr>
      <w:tr>
        <w:tc>
          <w:tcPr>
            <w:tcW w:type="dxa" w:w="1304"/>
            <w:vAlign w:val="center"/>
          </w:tcPr>
          <w:p>
            <w:pPr>
              <w:jc w:val="center"/>
            </w:pPr>
            <w:r/>
            <w:r>
              <w:rPr>
                <w:rFonts w:ascii="宋体" w:hAnsi="宋体" w:eastAsia="宋体"/>
                <w:b w:val="0"/>
                <w:sz w:val="14"/>
              </w:rPr>
              <w:t>控制带宽</w:t>
            </w:r>
          </w:p>
        </w:tc>
        <w:tc>
          <w:tcPr>
            <w:tcW w:type="dxa" w:w="1587"/>
            <w:vAlign w:val="center"/>
          </w:tcPr>
          <w:p>
            <w:pPr>
              <w:jc w:val="center"/>
            </w:pPr>
            <w:r/>
            <w:r>
              <w:rPr>
                <w:rFonts w:ascii="宋体" w:hAnsi="宋体" w:eastAsia="宋体"/>
                <w:b w:val="0"/>
                <w:sz w:val="14"/>
              </w:rPr>
              <w:t>闭环控制带宽不低于0.5 Hz。</w:t>
            </w:r>
          </w:p>
        </w:tc>
        <w:tc>
          <w:tcPr>
            <w:tcW w:type="dxa" w:w="2948"/>
            <w:vAlign w:val="center"/>
          </w:tcPr>
          <w:p>
            <w:pPr>
              <w:jc w:val="left"/>
            </w:pPr>
            <w:r/>
            <w:r>
              <w:rPr>
                <w:rFonts w:ascii="宋体" w:hAnsi="宋体" w:eastAsia="宋体"/>
                <w:b w:val="0"/>
                <w:sz w:val="14"/>
              </w:rPr>
              <w:t>飞轮力矩响应、控制周期和驱动延迟应满足GNC带宽设计，不得造成闭环相位裕度不足。</w:t>
            </w:r>
          </w:p>
        </w:tc>
        <w:tc>
          <w:tcPr>
            <w:tcW w:type="dxa" w:w="2154"/>
            <w:vAlign w:val="center"/>
          </w:tcPr>
          <w:p>
            <w:pPr>
              <w:jc w:val="left"/>
            </w:pPr>
            <w:r/>
            <w:r>
              <w:rPr>
                <w:rFonts w:ascii="宋体" w:hAnsi="宋体" w:eastAsia="宋体"/>
                <w:b w:val="0"/>
                <w:sz w:val="14"/>
              </w:rPr>
              <w:t>力矩响应测试、延迟测试、频域分析报告。</w:t>
            </w:r>
          </w:p>
        </w:tc>
        <w:tc>
          <w:tcPr>
            <w:tcW w:type="dxa" w:w="2721"/>
            <w:vAlign w:val="center"/>
          </w:tcPr>
          <w:p>
            <w:pPr>
              <w:jc w:val="left"/>
            </w:pPr>
            <w:r/>
            <w:r>
              <w:rPr>
                <w:rFonts w:ascii="宋体" w:hAnsi="宋体" w:eastAsia="宋体"/>
                <w:b w:val="0"/>
                <w:sz w:val="14"/>
              </w:rPr>
              <w:t>等效带宽验证中无异常振荡，接口延迟满足GNC分配。</w:t>
            </w:r>
          </w:p>
        </w:tc>
      </w:tr>
      <w:tr>
        <w:tc>
          <w:tcPr>
            <w:tcW w:type="dxa" w:w="1304"/>
            <w:vAlign w:val="center"/>
          </w:tcPr>
          <w:p>
            <w:pPr>
              <w:jc w:val="center"/>
            </w:pPr>
            <w:r/>
            <w:r>
              <w:rPr>
                <w:rFonts w:ascii="宋体" w:hAnsi="宋体" w:eastAsia="宋体"/>
                <w:b w:val="0"/>
                <w:sz w:val="14"/>
              </w:rPr>
              <w:t>90°机动</w:t>
            </w:r>
          </w:p>
        </w:tc>
        <w:tc>
          <w:tcPr>
            <w:tcW w:type="dxa" w:w="1587"/>
            <w:vAlign w:val="center"/>
          </w:tcPr>
          <w:p>
            <w:pPr>
              <w:jc w:val="center"/>
            </w:pPr>
            <w:r/>
            <w:r>
              <w:rPr>
                <w:rFonts w:ascii="宋体" w:hAnsi="宋体" w:eastAsia="宋体"/>
                <w:b w:val="0"/>
                <w:sz w:val="14"/>
              </w:rPr>
              <w:t>90°姿态机动时间≤30 min。</w:t>
            </w:r>
          </w:p>
        </w:tc>
        <w:tc>
          <w:tcPr>
            <w:tcW w:type="dxa" w:w="2948"/>
            <w:vAlign w:val="center"/>
          </w:tcPr>
          <w:p>
            <w:pPr>
              <w:jc w:val="left"/>
            </w:pPr>
            <w:r/>
            <w:r>
              <w:rPr>
                <w:rFonts w:ascii="宋体" w:hAnsi="宋体" w:eastAsia="宋体"/>
                <w:b w:val="0"/>
                <w:sz w:val="14"/>
              </w:rPr>
              <w:t>飞轮应支持机动剖面内的转速变化、力矩输出和热负荷约束，机动后可进入稳定恢复。</w:t>
            </w:r>
          </w:p>
        </w:tc>
        <w:tc>
          <w:tcPr>
            <w:tcW w:type="dxa" w:w="2154"/>
            <w:vAlign w:val="center"/>
          </w:tcPr>
          <w:p>
            <w:pPr>
              <w:jc w:val="center"/>
            </w:pPr>
            <w:r/>
            <w:r>
              <w:rPr>
                <w:rFonts w:ascii="宋体" w:hAnsi="宋体" w:eastAsia="宋体"/>
                <w:b w:val="0"/>
                <w:sz w:val="14"/>
              </w:rPr>
              <w:t>机动仿真、热分析、转速剖面测试。</w:t>
            </w:r>
          </w:p>
        </w:tc>
        <w:tc>
          <w:tcPr>
            <w:tcW w:type="dxa" w:w="2721"/>
            <w:vAlign w:val="center"/>
          </w:tcPr>
          <w:p>
            <w:pPr>
              <w:jc w:val="left"/>
            </w:pPr>
            <w:r/>
            <w:r>
              <w:rPr>
                <w:rFonts w:ascii="宋体" w:hAnsi="宋体" w:eastAsia="宋体"/>
                <w:b w:val="0"/>
                <w:sz w:val="14"/>
              </w:rPr>
              <w:t>90°机动工况下转速、温度、电流、力矩和保护状态均不越限。</w:t>
            </w:r>
          </w:p>
        </w:tc>
      </w:tr>
      <w:tr>
        <w:tc>
          <w:tcPr>
            <w:tcW w:type="dxa" w:w="1304"/>
            <w:vAlign w:val="center"/>
          </w:tcPr>
          <w:p>
            <w:pPr>
              <w:jc w:val="center"/>
            </w:pPr>
            <w:r/>
            <w:r>
              <w:rPr>
                <w:rFonts w:ascii="宋体" w:hAnsi="宋体" w:eastAsia="宋体"/>
                <w:b w:val="0"/>
                <w:sz w:val="14"/>
              </w:rPr>
              <w:t>角动量管理</w:t>
            </w:r>
          </w:p>
        </w:tc>
        <w:tc>
          <w:tcPr>
            <w:tcW w:type="dxa" w:w="1587"/>
            <w:vAlign w:val="center"/>
          </w:tcPr>
          <w:p>
            <w:pPr>
              <w:jc w:val="left"/>
            </w:pPr>
            <w:r/>
            <w:r>
              <w:rPr>
                <w:rFonts w:ascii="宋体" w:hAnsi="宋体" w:eastAsia="宋体"/>
                <w:b w:val="0"/>
                <w:sz w:val="14"/>
              </w:rPr>
              <w:t>轮组最大角动量按40 N·m·s配置。</w:t>
            </w:r>
          </w:p>
        </w:tc>
        <w:tc>
          <w:tcPr>
            <w:tcW w:type="dxa" w:w="2948"/>
            <w:vAlign w:val="center"/>
          </w:tcPr>
          <w:p>
            <w:pPr>
              <w:jc w:val="left"/>
            </w:pPr>
            <w:r/>
            <w:r>
              <w:rPr>
                <w:rFonts w:ascii="宋体" w:hAnsi="宋体" w:eastAsia="宋体"/>
                <w:b w:val="0"/>
                <w:sz w:val="14"/>
              </w:rPr>
              <w:t>飞轮单机参数应支持轮组角动量配置和分配矩阵分析；单轮能力由总体/GNC分配确认。</w:t>
            </w:r>
          </w:p>
        </w:tc>
        <w:tc>
          <w:tcPr>
            <w:tcW w:type="dxa" w:w="2154"/>
            <w:vAlign w:val="center"/>
          </w:tcPr>
          <w:p>
            <w:pPr>
              <w:jc w:val="left"/>
            </w:pPr>
            <w:r/>
            <w:r>
              <w:rPr>
                <w:rFonts w:ascii="宋体" w:hAnsi="宋体" w:eastAsia="宋体"/>
                <w:b w:val="0"/>
                <w:sz w:val="14"/>
              </w:rPr>
              <w:t>角动量分配矩阵、轮组能力分析、饱和保护说明。</w:t>
            </w:r>
          </w:p>
        </w:tc>
        <w:tc>
          <w:tcPr>
            <w:tcW w:type="dxa" w:w="2721"/>
            <w:vAlign w:val="center"/>
          </w:tcPr>
          <w:p>
            <w:pPr>
              <w:jc w:val="left"/>
            </w:pPr>
            <w:r/>
            <w:r>
              <w:rPr>
                <w:rFonts w:ascii="宋体" w:hAnsi="宋体" w:eastAsia="宋体"/>
                <w:b w:val="0"/>
                <w:sz w:val="14"/>
              </w:rPr>
              <w:t>轮组能力包络覆盖任务剖面，角动量预警和卸载阈值设置有效。</w:t>
            </w:r>
          </w:p>
        </w:tc>
      </w:tr>
      <w:tr>
        <w:tc>
          <w:tcPr>
            <w:tcW w:type="dxa" w:w="1304"/>
            <w:vAlign w:val="center"/>
          </w:tcPr>
          <w:p>
            <w:pPr>
              <w:jc w:val="center"/>
            </w:pPr>
            <w:r/>
            <w:r>
              <w:rPr>
                <w:rFonts w:ascii="宋体" w:hAnsi="宋体" w:eastAsia="宋体"/>
                <w:b w:val="0"/>
                <w:sz w:val="14"/>
              </w:rPr>
              <w:t>推力器卸载协同</w:t>
            </w:r>
          </w:p>
        </w:tc>
        <w:tc>
          <w:tcPr>
            <w:tcW w:type="dxa" w:w="1587"/>
            <w:vAlign w:val="center"/>
          </w:tcPr>
          <w:p>
            <w:pPr>
              <w:jc w:val="left"/>
            </w:pPr>
            <w:r/>
            <w:r>
              <w:rPr>
                <w:rFonts w:ascii="宋体" w:hAnsi="宋体" w:eastAsia="宋体"/>
                <w:b w:val="0"/>
                <w:sz w:val="14"/>
              </w:rPr>
              <w:t>推力器最小冲量按0.1 mN·s进入分析。</w:t>
            </w:r>
          </w:p>
        </w:tc>
        <w:tc>
          <w:tcPr>
            <w:tcW w:type="dxa" w:w="2948"/>
            <w:vAlign w:val="center"/>
          </w:tcPr>
          <w:p>
            <w:pPr>
              <w:jc w:val="left"/>
            </w:pPr>
            <w:r/>
            <w:r>
              <w:rPr>
                <w:rFonts w:ascii="宋体" w:hAnsi="宋体" w:eastAsia="宋体"/>
                <w:b w:val="0"/>
                <w:sz w:val="14"/>
              </w:rPr>
              <w:t>飞轮应支持卸载前后角动量状态记录、卸载窗口控制和卸载后稳定恢复。</w:t>
            </w:r>
          </w:p>
        </w:tc>
        <w:tc>
          <w:tcPr>
            <w:tcW w:type="dxa" w:w="2154"/>
            <w:vAlign w:val="center"/>
          </w:tcPr>
          <w:p>
            <w:pPr>
              <w:jc w:val="left"/>
            </w:pPr>
            <w:r/>
            <w:r>
              <w:rPr>
                <w:rFonts w:ascii="宋体" w:hAnsi="宋体" w:eastAsia="宋体"/>
                <w:b w:val="0"/>
                <w:sz w:val="14"/>
              </w:rPr>
              <w:t>卸载协同仿真、遥测字段表、在轨操作预案。</w:t>
            </w:r>
          </w:p>
        </w:tc>
        <w:tc>
          <w:tcPr>
            <w:tcW w:type="dxa" w:w="2721"/>
            <w:vAlign w:val="center"/>
          </w:tcPr>
          <w:p>
            <w:pPr>
              <w:jc w:val="left"/>
            </w:pPr>
            <w:r/>
            <w:r>
              <w:rPr>
                <w:rFonts w:ascii="宋体" w:hAnsi="宋体" w:eastAsia="宋体"/>
                <w:b w:val="0"/>
                <w:sz w:val="14"/>
              </w:rPr>
              <w:t>卸载扰动后飞轮可配合控制系统恢复稳态，数据可追溯。</w:t>
            </w:r>
          </w:p>
        </w:tc>
      </w:tr>
    </w:tbl>
    <w:p/>
    <w:p>
      <w:pPr>
        <w:pStyle w:val="Heading2"/>
      </w:pPr>
      <w:r>
        <w:rPr>
          <w:rFonts w:ascii="宋体" w:hAnsi="宋体" w:eastAsia="宋体"/>
        </w:rPr>
        <w:t>3.4 飞轮单机功能与性能要求</w:t>
      </w:r>
    </w:p>
    <w:p>
      <w:pPr>
        <w:spacing w:line="300" w:lineRule="auto" w:after="80"/>
        <w:ind w:firstLine="420"/>
      </w:pPr>
      <w:r>
        <w:rPr>
          <w:rFonts w:ascii="宋体" w:hAnsi="宋体" w:eastAsia="宋体"/>
          <w:b w:val="0"/>
          <w:sz w:val="21"/>
        </w:rPr>
        <w:t>飞轮单机应由转子组件、轴承组件、电机与驱动组件、转速测量组件、控制保护电路、结构热控件、连接器及必要的软件/固件组成。飞轮单机应具备接收控制指令、执行力矩输出、转速控制、状态遥测、故障保护、寿命累计和接口自检等能力。</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020"/>
            <w:shd w:fill="4F647A"/>
            <w:vAlign w:val="center"/>
          </w:tcPr>
          <w:p>
            <w:pPr>
              <w:jc w:val="center"/>
            </w:pPr>
            <w:r/>
            <w:r>
              <w:rPr>
                <w:rFonts w:ascii="宋体" w:hAnsi="宋体" w:eastAsia="宋体"/>
                <w:b/>
                <w:color w:val="FFFFFF"/>
                <w:sz w:val="15"/>
              </w:rPr>
              <w:t>编号</w:t>
            </w:r>
          </w:p>
        </w:tc>
        <w:tc>
          <w:tcPr>
            <w:tcW w:type="dxa" w:w="1304"/>
            <w:shd w:fill="4F647A"/>
            <w:vAlign w:val="center"/>
          </w:tcPr>
          <w:p>
            <w:pPr>
              <w:jc w:val="center"/>
            </w:pPr>
            <w:r/>
            <w:r>
              <w:rPr>
                <w:rFonts w:ascii="宋体" w:hAnsi="宋体" w:eastAsia="宋体"/>
                <w:b/>
                <w:color w:val="FFFFFF"/>
                <w:sz w:val="15"/>
              </w:rPr>
              <w:t>要求类别</w:t>
            </w:r>
          </w:p>
        </w:tc>
        <w:tc>
          <w:tcPr>
            <w:tcW w:type="dxa" w:w="3288"/>
            <w:shd w:fill="4F647A"/>
            <w:vAlign w:val="center"/>
          </w:tcPr>
          <w:p>
            <w:pPr>
              <w:jc w:val="center"/>
            </w:pPr>
            <w:r/>
            <w:r>
              <w:rPr>
                <w:rFonts w:ascii="宋体" w:hAnsi="宋体" w:eastAsia="宋体"/>
                <w:b/>
                <w:color w:val="FFFFFF"/>
                <w:sz w:val="15"/>
              </w:rPr>
              <w:t>任务要求</w:t>
            </w:r>
          </w:p>
        </w:tc>
        <w:tc>
          <w:tcPr>
            <w:tcW w:type="dxa" w:w="2268"/>
            <w:shd w:fill="4F647A"/>
            <w:vAlign w:val="center"/>
          </w:tcPr>
          <w:p>
            <w:pPr>
              <w:jc w:val="center"/>
            </w:pPr>
            <w:r/>
            <w:r>
              <w:rPr>
                <w:rFonts w:ascii="宋体" w:hAnsi="宋体" w:eastAsia="宋体"/>
                <w:b/>
                <w:color w:val="FFFFFF"/>
                <w:sz w:val="15"/>
              </w:rPr>
              <w:t>交付物</w:t>
            </w:r>
          </w:p>
        </w:tc>
        <w:tc>
          <w:tcPr>
            <w:tcW w:type="dxa" w:w="2494"/>
            <w:shd w:fill="4F647A"/>
            <w:vAlign w:val="center"/>
          </w:tcPr>
          <w:p>
            <w:pPr>
              <w:jc w:val="center"/>
            </w:pPr>
            <w:r/>
            <w:r>
              <w:rPr>
                <w:rFonts w:ascii="宋体" w:hAnsi="宋体" w:eastAsia="宋体"/>
                <w:b/>
                <w:color w:val="FFFFFF"/>
                <w:sz w:val="15"/>
              </w:rPr>
              <w:t>验收准则</w:t>
            </w:r>
          </w:p>
        </w:tc>
      </w:tr>
      <w:tr>
        <w:tc>
          <w:tcPr>
            <w:tcW w:type="dxa" w:w="1020"/>
            <w:vAlign w:val="center"/>
          </w:tcPr>
          <w:p>
            <w:pPr>
              <w:jc w:val="center"/>
            </w:pPr>
            <w:r/>
            <w:r>
              <w:rPr>
                <w:rFonts w:ascii="宋体" w:hAnsi="宋体" w:eastAsia="宋体"/>
                <w:b w:val="0"/>
                <w:sz w:val="15"/>
              </w:rPr>
              <w:t>RW-FUN-001</w:t>
            </w:r>
          </w:p>
        </w:tc>
        <w:tc>
          <w:tcPr>
            <w:tcW w:type="dxa" w:w="1304"/>
            <w:vAlign w:val="center"/>
          </w:tcPr>
          <w:p>
            <w:pPr>
              <w:jc w:val="center"/>
            </w:pPr>
            <w:r/>
            <w:r>
              <w:rPr>
                <w:rFonts w:ascii="宋体" w:hAnsi="宋体" w:eastAsia="宋体"/>
                <w:b w:val="0"/>
                <w:sz w:val="15"/>
              </w:rPr>
              <w:t>力矩输出</w:t>
            </w:r>
          </w:p>
        </w:tc>
        <w:tc>
          <w:tcPr>
            <w:tcW w:type="dxa" w:w="3288"/>
            <w:vAlign w:val="center"/>
          </w:tcPr>
          <w:p>
            <w:pPr>
              <w:jc w:val="left"/>
            </w:pPr>
            <w:r/>
            <w:r>
              <w:rPr>
                <w:rFonts w:ascii="宋体" w:hAnsi="宋体" w:eastAsia="宋体"/>
                <w:b w:val="0"/>
                <w:sz w:val="15"/>
              </w:rPr>
              <w:t>飞轮应按GNC分配接收力矩或转速指令，输出方向、极性、比例系数和限幅逻辑应与接口控制文件一致。</w:t>
            </w:r>
          </w:p>
        </w:tc>
        <w:tc>
          <w:tcPr>
            <w:tcW w:type="dxa" w:w="2268"/>
            <w:vAlign w:val="center"/>
          </w:tcPr>
          <w:p>
            <w:pPr>
              <w:jc w:val="center"/>
            </w:pPr>
            <w:r/>
            <w:r>
              <w:rPr>
                <w:rFonts w:ascii="宋体" w:hAnsi="宋体" w:eastAsia="宋体"/>
                <w:b w:val="0"/>
                <w:sz w:val="15"/>
              </w:rPr>
              <w:t>接口控制文件、力矩标定报告。</w:t>
            </w:r>
          </w:p>
        </w:tc>
        <w:tc>
          <w:tcPr>
            <w:tcW w:type="dxa" w:w="2494"/>
            <w:vAlign w:val="center"/>
          </w:tcPr>
          <w:p>
            <w:pPr>
              <w:jc w:val="left"/>
            </w:pPr>
            <w:r/>
            <w:r>
              <w:rPr>
                <w:rFonts w:ascii="宋体" w:hAnsi="宋体" w:eastAsia="宋体"/>
                <w:b w:val="0"/>
                <w:sz w:val="15"/>
              </w:rPr>
              <w:t>指令—响应曲线满足标定要求，极性和安装矩阵经联试确认。</w:t>
            </w:r>
          </w:p>
        </w:tc>
      </w:tr>
      <w:tr>
        <w:tc>
          <w:tcPr>
            <w:tcW w:type="dxa" w:w="1020"/>
            <w:vAlign w:val="center"/>
          </w:tcPr>
          <w:p>
            <w:pPr>
              <w:jc w:val="center"/>
            </w:pPr>
            <w:r/>
            <w:r>
              <w:rPr>
                <w:rFonts w:ascii="宋体" w:hAnsi="宋体" w:eastAsia="宋体"/>
                <w:b w:val="0"/>
                <w:sz w:val="15"/>
              </w:rPr>
              <w:t>RW-FUN-002</w:t>
            </w:r>
          </w:p>
        </w:tc>
        <w:tc>
          <w:tcPr>
            <w:tcW w:type="dxa" w:w="1304"/>
            <w:vAlign w:val="center"/>
          </w:tcPr>
          <w:p>
            <w:pPr>
              <w:jc w:val="center"/>
            </w:pPr>
            <w:r/>
            <w:r>
              <w:rPr>
                <w:rFonts w:ascii="宋体" w:hAnsi="宋体" w:eastAsia="宋体"/>
                <w:b w:val="0"/>
                <w:sz w:val="15"/>
              </w:rPr>
              <w:t>转速控制</w:t>
            </w:r>
          </w:p>
        </w:tc>
        <w:tc>
          <w:tcPr>
            <w:tcW w:type="dxa" w:w="3288"/>
            <w:vAlign w:val="center"/>
          </w:tcPr>
          <w:p>
            <w:pPr>
              <w:jc w:val="left"/>
            </w:pPr>
            <w:r/>
            <w:r>
              <w:rPr>
                <w:rFonts w:ascii="宋体" w:hAnsi="宋体" w:eastAsia="宋体"/>
                <w:b w:val="0"/>
                <w:sz w:val="15"/>
              </w:rPr>
              <w:t>飞轮应支持任务剖面内的转速范围、加减速斜率和保护阈值设置，具备转速遥测和异常停转保护。</w:t>
            </w:r>
          </w:p>
        </w:tc>
        <w:tc>
          <w:tcPr>
            <w:tcW w:type="dxa" w:w="2268"/>
            <w:vAlign w:val="center"/>
          </w:tcPr>
          <w:p>
            <w:pPr>
              <w:jc w:val="left"/>
            </w:pPr>
            <w:r/>
            <w:r>
              <w:rPr>
                <w:rFonts w:ascii="宋体" w:hAnsi="宋体" w:eastAsia="宋体"/>
                <w:b w:val="0"/>
                <w:sz w:val="15"/>
              </w:rPr>
              <w:t>转速范围说明、控制参数表、保护逻辑说明。</w:t>
            </w:r>
          </w:p>
        </w:tc>
        <w:tc>
          <w:tcPr>
            <w:tcW w:type="dxa" w:w="2494"/>
            <w:vAlign w:val="center"/>
          </w:tcPr>
          <w:p>
            <w:pPr>
              <w:jc w:val="left"/>
            </w:pPr>
            <w:r/>
            <w:r>
              <w:rPr>
                <w:rFonts w:ascii="宋体" w:hAnsi="宋体" w:eastAsia="宋体"/>
                <w:b w:val="0"/>
                <w:sz w:val="15"/>
              </w:rPr>
              <w:t>转速遥测、加减速、限速保护和异常状态切换试验通过。</w:t>
            </w:r>
          </w:p>
        </w:tc>
      </w:tr>
      <w:tr>
        <w:tc>
          <w:tcPr>
            <w:tcW w:type="dxa" w:w="1020"/>
            <w:vAlign w:val="center"/>
          </w:tcPr>
          <w:p>
            <w:pPr>
              <w:jc w:val="center"/>
            </w:pPr>
            <w:r/>
            <w:r>
              <w:rPr>
                <w:rFonts w:ascii="宋体" w:hAnsi="宋体" w:eastAsia="宋体"/>
                <w:b w:val="0"/>
                <w:sz w:val="15"/>
              </w:rPr>
              <w:t>RW-FUN-003</w:t>
            </w:r>
          </w:p>
        </w:tc>
        <w:tc>
          <w:tcPr>
            <w:tcW w:type="dxa" w:w="1304"/>
            <w:vAlign w:val="center"/>
          </w:tcPr>
          <w:p>
            <w:pPr>
              <w:jc w:val="center"/>
            </w:pPr>
            <w:r/>
            <w:r>
              <w:rPr>
                <w:rFonts w:ascii="宋体" w:hAnsi="宋体" w:eastAsia="宋体"/>
                <w:b w:val="0"/>
                <w:sz w:val="15"/>
              </w:rPr>
              <w:t>微振动控制</w:t>
            </w:r>
          </w:p>
        </w:tc>
        <w:tc>
          <w:tcPr>
            <w:tcW w:type="dxa" w:w="3288"/>
            <w:vAlign w:val="center"/>
          </w:tcPr>
          <w:p>
            <w:pPr>
              <w:jc w:val="left"/>
            </w:pPr>
            <w:r/>
            <w:r>
              <w:rPr>
                <w:rFonts w:ascii="宋体" w:hAnsi="宋体" w:eastAsia="宋体"/>
                <w:b w:val="0"/>
                <w:sz w:val="15"/>
              </w:rPr>
              <w:t>飞轮应对转子不平衡、轴承噪声、电机换相、电流纹波及谐波成分进行控制和测试。</w:t>
            </w:r>
          </w:p>
        </w:tc>
        <w:tc>
          <w:tcPr>
            <w:tcW w:type="dxa" w:w="2268"/>
            <w:vAlign w:val="center"/>
          </w:tcPr>
          <w:p>
            <w:pPr>
              <w:jc w:val="center"/>
            </w:pPr>
            <w:r/>
            <w:r>
              <w:rPr>
                <w:rFonts w:ascii="宋体" w:hAnsi="宋体" w:eastAsia="宋体"/>
                <w:b w:val="0"/>
                <w:sz w:val="15"/>
              </w:rPr>
              <w:t>微振动测试报告、谐波谱、整改记录。</w:t>
            </w:r>
          </w:p>
        </w:tc>
        <w:tc>
          <w:tcPr>
            <w:tcW w:type="dxa" w:w="2494"/>
            <w:vAlign w:val="center"/>
          </w:tcPr>
          <w:p>
            <w:pPr>
              <w:jc w:val="left"/>
            </w:pPr>
            <w:r/>
            <w:r>
              <w:rPr>
                <w:rFonts w:ascii="宋体" w:hAnsi="宋体" w:eastAsia="宋体"/>
                <w:b w:val="0"/>
                <w:sz w:val="15"/>
              </w:rPr>
              <w:t>微振动结果满足总体/GNC/载荷分配限值；未下达限值时提交测量数据供系统评估。</w:t>
            </w:r>
          </w:p>
        </w:tc>
      </w:tr>
      <w:tr>
        <w:tc>
          <w:tcPr>
            <w:tcW w:type="dxa" w:w="1020"/>
            <w:vAlign w:val="center"/>
          </w:tcPr>
          <w:p>
            <w:pPr>
              <w:jc w:val="center"/>
            </w:pPr>
            <w:r/>
            <w:r>
              <w:rPr>
                <w:rFonts w:ascii="宋体" w:hAnsi="宋体" w:eastAsia="宋体"/>
                <w:b w:val="0"/>
                <w:sz w:val="15"/>
              </w:rPr>
              <w:t>RW-FUN-004</w:t>
            </w:r>
          </w:p>
        </w:tc>
        <w:tc>
          <w:tcPr>
            <w:tcW w:type="dxa" w:w="1304"/>
            <w:vAlign w:val="center"/>
          </w:tcPr>
          <w:p>
            <w:pPr>
              <w:jc w:val="center"/>
            </w:pPr>
            <w:r/>
            <w:r>
              <w:rPr>
                <w:rFonts w:ascii="宋体" w:hAnsi="宋体" w:eastAsia="宋体"/>
                <w:b w:val="0"/>
                <w:sz w:val="15"/>
              </w:rPr>
              <w:t>热控适配</w:t>
            </w:r>
          </w:p>
        </w:tc>
        <w:tc>
          <w:tcPr>
            <w:tcW w:type="dxa" w:w="3288"/>
            <w:vAlign w:val="center"/>
          </w:tcPr>
          <w:p>
            <w:pPr>
              <w:jc w:val="left"/>
            </w:pPr>
            <w:r/>
            <w:r>
              <w:rPr>
                <w:rFonts w:ascii="宋体" w:hAnsi="宋体" w:eastAsia="宋体"/>
                <w:b w:val="0"/>
                <w:sz w:val="15"/>
              </w:rPr>
              <w:t>飞轮应在任务热环境下保持轴承、绕组、驱动器和结构件温度处于允许范围。</w:t>
            </w:r>
          </w:p>
        </w:tc>
        <w:tc>
          <w:tcPr>
            <w:tcW w:type="dxa" w:w="2268"/>
            <w:vAlign w:val="center"/>
          </w:tcPr>
          <w:p>
            <w:pPr>
              <w:jc w:val="left"/>
            </w:pPr>
            <w:r/>
            <w:r>
              <w:rPr>
                <w:rFonts w:ascii="宋体" w:hAnsi="宋体" w:eastAsia="宋体"/>
                <w:b w:val="0"/>
                <w:sz w:val="15"/>
              </w:rPr>
              <w:t>热分析报告、热试验报告、温度遥测字段表。</w:t>
            </w:r>
          </w:p>
        </w:tc>
        <w:tc>
          <w:tcPr>
            <w:tcW w:type="dxa" w:w="2494"/>
            <w:vAlign w:val="center"/>
          </w:tcPr>
          <w:p>
            <w:pPr>
              <w:jc w:val="left"/>
            </w:pPr>
            <w:r/>
            <w:r>
              <w:rPr>
                <w:rFonts w:ascii="宋体" w:hAnsi="宋体" w:eastAsia="宋体"/>
                <w:b w:val="0"/>
                <w:sz w:val="15"/>
              </w:rPr>
              <w:t>热平衡/热循环/机动热负荷条件下无超温、无保护误触发。</w:t>
            </w:r>
          </w:p>
        </w:tc>
      </w:tr>
      <w:tr>
        <w:tc>
          <w:tcPr>
            <w:tcW w:type="dxa" w:w="1020"/>
            <w:vAlign w:val="center"/>
          </w:tcPr>
          <w:p>
            <w:pPr>
              <w:jc w:val="center"/>
            </w:pPr>
            <w:r/>
            <w:r>
              <w:rPr>
                <w:rFonts w:ascii="宋体" w:hAnsi="宋体" w:eastAsia="宋体"/>
                <w:b w:val="0"/>
                <w:sz w:val="15"/>
              </w:rPr>
              <w:t>RW-FUN-005</w:t>
            </w:r>
          </w:p>
        </w:tc>
        <w:tc>
          <w:tcPr>
            <w:tcW w:type="dxa" w:w="1304"/>
            <w:vAlign w:val="center"/>
          </w:tcPr>
          <w:p>
            <w:pPr>
              <w:jc w:val="center"/>
            </w:pPr>
            <w:r/>
            <w:r>
              <w:rPr>
                <w:rFonts w:ascii="宋体" w:hAnsi="宋体" w:eastAsia="宋体"/>
                <w:b w:val="0"/>
                <w:sz w:val="15"/>
              </w:rPr>
              <w:t>遥测与健康监测</w:t>
            </w:r>
          </w:p>
        </w:tc>
        <w:tc>
          <w:tcPr>
            <w:tcW w:type="dxa" w:w="3288"/>
            <w:vAlign w:val="center"/>
          </w:tcPr>
          <w:p>
            <w:pPr>
              <w:jc w:val="left"/>
            </w:pPr>
            <w:r/>
            <w:r>
              <w:rPr>
                <w:rFonts w:ascii="宋体" w:hAnsi="宋体" w:eastAsia="宋体"/>
                <w:b w:val="0"/>
                <w:sz w:val="15"/>
              </w:rPr>
              <w:t>飞轮应至少提供转速、电流、电压、温度、运行时长、故障码、工作模式、保护状态等遥测。</w:t>
            </w:r>
          </w:p>
        </w:tc>
        <w:tc>
          <w:tcPr>
            <w:tcW w:type="dxa" w:w="2268"/>
            <w:vAlign w:val="center"/>
          </w:tcPr>
          <w:p>
            <w:pPr>
              <w:jc w:val="center"/>
            </w:pPr>
            <w:r/>
            <w:r>
              <w:rPr>
                <w:rFonts w:ascii="宋体" w:hAnsi="宋体" w:eastAsia="宋体"/>
                <w:b w:val="0"/>
                <w:sz w:val="15"/>
              </w:rPr>
              <w:t>遥测字典、数据包格式、健康判据。</w:t>
            </w:r>
          </w:p>
        </w:tc>
        <w:tc>
          <w:tcPr>
            <w:tcW w:type="dxa" w:w="2494"/>
            <w:vAlign w:val="center"/>
          </w:tcPr>
          <w:p>
            <w:pPr>
              <w:jc w:val="left"/>
            </w:pPr>
            <w:r/>
            <w:r>
              <w:rPr>
                <w:rFonts w:ascii="宋体" w:hAnsi="宋体" w:eastAsia="宋体"/>
                <w:b w:val="0"/>
                <w:sz w:val="15"/>
              </w:rPr>
              <w:t>遥测字段完整、单位清楚、时间戳一致，支持RID追溯。</w:t>
            </w:r>
          </w:p>
        </w:tc>
      </w:tr>
      <w:tr>
        <w:tc>
          <w:tcPr>
            <w:tcW w:type="dxa" w:w="1020"/>
            <w:vAlign w:val="center"/>
          </w:tcPr>
          <w:p>
            <w:pPr>
              <w:jc w:val="center"/>
            </w:pPr>
            <w:r/>
            <w:r>
              <w:rPr>
                <w:rFonts w:ascii="宋体" w:hAnsi="宋体" w:eastAsia="宋体"/>
                <w:b w:val="0"/>
                <w:sz w:val="15"/>
              </w:rPr>
              <w:t>RW-FUN-006</w:t>
            </w:r>
          </w:p>
        </w:tc>
        <w:tc>
          <w:tcPr>
            <w:tcW w:type="dxa" w:w="1304"/>
            <w:vAlign w:val="center"/>
          </w:tcPr>
          <w:p>
            <w:pPr>
              <w:jc w:val="center"/>
            </w:pPr>
            <w:r/>
            <w:r>
              <w:rPr>
                <w:rFonts w:ascii="宋体" w:hAnsi="宋体" w:eastAsia="宋体"/>
                <w:b w:val="0"/>
                <w:sz w:val="15"/>
              </w:rPr>
              <w:t>故障保护</w:t>
            </w:r>
          </w:p>
        </w:tc>
        <w:tc>
          <w:tcPr>
            <w:tcW w:type="dxa" w:w="3288"/>
            <w:vAlign w:val="center"/>
          </w:tcPr>
          <w:p>
            <w:pPr>
              <w:jc w:val="left"/>
            </w:pPr>
            <w:r/>
            <w:r>
              <w:rPr>
                <w:rFonts w:ascii="宋体" w:hAnsi="宋体" w:eastAsia="宋体"/>
                <w:b w:val="0"/>
                <w:sz w:val="15"/>
              </w:rPr>
              <w:t>飞轮应具备过流、过压/欠压、超温、超速、堵转、通信异常和驱动异常保护。</w:t>
            </w:r>
          </w:p>
        </w:tc>
        <w:tc>
          <w:tcPr>
            <w:tcW w:type="dxa" w:w="2268"/>
            <w:vAlign w:val="center"/>
          </w:tcPr>
          <w:p>
            <w:pPr>
              <w:jc w:val="center"/>
            </w:pPr>
            <w:r/>
            <w:r>
              <w:rPr>
                <w:rFonts w:ascii="宋体" w:hAnsi="宋体" w:eastAsia="宋体"/>
                <w:b w:val="0"/>
                <w:sz w:val="15"/>
              </w:rPr>
              <w:t>保护逻辑说明、故障注入试验报告。</w:t>
            </w:r>
          </w:p>
        </w:tc>
        <w:tc>
          <w:tcPr>
            <w:tcW w:type="dxa" w:w="2494"/>
            <w:vAlign w:val="center"/>
          </w:tcPr>
          <w:p>
            <w:pPr>
              <w:jc w:val="left"/>
            </w:pPr>
            <w:r/>
            <w:r>
              <w:rPr>
                <w:rFonts w:ascii="宋体" w:hAnsi="宋体" w:eastAsia="宋体"/>
                <w:b w:val="0"/>
                <w:sz w:val="15"/>
              </w:rPr>
              <w:t>故障注入后能进入预定安全状态，保护状态可识别、可记录、可复位。</w:t>
            </w:r>
          </w:p>
        </w:tc>
      </w:tr>
    </w:tbl>
    <w:p/>
    <w:p>
      <w:pPr>
        <w:pStyle w:val="Heading2"/>
      </w:pPr>
      <w:r>
        <w:rPr>
          <w:rFonts w:ascii="宋体" w:hAnsi="宋体" w:eastAsia="宋体"/>
        </w:rPr>
        <w:t>3.5 接口适配要求</w:t>
      </w:r>
    </w:p>
    <w:p>
      <w:pPr>
        <w:spacing w:line="300" w:lineRule="auto" w:after="80"/>
        <w:ind w:firstLine="420"/>
      </w:pPr>
      <w:r>
        <w:rPr>
          <w:rFonts w:ascii="宋体" w:hAnsi="宋体" w:eastAsia="宋体"/>
          <w:b w:val="0"/>
          <w:sz w:val="21"/>
        </w:rPr>
        <w:t>飞轮接口应按接口控制文件进行统一管理。机械、电气、热、信息、接地、EMC和试验接口应在详细设计前完成协调，并在初样阶段通过接口复核和联试验证。</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417"/>
            <w:shd w:fill="4F647A"/>
            <w:vAlign w:val="center"/>
          </w:tcPr>
          <w:p>
            <w:pPr>
              <w:jc w:val="center"/>
            </w:pPr>
            <w:r/>
            <w:r>
              <w:rPr>
                <w:rFonts w:ascii="宋体" w:hAnsi="宋体" w:eastAsia="宋体"/>
                <w:b/>
                <w:color w:val="FFFFFF"/>
                <w:sz w:val="15"/>
              </w:rPr>
              <w:t>接口类别</w:t>
            </w:r>
          </w:p>
        </w:tc>
        <w:tc>
          <w:tcPr>
            <w:tcW w:type="dxa" w:w="3402"/>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721"/>
            <w:shd w:fill="4F647A"/>
            <w:vAlign w:val="center"/>
          </w:tcPr>
          <w:p>
            <w:pPr>
              <w:jc w:val="center"/>
            </w:pPr>
            <w:r/>
            <w:r>
              <w:rPr>
                <w:rFonts w:ascii="宋体" w:hAnsi="宋体" w:eastAsia="宋体"/>
                <w:b/>
                <w:color w:val="FFFFFF"/>
                <w:sz w:val="15"/>
              </w:rPr>
              <w:t>验收准则</w:t>
            </w:r>
          </w:p>
        </w:tc>
      </w:tr>
      <w:tr>
        <w:tc>
          <w:tcPr>
            <w:tcW w:type="dxa" w:w="1417"/>
            <w:vAlign w:val="center"/>
          </w:tcPr>
          <w:p>
            <w:pPr>
              <w:jc w:val="center"/>
            </w:pPr>
            <w:r/>
            <w:r>
              <w:rPr>
                <w:rFonts w:ascii="宋体" w:hAnsi="宋体" w:eastAsia="宋体"/>
                <w:b w:val="0"/>
                <w:sz w:val="15"/>
              </w:rPr>
              <w:t>机械安装接口</w:t>
            </w:r>
          </w:p>
        </w:tc>
        <w:tc>
          <w:tcPr>
            <w:tcW w:type="dxa" w:w="3402"/>
            <w:vAlign w:val="center"/>
          </w:tcPr>
          <w:p>
            <w:pPr>
              <w:jc w:val="left"/>
            </w:pPr>
            <w:r/>
            <w:r>
              <w:rPr>
                <w:rFonts w:ascii="宋体" w:hAnsi="宋体" w:eastAsia="宋体"/>
                <w:b w:val="0"/>
                <w:sz w:val="15"/>
              </w:rPr>
              <w:t>安装面、定位基准、安装孔、紧固件、质心、转动惯量、安装轴向和防松要求应明确。</w:t>
            </w:r>
          </w:p>
        </w:tc>
        <w:tc>
          <w:tcPr>
            <w:tcW w:type="dxa" w:w="2381"/>
            <w:vAlign w:val="center"/>
          </w:tcPr>
          <w:p>
            <w:pPr>
              <w:jc w:val="left"/>
            </w:pPr>
            <w:r/>
            <w:r>
              <w:rPr>
                <w:rFonts w:ascii="宋体" w:hAnsi="宋体" w:eastAsia="宋体"/>
                <w:b w:val="0"/>
                <w:sz w:val="15"/>
              </w:rPr>
              <w:t>机械接口控制文件、安装矩阵、质量特性报告。</w:t>
            </w:r>
          </w:p>
        </w:tc>
        <w:tc>
          <w:tcPr>
            <w:tcW w:type="dxa" w:w="2721"/>
            <w:vAlign w:val="center"/>
          </w:tcPr>
          <w:p>
            <w:pPr>
              <w:jc w:val="left"/>
            </w:pPr>
            <w:r/>
            <w:r>
              <w:rPr>
                <w:rFonts w:ascii="宋体" w:hAnsi="宋体" w:eastAsia="宋体"/>
                <w:b w:val="0"/>
                <w:sz w:val="15"/>
              </w:rPr>
              <w:t>安装方向和安装矩阵与GNC分配一致，安装强度和刚度满足力学环境要求。</w:t>
            </w:r>
          </w:p>
        </w:tc>
      </w:tr>
      <w:tr>
        <w:tc>
          <w:tcPr>
            <w:tcW w:type="dxa" w:w="1417"/>
            <w:vAlign w:val="center"/>
          </w:tcPr>
          <w:p>
            <w:pPr>
              <w:jc w:val="center"/>
            </w:pPr>
            <w:r/>
            <w:r>
              <w:rPr>
                <w:rFonts w:ascii="宋体" w:hAnsi="宋体" w:eastAsia="宋体"/>
                <w:b w:val="0"/>
                <w:sz w:val="15"/>
              </w:rPr>
              <w:t>电源接口</w:t>
            </w:r>
          </w:p>
        </w:tc>
        <w:tc>
          <w:tcPr>
            <w:tcW w:type="dxa" w:w="3402"/>
            <w:vAlign w:val="center"/>
          </w:tcPr>
          <w:p>
            <w:pPr>
              <w:jc w:val="left"/>
            </w:pPr>
            <w:r/>
            <w:r>
              <w:rPr>
                <w:rFonts w:ascii="宋体" w:hAnsi="宋体" w:eastAsia="宋体"/>
                <w:b w:val="0"/>
                <w:sz w:val="15"/>
              </w:rPr>
              <w:t>供电电压范围、启动电流、稳态电流、峰值电流、浪涌、保护和接地要求应明确。</w:t>
            </w:r>
          </w:p>
        </w:tc>
        <w:tc>
          <w:tcPr>
            <w:tcW w:type="dxa" w:w="2381"/>
            <w:vAlign w:val="center"/>
          </w:tcPr>
          <w:p>
            <w:pPr>
              <w:jc w:val="center"/>
            </w:pPr>
            <w:r/>
            <w:r>
              <w:rPr>
                <w:rFonts w:ascii="宋体" w:hAnsi="宋体" w:eastAsia="宋体"/>
                <w:b w:val="0"/>
                <w:sz w:val="15"/>
              </w:rPr>
              <w:t>电源接口说明、电源拉偏试验报告。</w:t>
            </w:r>
          </w:p>
        </w:tc>
        <w:tc>
          <w:tcPr>
            <w:tcW w:type="dxa" w:w="2721"/>
            <w:vAlign w:val="center"/>
          </w:tcPr>
          <w:p>
            <w:pPr>
              <w:jc w:val="left"/>
            </w:pPr>
            <w:r/>
            <w:r>
              <w:rPr>
                <w:rFonts w:ascii="宋体" w:hAnsi="宋体" w:eastAsia="宋体"/>
                <w:b w:val="0"/>
                <w:sz w:val="15"/>
              </w:rPr>
              <w:t>电源拉偏、启动、稳态、机动和故障状态下无异常失效。</w:t>
            </w:r>
          </w:p>
        </w:tc>
      </w:tr>
      <w:tr>
        <w:tc>
          <w:tcPr>
            <w:tcW w:type="dxa" w:w="1417"/>
            <w:vAlign w:val="center"/>
          </w:tcPr>
          <w:p>
            <w:pPr>
              <w:jc w:val="center"/>
            </w:pPr>
            <w:r/>
            <w:r>
              <w:rPr>
                <w:rFonts w:ascii="宋体" w:hAnsi="宋体" w:eastAsia="宋体"/>
                <w:b w:val="0"/>
                <w:sz w:val="15"/>
              </w:rPr>
              <w:t>数据接口</w:t>
            </w:r>
          </w:p>
        </w:tc>
        <w:tc>
          <w:tcPr>
            <w:tcW w:type="dxa" w:w="3402"/>
            <w:vAlign w:val="center"/>
          </w:tcPr>
          <w:p>
            <w:pPr>
              <w:jc w:val="left"/>
            </w:pPr>
            <w:r/>
            <w:r>
              <w:rPr>
                <w:rFonts w:ascii="宋体" w:hAnsi="宋体" w:eastAsia="宋体"/>
                <w:b w:val="0"/>
                <w:sz w:val="15"/>
              </w:rPr>
              <w:t>通信协议、指令字、遥测字、时间戳、故障码、软件/固件版本号应明确。</w:t>
            </w:r>
          </w:p>
        </w:tc>
        <w:tc>
          <w:tcPr>
            <w:tcW w:type="dxa" w:w="2381"/>
            <w:vAlign w:val="center"/>
          </w:tcPr>
          <w:p>
            <w:pPr>
              <w:jc w:val="left"/>
            </w:pPr>
            <w:r/>
            <w:r>
              <w:rPr>
                <w:rFonts w:ascii="宋体" w:hAnsi="宋体" w:eastAsia="宋体"/>
                <w:b w:val="0"/>
                <w:sz w:val="15"/>
              </w:rPr>
              <w:t>通信协议ICD、遥测字典、接口联试记录。</w:t>
            </w:r>
          </w:p>
        </w:tc>
        <w:tc>
          <w:tcPr>
            <w:tcW w:type="dxa" w:w="2721"/>
            <w:vAlign w:val="center"/>
          </w:tcPr>
          <w:p>
            <w:pPr>
              <w:jc w:val="left"/>
            </w:pPr>
            <w:r/>
            <w:r>
              <w:rPr>
                <w:rFonts w:ascii="宋体" w:hAnsi="宋体" w:eastAsia="宋体"/>
                <w:b w:val="0"/>
                <w:sz w:val="15"/>
              </w:rPr>
              <w:t>接口帧格式正确，异常通信条件下可检测、可隔离、可恢复。</w:t>
            </w:r>
          </w:p>
        </w:tc>
      </w:tr>
      <w:tr>
        <w:tc>
          <w:tcPr>
            <w:tcW w:type="dxa" w:w="1417"/>
            <w:vAlign w:val="center"/>
          </w:tcPr>
          <w:p>
            <w:pPr>
              <w:jc w:val="center"/>
            </w:pPr>
            <w:r/>
            <w:r>
              <w:rPr>
                <w:rFonts w:ascii="宋体" w:hAnsi="宋体" w:eastAsia="宋体"/>
                <w:b w:val="0"/>
                <w:sz w:val="15"/>
              </w:rPr>
              <w:t>热接口</w:t>
            </w:r>
          </w:p>
        </w:tc>
        <w:tc>
          <w:tcPr>
            <w:tcW w:type="dxa" w:w="3402"/>
            <w:vAlign w:val="center"/>
          </w:tcPr>
          <w:p>
            <w:pPr>
              <w:jc w:val="left"/>
            </w:pPr>
            <w:r/>
            <w:r>
              <w:rPr>
                <w:rFonts w:ascii="宋体" w:hAnsi="宋体" w:eastAsia="宋体"/>
                <w:b w:val="0"/>
                <w:sz w:val="15"/>
              </w:rPr>
              <w:t>热安装面、导热路径、温度测点、热控边界和热试验条件应明确。</w:t>
            </w:r>
          </w:p>
        </w:tc>
        <w:tc>
          <w:tcPr>
            <w:tcW w:type="dxa" w:w="2381"/>
            <w:vAlign w:val="center"/>
          </w:tcPr>
          <w:p>
            <w:pPr>
              <w:jc w:val="left"/>
            </w:pPr>
            <w:r/>
            <w:r>
              <w:rPr>
                <w:rFonts w:ascii="宋体" w:hAnsi="宋体" w:eastAsia="宋体"/>
                <w:b w:val="0"/>
                <w:sz w:val="15"/>
              </w:rPr>
              <w:t>热接口说明、温度测点表、热试验报告。</w:t>
            </w:r>
          </w:p>
        </w:tc>
        <w:tc>
          <w:tcPr>
            <w:tcW w:type="dxa" w:w="2721"/>
            <w:vAlign w:val="center"/>
          </w:tcPr>
          <w:p>
            <w:pPr>
              <w:jc w:val="left"/>
            </w:pPr>
            <w:r/>
            <w:r>
              <w:rPr>
                <w:rFonts w:ascii="宋体" w:hAnsi="宋体" w:eastAsia="宋体"/>
                <w:b w:val="0"/>
                <w:sz w:val="15"/>
              </w:rPr>
              <w:t>各关键温度点满足限值，热控裕度可说明。</w:t>
            </w:r>
          </w:p>
        </w:tc>
      </w:tr>
      <w:tr>
        <w:tc>
          <w:tcPr>
            <w:tcW w:type="dxa" w:w="1417"/>
            <w:vAlign w:val="center"/>
          </w:tcPr>
          <w:p>
            <w:pPr>
              <w:jc w:val="center"/>
            </w:pPr>
            <w:r/>
            <w:r>
              <w:rPr>
                <w:rFonts w:ascii="宋体" w:hAnsi="宋体" w:eastAsia="宋体"/>
                <w:b w:val="0"/>
                <w:sz w:val="15"/>
              </w:rPr>
              <w:t>EMC/接地接口</w:t>
            </w:r>
          </w:p>
        </w:tc>
        <w:tc>
          <w:tcPr>
            <w:tcW w:type="dxa" w:w="3402"/>
            <w:vAlign w:val="center"/>
          </w:tcPr>
          <w:p>
            <w:pPr>
              <w:jc w:val="left"/>
            </w:pPr>
            <w:r/>
            <w:r>
              <w:rPr>
                <w:rFonts w:ascii="宋体" w:hAnsi="宋体" w:eastAsia="宋体"/>
                <w:b w:val="0"/>
                <w:sz w:val="15"/>
              </w:rPr>
              <w:t>传导、辐射、静电、搭接、屏蔽和接地策略应明确。</w:t>
            </w:r>
          </w:p>
        </w:tc>
        <w:tc>
          <w:tcPr>
            <w:tcW w:type="dxa" w:w="2381"/>
            <w:vAlign w:val="center"/>
          </w:tcPr>
          <w:p>
            <w:pPr>
              <w:jc w:val="left"/>
            </w:pPr>
            <w:r/>
            <w:r>
              <w:rPr>
                <w:rFonts w:ascii="宋体" w:hAnsi="宋体" w:eastAsia="宋体"/>
                <w:b w:val="0"/>
                <w:sz w:val="15"/>
              </w:rPr>
              <w:t>EMC设计报告、接地搭接说明、试验报告。</w:t>
            </w:r>
          </w:p>
        </w:tc>
        <w:tc>
          <w:tcPr>
            <w:tcW w:type="dxa" w:w="2721"/>
            <w:vAlign w:val="center"/>
          </w:tcPr>
          <w:p>
            <w:pPr>
              <w:jc w:val="left"/>
            </w:pPr>
            <w:r/>
            <w:r>
              <w:rPr>
                <w:rFonts w:ascii="宋体" w:hAnsi="宋体" w:eastAsia="宋体"/>
                <w:b w:val="0"/>
                <w:sz w:val="15"/>
              </w:rPr>
              <w:t>EMC测试通过，未对GNC敏感测量和通信产生不可接受干扰。</w:t>
            </w:r>
          </w:p>
        </w:tc>
      </w:tr>
    </w:tbl>
    <w:p/>
    <w:p>
      <w:pPr>
        <w:pStyle w:val="Heading2"/>
      </w:pPr>
      <w:r>
        <w:rPr>
          <w:rFonts w:ascii="宋体" w:hAnsi="宋体" w:eastAsia="宋体"/>
        </w:rPr>
        <w:t>3.6 轴承组件筛选要求</w:t>
      </w:r>
    </w:p>
    <w:p>
      <w:pPr>
        <w:spacing w:line="300" w:lineRule="auto" w:after="80"/>
        <w:ind w:firstLine="420"/>
      </w:pPr>
      <w:r>
        <w:rPr>
          <w:rFonts w:ascii="宋体" w:hAnsi="宋体" w:eastAsia="宋体"/>
          <w:b w:val="0"/>
          <w:sz w:val="21"/>
        </w:rPr>
        <w:t>轴承组件为飞轮寿命、噪声、摩擦、启动、热稳定和微振动控制的核心关键件，应进行加严筛选。筛选要求应作为供方过程控制、强制检验点和验收放行条件。</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624"/>
            <w:shd w:fill="4F647A"/>
            <w:vAlign w:val="center"/>
          </w:tcPr>
          <w:p>
            <w:pPr>
              <w:jc w:val="center"/>
            </w:pPr>
            <w:r/>
            <w:r>
              <w:rPr>
                <w:rFonts w:ascii="宋体" w:hAnsi="宋体" w:eastAsia="宋体"/>
                <w:b/>
                <w:color w:val="FFFFFF"/>
                <w:sz w:val="15"/>
              </w:rPr>
              <w:t>序号</w:t>
            </w:r>
          </w:p>
        </w:tc>
        <w:tc>
          <w:tcPr>
            <w:tcW w:type="dxa" w:w="1757"/>
            <w:shd w:fill="4F647A"/>
            <w:vAlign w:val="center"/>
          </w:tcPr>
          <w:p>
            <w:pPr>
              <w:jc w:val="center"/>
            </w:pPr>
            <w:r/>
            <w:r>
              <w:rPr>
                <w:rFonts w:ascii="宋体" w:hAnsi="宋体" w:eastAsia="宋体"/>
                <w:b/>
                <w:color w:val="FFFFFF"/>
                <w:sz w:val="15"/>
              </w:rPr>
              <w:t>指标名称</w:t>
            </w:r>
          </w:p>
        </w:tc>
        <w:tc>
          <w:tcPr>
            <w:tcW w:type="dxa" w:w="1474"/>
            <w:shd w:fill="4F647A"/>
            <w:vAlign w:val="center"/>
          </w:tcPr>
          <w:p>
            <w:pPr>
              <w:jc w:val="center"/>
            </w:pPr>
            <w:r/>
            <w:r>
              <w:rPr>
                <w:rFonts w:ascii="宋体" w:hAnsi="宋体" w:eastAsia="宋体"/>
                <w:b/>
                <w:color w:val="FFFFFF"/>
                <w:sz w:val="15"/>
              </w:rPr>
              <w:t>修改前要求</w:t>
            </w:r>
          </w:p>
        </w:tc>
        <w:tc>
          <w:tcPr>
            <w:tcW w:type="dxa" w:w="1474"/>
            <w:shd w:fill="4F647A"/>
            <w:vAlign w:val="center"/>
          </w:tcPr>
          <w:p>
            <w:pPr>
              <w:jc w:val="center"/>
            </w:pPr>
            <w:r/>
            <w:r>
              <w:rPr>
                <w:rFonts w:ascii="宋体" w:hAnsi="宋体" w:eastAsia="宋体"/>
                <w:b/>
                <w:color w:val="FFFFFF"/>
                <w:sz w:val="15"/>
              </w:rPr>
              <w:t>修改后要求</w:t>
            </w:r>
          </w:p>
        </w:tc>
        <w:tc>
          <w:tcPr>
            <w:tcW w:type="dxa" w:w="3969"/>
            <w:shd w:fill="4F647A"/>
            <w:vAlign w:val="center"/>
          </w:tcPr>
          <w:p>
            <w:pPr>
              <w:jc w:val="center"/>
            </w:pPr>
            <w:r/>
            <w:r>
              <w:rPr>
                <w:rFonts w:ascii="宋体" w:hAnsi="宋体" w:eastAsia="宋体"/>
                <w:b/>
                <w:color w:val="FFFFFF"/>
                <w:sz w:val="15"/>
              </w:rPr>
              <w:t>验收准则</w:t>
            </w:r>
          </w:p>
        </w:tc>
      </w:tr>
      <w:tr>
        <w:tc>
          <w:tcPr>
            <w:tcW w:type="dxa" w:w="624"/>
            <w:vAlign w:val="center"/>
          </w:tcPr>
          <w:p>
            <w:pPr>
              <w:jc w:val="center"/>
            </w:pPr>
            <w:r/>
            <w:r>
              <w:rPr>
                <w:rFonts w:ascii="宋体" w:hAnsi="宋体" w:eastAsia="宋体"/>
                <w:b w:val="0"/>
                <w:sz w:val="15"/>
              </w:rPr>
              <w:t>1</w:t>
            </w:r>
          </w:p>
        </w:tc>
        <w:tc>
          <w:tcPr>
            <w:tcW w:type="dxa" w:w="1757"/>
            <w:vAlign w:val="center"/>
          </w:tcPr>
          <w:p>
            <w:pPr>
              <w:jc w:val="center"/>
            </w:pPr>
            <w:r/>
            <w:r>
              <w:rPr>
                <w:rFonts w:ascii="宋体" w:hAnsi="宋体" w:eastAsia="宋体"/>
                <w:b w:val="0"/>
                <w:sz w:val="15"/>
              </w:rPr>
              <w:t>惯性滑行时间</w:t>
            </w:r>
          </w:p>
        </w:tc>
        <w:tc>
          <w:tcPr>
            <w:tcW w:type="dxa" w:w="1474"/>
            <w:vAlign w:val="center"/>
          </w:tcPr>
          <w:p>
            <w:pPr>
              <w:jc w:val="center"/>
            </w:pPr>
            <w:r/>
            <w:r>
              <w:rPr>
                <w:rFonts w:ascii="宋体" w:hAnsi="宋体" w:eastAsia="宋体"/>
                <w:b w:val="0"/>
                <w:sz w:val="15"/>
              </w:rPr>
              <w:t>≥210 s</w:t>
            </w:r>
          </w:p>
        </w:tc>
        <w:tc>
          <w:tcPr>
            <w:tcW w:type="dxa" w:w="1474"/>
            <w:vAlign w:val="center"/>
          </w:tcPr>
          <w:p>
            <w:pPr>
              <w:jc w:val="center"/>
            </w:pPr>
            <w:r/>
            <w:r>
              <w:rPr>
                <w:rFonts w:ascii="宋体" w:hAnsi="宋体" w:eastAsia="宋体"/>
                <w:b w:val="0"/>
                <w:sz w:val="15"/>
              </w:rPr>
              <w:t>≥250 s</w:t>
            </w:r>
          </w:p>
        </w:tc>
        <w:tc>
          <w:tcPr>
            <w:tcW w:type="dxa" w:w="3969"/>
            <w:vAlign w:val="center"/>
          </w:tcPr>
          <w:p>
            <w:pPr>
              <w:jc w:val="left"/>
            </w:pPr>
            <w:r/>
            <w:r>
              <w:rPr>
                <w:rFonts w:ascii="宋体" w:hAnsi="宋体" w:eastAsia="宋体"/>
                <w:b w:val="0"/>
                <w:sz w:val="15"/>
              </w:rPr>
              <w:t>每套轴承组件实测值不低于250 s；原始曲线、计算方法和判定结论一并归档。</w:t>
            </w:r>
          </w:p>
        </w:tc>
      </w:tr>
      <w:tr>
        <w:tc>
          <w:tcPr>
            <w:tcW w:type="dxa" w:w="624"/>
            <w:vAlign w:val="center"/>
          </w:tcPr>
          <w:p>
            <w:pPr>
              <w:jc w:val="center"/>
            </w:pPr>
            <w:r/>
            <w:r>
              <w:rPr>
                <w:rFonts w:ascii="宋体" w:hAnsi="宋体" w:eastAsia="宋体"/>
                <w:b w:val="0"/>
                <w:sz w:val="15"/>
              </w:rPr>
              <w:t>2</w:t>
            </w:r>
          </w:p>
        </w:tc>
        <w:tc>
          <w:tcPr>
            <w:tcW w:type="dxa" w:w="1757"/>
            <w:vAlign w:val="center"/>
          </w:tcPr>
          <w:p>
            <w:pPr>
              <w:jc w:val="center"/>
            </w:pPr>
            <w:r/>
            <w:r>
              <w:rPr>
                <w:rFonts w:ascii="宋体" w:hAnsi="宋体" w:eastAsia="宋体"/>
                <w:b w:val="0"/>
                <w:sz w:val="15"/>
              </w:rPr>
              <w:t>启动摩擦力矩</w:t>
            </w:r>
          </w:p>
        </w:tc>
        <w:tc>
          <w:tcPr>
            <w:tcW w:type="dxa" w:w="1474"/>
            <w:vAlign w:val="center"/>
          </w:tcPr>
          <w:p>
            <w:pPr>
              <w:jc w:val="center"/>
            </w:pPr>
            <w:r/>
            <w:r>
              <w:rPr>
                <w:rFonts w:ascii="宋体" w:hAnsi="宋体" w:eastAsia="宋体"/>
                <w:b w:val="0"/>
                <w:sz w:val="15"/>
              </w:rPr>
              <w:t>≤0.005 N·m</w:t>
            </w:r>
          </w:p>
        </w:tc>
        <w:tc>
          <w:tcPr>
            <w:tcW w:type="dxa" w:w="1474"/>
            <w:vAlign w:val="center"/>
          </w:tcPr>
          <w:p>
            <w:pPr>
              <w:jc w:val="center"/>
            </w:pPr>
            <w:r/>
            <w:r>
              <w:rPr>
                <w:rFonts w:ascii="宋体" w:hAnsi="宋体" w:eastAsia="宋体"/>
                <w:b w:val="0"/>
                <w:sz w:val="15"/>
              </w:rPr>
              <w:t>≤0.004 N·m</w:t>
            </w:r>
          </w:p>
        </w:tc>
        <w:tc>
          <w:tcPr>
            <w:tcW w:type="dxa" w:w="3969"/>
            <w:vAlign w:val="center"/>
          </w:tcPr>
          <w:p>
            <w:pPr>
              <w:jc w:val="left"/>
            </w:pPr>
            <w:r/>
            <w:r>
              <w:rPr>
                <w:rFonts w:ascii="宋体" w:hAnsi="宋体" w:eastAsia="宋体"/>
                <w:b w:val="0"/>
                <w:sz w:val="15"/>
              </w:rPr>
              <w:t>启动摩擦力矩实测值不高于0.004 N·m；异常点需复测并形成原因说明。</w:t>
            </w:r>
          </w:p>
        </w:tc>
      </w:tr>
      <w:tr>
        <w:tc>
          <w:tcPr>
            <w:tcW w:type="dxa" w:w="624"/>
            <w:vAlign w:val="center"/>
          </w:tcPr>
          <w:p>
            <w:pPr>
              <w:jc w:val="center"/>
            </w:pPr>
            <w:r/>
            <w:r>
              <w:rPr>
                <w:rFonts w:ascii="宋体" w:hAnsi="宋体" w:eastAsia="宋体"/>
                <w:b w:val="0"/>
                <w:sz w:val="15"/>
              </w:rPr>
              <w:t>3</w:t>
            </w:r>
          </w:p>
        </w:tc>
        <w:tc>
          <w:tcPr>
            <w:tcW w:type="dxa" w:w="1757"/>
            <w:vAlign w:val="center"/>
          </w:tcPr>
          <w:p>
            <w:pPr>
              <w:jc w:val="center"/>
            </w:pPr>
            <w:r/>
            <w:r>
              <w:rPr>
                <w:rFonts w:ascii="宋体" w:hAnsi="宋体" w:eastAsia="宋体"/>
                <w:b w:val="0"/>
                <w:sz w:val="15"/>
              </w:rPr>
              <w:t>常温跑合电流</w:t>
            </w:r>
          </w:p>
        </w:tc>
        <w:tc>
          <w:tcPr>
            <w:tcW w:type="dxa" w:w="1474"/>
            <w:vAlign w:val="center"/>
          </w:tcPr>
          <w:p>
            <w:pPr>
              <w:jc w:val="center"/>
            </w:pPr>
            <w:r/>
            <w:r>
              <w:rPr>
                <w:rFonts w:ascii="宋体" w:hAnsi="宋体" w:eastAsia="宋体"/>
                <w:b w:val="0"/>
                <w:sz w:val="15"/>
              </w:rPr>
              <w:t>≤250 mA</w:t>
            </w:r>
          </w:p>
        </w:tc>
        <w:tc>
          <w:tcPr>
            <w:tcW w:type="dxa" w:w="1474"/>
            <w:vAlign w:val="center"/>
          </w:tcPr>
          <w:p>
            <w:pPr>
              <w:jc w:val="center"/>
            </w:pPr>
            <w:r/>
            <w:r>
              <w:rPr>
                <w:rFonts w:ascii="宋体" w:hAnsi="宋体" w:eastAsia="宋体"/>
                <w:b w:val="0"/>
                <w:sz w:val="15"/>
              </w:rPr>
              <w:t>≤220 mA</w:t>
            </w:r>
          </w:p>
        </w:tc>
        <w:tc>
          <w:tcPr>
            <w:tcW w:type="dxa" w:w="3969"/>
            <w:vAlign w:val="center"/>
          </w:tcPr>
          <w:p>
            <w:pPr>
              <w:jc w:val="left"/>
            </w:pPr>
            <w:r/>
            <w:r>
              <w:rPr>
                <w:rFonts w:ascii="宋体" w:hAnsi="宋体" w:eastAsia="宋体"/>
                <w:b w:val="0"/>
                <w:sz w:val="15"/>
              </w:rPr>
              <w:t>常温跑合稳定段电流不高于220 mA；应给出采样区间、平均值和最大值。</w:t>
            </w:r>
          </w:p>
        </w:tc>
      </w:tr>
      <w:tr>
        <w:tc>
          <w:tcPr>
            <w:tcW w:type="dxa" w:w="624"/>
            <w:vAlign w:val="center"/>
          </w:tcPr>
          <w:p>
            <w:pPr>
              <w:jc w:val="center"/>
            </w:pPr>
            <w:r/>
            <w:r>
              <w:rPr>
                <w:rFonts w:ascii="宋体" w:hAnsi="宋体" w:eastAsia="宋体"/>
                <w:b w:val="0"/>
                <w:sz w:val="15"/>
              </w:rPr>
              <w:t>4</w:t>
            </w:r>
          </w:p>
        </w:tc>
        <w:tc>
          <w:tcPr>
            <w:tcW w:type="dxa" w:w="1757"/>
            <w:vAlign w:val="center"/>
          </w:tcPr>
          <w:p>
            <w:pPr>
              <w:jc w:val="center"/>
            </w:pPr>
            <w:r/>
            <w:r>
              <w:rPr>
                <w:rFonts w:ascii="宋体" w:hAnsi="宋体" w:eastAsia="宋体"/>
                <w:b w:val="0"/>
                <w:sz w:val="15"/>
              </w:rPr>
              <w:t>跑合时间</w:t>
            </w:r>
          </w:p>
        </w:tc>
        <w:tc>
          <w:tcPr>
            <w:tcW w:type="dxa" w:w="1474"/>
            <w:vAlign w:val="center"/>
          </w:tcPr>
          <w:p>
            <w:pPr>
              <w:jc w:val="center"/>
            </w:pPr>
            <w:r/>
            <w:r>
              <w:rPr>
                <w:rFonts w:ascii="宋体" w:hAnsi="宋体" w:eastAsia="宋体"/>
                <w:b w:val="0"/>
                <w:sz w:val="15"/>
              </w:rPr>
              <w:t>≥200 h</w:t>
            </w:r>
          </w:p>
        </w:tc>
        <w:tc>
          <w:tcPr>
            <w:tcW w:type="dxa" w:w="1474"/>
            <w:vAlign w:val="center"/>
          </w:tcPr>
          <w:p>
            <w:pPr>
              <w:jc w:val="center"/>
            </w:pPr>
            <w:r/>
            <w:r>
              <w:rPr>
                <w:rFonts w:ascii="宋体" w:hAnsi="宋体" w:eastAsia="宋体"/>
                <w:b w:val="0"/>
                <w:sz w:val="15"/>
              </w:rPr>
              <w:t>≥250 h</w:t>
            </w:r>
          </w:p>
        </w:tc>
        <w:tc>
          <w:tcPr>
            <w:tcW w:type="dxa" w:w="3969"/>
            <w:vAlign w:val="center"/>
          </w:tcPr>
          <w:p>
            <w:pPr>
              <w:jc w:val="left"/>
            </w:pPr>
            <w:r/>
            <w:r>
              <w:rPr>
                <w:rFonts w:ascii="宋体" w:hAnsi="宋体" w:eastAsia="宋体"/>
                <w:b w:val="0"/>
                <w:sz w:val="15"/>
              </w:rPr>
              <w:t>跑合时间不少于250 h；跑合曲线、温度、电流和异常记录完整。</w:t>
            </w:r>
          </w:p>
        </w:tc>
      </w:tr>
    </w:tbl>
    <w:p/>
    <w:p>
      <w:pPr>
        <w:spacing w:line="300" w:lineRule="auto" w:after="80"/>
        <w:ind w:firstLine="420"/>
      </w:pPr>
      <w:r>
        <w:rPr>
          <w:rFonts w:ascii="宋体" w:hAnsi="宋体" w:eastAsia="宋体"/>
          <w:b w:val="0"/>
          <w:sz w:val="21"/>
        </w:rPr>
        <w:t>承研单位应提交轴承组件筛选方案、筛选记录、异常处理记录、筛选结论和批次追溯信息。未经筛选放行的轴承组件不得进入飞轮整机装配。</w:t>
      </w:r>
    </w:p>
    <w:p>
      <w:pPr>
        <w:pStyle w:val="Heading2"/>
      </w:pPr>
      <w:r>
        <w:rPr>
          <w:rFonts w:ascii="宋体" w:hAnsi="宋体" w:eastAsia="宋体"/>
        </w:rPr>
        <w:t>3.7 寿命试验要求</w:t>
      </w:r>
    </w:p>
    <w:p>
      <w:pPr>
        <w:spacing w:line="300" w:lineRule="auto" w:after="80"/>
        <w:ind w:firstLine="420"/>
      </w:pPr>
      <w:r>
        <w:rPr>
          <w:rFonts w:ascii="宋体" w:hAnsi="宋体" w:eastAsia="宋体"/>
          <w:b w:val="0"/>
          <w:sz w:val="21"/>
        </w:rPr>
        <w:t>飞轮应补充开展寿命试验。寿命试验应在方案评审后实施，试验样本、试验剖面、数据采集、异常判据、寿命评估方法和报告格式应在寿命试验方案中明确。</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134"/>
            <w:shd w:fill="4F647A"/>
            <w:vAlign w:val="center"/>
          </w:tcPr>
          <w:p>
            <w:pPr>
              <w:jc w:val="center"/>
            </w:pPr>
            <w:r/>
            <w:r>
              <w:rPr>
                <w:rFonts w:ascii="宋体" w:hAnsi="宋体" w:eastAsia="宋体"/>
                <w:b/>
                <w:color w:val="FFFFFF"/>
                <w:sz w:val="15"/>
              </w:rPr>
              <w:t>编号</w:t>
            </w:r>
          </w:p>
        </w:tc>
        <w:tc>
          <w:tcPr>
            <w:tcW w:type="dxa" w:w="3402"/>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948"/>
            <w:shd w:fill="4F647A"/>
            <w:vAlign w:val="center"/>
          </w:tcPr>
          <w:p>
            <w:pPr>
              <w:jc w:val="center"/>
            </w:pPr>
            <w:r/>
            <w:r>
              <w:rPr>
                <w:rFonts w:ascii="宋体" w:hAnsi="宋体" w:eastAsia="宋体"/>
                <w:b/>
                <w:color w:val="FFFFFF"/>
                <w:sz w:val="15"/>
              </w:rPr>
              <w:t>验收准则</w:t>
            </w:r>
          </w:p>
        </w:tc>
      </w:tr>
      <w:tr>
        <w:tc>
          <w:tcPr>
            <w:tcW w:type="dxa" w:w="1134"/>
            <w:vAlign w:val="center"/>
          </w:tcPr>
          <w:p>
            <w:pPr>
              <w:jc w:val="center"/>
            </w:pPr>
            <w:r/>
            <w:r>
              <w:rPr>
                <w:rFonts w:ascii="宋体" w:hAnsi="宋体" w:eastAsia="宋体"/>
                <w:b w:val="0"/>
                <w:sz w:val="15"/>
              </w:rPr>
              <w:t>RW-LIFE-001</w:t>
            </w:r>
          </w:p>
        </w:tc>
        <w:tc>
          <w:tcPr>
            <w:tcW w:type="dxa" w:w="3402"/>
            <w:vAlign w:val="center"/>
          </w:tcPr>
          <w:p>
            <w:pPr>
              <w:jc w:val="left"/>
            </w:pPr>
            <w:r/>
            <w:r>
              <w:rPr>
                <w:rFonts w:ascii="宋体" w:hAnsi="宋体" w:eastAsia="宋体"/>
                <w:b w:val="0"/>
                <w:sz w:val="15"/>
              </w:rPr>
              <w:t>应投产两个寿命试验样本，开展1:1不间断寿命试验。</w:t>
            </w:r>
          </w:p>
        </w:tc>
        <w:tc>
          <w:tcPr>
            <w:tcW w:type="dxa" w:w="2381"/>
            <w:vAlign w:val="center"/>
          </w:tcPr>
          <w:p>
            <w:pPr>
              <w:jc w:val="center"/>
            </w:pPr>
            <w:r/>
            <w:r>
              <w:rPr>
                <w:rFonts w:ascii="宋体" w:hAnsi="宋体" w:eastAsia="宋体"/>
                <w:b w:val="0"/>
                <w:sz w:val="15"/>
              </w:rPr>
              <w:t>寿命试验方案、样本履历、投产记录。</w:t>
            </w:r>
          </w:p>
        </w:tc>
        <w:tc>
          <w:tcPr>
            <w:tcW w:type="dxa" w:w="2948"/>
            <w:vAlign w:val="center"/>
          </w:tcPr>
          <w:p>
            <w:pPr>
              <w:jc w:val="left"/>
            </w:pPr>
            <w:r/>
            <w:r>
              <w:rPr>
                <w:rFonts w:ascii="宋体" w:hAnsi="宋体" w:eastAsia="宋体"/>
                <w:b w:val="0"/>
                <w:sz w:val="15"/>
              </w:rPr>
              <w:t>样本状态、关键件批次、装配和测试记录完整，方案经评审后实施。</w:t>
            </w:r>
          </w:p>
        </w:tc>
      </w:tr>
      <w:tr>
        <w:tc>
          <w:tcPr>
            <w:tcW w:type="dxa" w:w="1134"/>
            <w:vAlign w:val="center"/>
          </w:tcPr>
          <w:p>
            <w:pPr>
              <w:jc w:val="center"/>
            </w:pPr>
            <w:r/>
            <w:r>
              <w:rPr>
                <w:rFonts w:ascii="宋体" w:hAnsi="宋体" w:eastAsia="宋体"/>
                <w:b w:val="0"/>
                <w:sz w:val="15"/>
              </w:rPr>
              <w:t>RW-LIFE-002</w:t>
            </w:r>
          </w:p>
        </w:tc>
        <w:tc>
          <w:tcPr>
            <w:tcW w:type="dxa" w:w="3402"/>
            <w:vAlign w:val="center"/>
          </w:tcPr>
          <w:p>
            <w:pPr>
              <w:jc w:val="left"/>
            </w:pPr>
            <w:r/>
            <w:r>
              <w:rPr>
                <w:rFonts w:ascii="宋体" w:hAnsi="宋体" w:eastAsia="宋体"/>
                <w:b w:val="0"/>
                <w:sz w:val="15"/>
              </w:rPr>
              <w:t>寿命试验转速剖面应覆盖正反转、高低速、启停、稳态运行和典型任务循环。</w:t>
            </w:r>
          </w:p>
        </w:tc>
        <w:tc>
          <w:tcPr>
            <w:tcW w:type="dxa" w:w="2381"/>
            <w:vAlign w:val="center"/>
          </w:tcPr>
          <w:p>
            <w:pPr>
              <w:jc w:val="left"/>
            </w:pPr>
            <w:r/>
            <w:r>
              <w:rPr>
                <w:rFonts w:ascii="宋体" w:hAnsi="宋体" w:eastAsia="宋体"/>
                <w:b w:val="0"/>
                <w:sz w:val="15"/>
              </w:rPr>
              <w:t>寿命试验剖面、转速/电流/温度曲线。</w:t>
            </w:r>
          </w:p>
        </w:tc>
        <w:tc>
          <w:tcPr>
            <w:tcW w:type="dxa" w:w="2948"/>
            <w:vAlign w:val="center"/>
          </w:tcPr>
          <w:p>
            <w:pPr>
              <w:jc w:val="left"/>
            </w:pPr>
            <w:r/>
            <w:r>
              <w:rPr>
                <w:rFonts w:ascii="宋体" w:hAnsi="宋体" w:eastAsia="宋体"/>
                <w:b w:val="0"/>
                <w:sz w:val="15"/>
              </w:rPr>
              <w:t>试验剖面与GNC任务剖面、公开型号任务包络和总体要求之间形成对应说明。</w:t>
            </w:r>
          </w:p>
        </w:tc>
      </w:tr>
      <w:tr>
        <w:tc>
          <w:tcPr>
            <w:tcW w:type="dxa" w:w="1134"/>
            <w:vAlign w:val="center"/>
          </w:tcPr>
          <w:p>
            <w:pPr>
              <w:jc w:val="center"/>
            </w:pPr>
            <w:r/>
            <w:r>
              <w:rPr>
                <w:rFonts w:ascii="宋体" w:hAnsi="宋体" w:eastAsia="宋体"/>
                <w:b w:val="0"/>
                <w:sz w:val="15"/>
              </w:rPr>
              <w:t>RW-LIFE-003</w:t>
            </w:r>
          </w:p>
        </w:tc>
        <w:tc>
          <w:tcPr>
            <w:tcW w:type="dxa" w:w="3402"/>
            <w:vAlign w:val="center"/>
          </w:tcPr>
          <w:p>
            <w:pPr>
              <w:jc w:val="left"/>
            </w:pPr>
            <w:r/>
            <w:r>
              <w:rPr>
                <w:rFonts w:ascii="宋体" w:hAnsi="宋体" w:eastAsia="宋体"/>
                <w:b w:val="0"/>
                <w:sz w:val="15"/>
              </w:rPr>
              <w:t>寿命试验过程应连续记录转速、电流、温度、振动、异常状态和运行累计时间。</w:t>
            </w:r>
          </w:p>
        </w:tc>
        <w:tc>
          <w:tcPr>
            <w:tcW w:type="dxa" w:w="2381"/>
            <w:vAlign w:val="center"/>
          </w:tcPr>
          <w:p>
            <w:pPr>
              <w:jc w:val="left"/>
            </w:pPr>
            <w:r/>
            <w:r>
              <w:rPr>
                <w:rFonts w:ascii="宋体" w:hAnsi="宋体" w:eastAsia="宋体"/>
                <w:b w:val="0"/>
                <w:sz w:val="15"/>
              </w:rPr>
              <w:t>原始数据包、数据处理说明、异常记录。</w:t>
            </w:r>
          </w:p>
        </w:tc>
        <w:tc>
          <w:tcPr>
            <w:tcW w:type="dxa" w:w="2948"/>
            <w:vAlign w:val="center"/>
          </w:tcPr>
          <w:p>
            <w:pPr>
              <w:jc w:val="left"/>
            </w:pPr>
            <w:r/>
            <w:r>
              <w:rPr>
                <w:rFonts w:ascii="宋体" w:hAnsi="宋体" w:eastAsia="宋体"/>
                <w:b w:val="0"/>
                <w:sz w:val="15"/>
              </w:rPr>
              <w:t>数据连续、时间戳一致、异常可追溯，关键数据支持复核。</w:t>
            </w:r>
          </w:p>
        </w:tc>
      </w:tr>
      <w:tr>
        <w:tc>
          <w:tcPr>
            <w:tcW w:type="dxa" w:w="1134"/>
            <w:vAlign w:val="center"/>
          </w:tcPr>
          <w:p>
            <w:pPr>
              <w:jc w:val="center"/>
            </w:pPr>
            <w:r/>
            <w:r>
              <w:rPr>
                <w:rFonts w:ascii="宋体" w:hAnsi="宋体" w:eastAsia="宋体"/>
                <w:b w:val="0"/>
                <w:sz w:val="15"/>
              </w:rPr>
              <w:t>RW-LIFE-004</w:t>
            </w:r>
          </w:p>
        </w:tc>
        <w:tc>
          <w:tcPr>
            <w:tcW w:type="dxa" w:w="3402"/>
            <w:vAlign w:val="center"/>
          </w:tcPr>
          <w:p>
            <w:pPr>
              <w:jc w:val="center"/>
            </w:pPr>
            <w:r/>
            <w:r>
              <w:rPr>
                <w:rFonts w:ascii="宋体" w:hAnsi="宋体" w:eastAsia="宋体"/>
                <w:b w:val="0"/>
                <w:sz w:val="15"/>
              </w:rPr>
              <w:t>在分系统研制总结前完成寿命评估。</w:t>
            </w:r>
          </w:p>
        </w:tc>
        <w:tc>
          <w:tcPr>
            <w:tcW w:type="dxa" w:w="2381"/>
            <w:vAlign w:val="center"/>
          </w:tcPr>
          <w:p>
            <w:pPr>
              <w:jc w:val="center"/>
            </w:pPr>
            <w:r/>
            <w:r>
              <w:rPr>
                <w:rFonts w:ascii="宋体" w:hAnsi="宋体" w:eastAsia="宋体"/>
                <w:b w:val="0"/>
                <w:sz w:val="15"/>
              </w:rPr>
              <w:t>寿命评估报告、剩余风险说明。</w:t>
            </w:r>
          </w:p>
        </w:tc>
        <w:tc>
          <w:tcPr>
            <w:tcW w:type="dxa" w:w="2948"/>
            <w:vAlign w:val="center"/>
          </w:tcPr>
          <w:p>
            <w:pPr>
              <w:jc w:val="left"/>
            </w:pPr>
            <w:r/>
            <w:r>
              <w:rPr>
                <w:rFonts w:ascii="宋体" w:hAnsi="宋体" w:eastAsia="宋体"/>
                <w:b w:val="0"/>
                <w:sz w:val="15"/>
              </w:rPr>
              <w:t>寿命评估结论明确，可支撑初样转阶段评审和后续产品保证审查。</w:t>
            </w:r>
          </w:p>
        </w:tc>
      </w:tr>
    </w:tbl>
    <w:p/>
    <w:p>
      <w:pPr>
        <w:pStyle w:val="Heading2"/>
      </w:pPr>
      <w:r>
        <w:rPr>
          <w:rFonts w:ascii="宋体" w:hAnsi="宋体" w:eastAsia="宋体"/>
        </w:rPr>
        <w:t>3.8 可靠性安全性与产品保证要求</w:t>
      </w:r>
    </w:p>
    <w:p>
      <w:pPr>
        <w:spacing w:line="300" w:lineRule="auto" w:after="80"/>
        <w:ind w:firstLine="420"/>
      </w:pPr>
      <w:r>
        <w:rPr>
          <w:rFonts w:ascii="宋体" w:hAnsi="宋体" w:eastAsia="宋体"/>
          <w:b w:val="0"/>
          <w:sz w:val="21"/>
        </w:rPr>
        <w:t>飞轮应按关键单机开展可靠性安全性设计、分析、试验和产品保证工作。任务书中提出的可靠性安全性要求应在《飞轮初样阶段可靠性安全性设计与分析报告》中展开，并通过产品保证检查单逐项审查。</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61"/>
            <w:shd w:fill="4F647A"/>
            <w:vAlign w:val="center"/>
          </w:tcPr>
          <w:p>
            <w:pPr>
              <w:jc w:val="center"/>
            </w:pPr>
            <w:r/>
            <w:r>
              <w:rPr>
                <w:rFonts w:ascii="宋体" w:hAnsi="宋体" w:eastAsia="宋体"/>
                <w:b/>
                <w:color w:val="FFFFFF"/>
                <w:sz w:val="15"/>
              </w:rPr>
              <w:t>类别</w:t>
            </w:r>
          </w:p>
        </w:tc>
        <w:tc>
          <w:tcPr>
            <w:tcW w:type="dxa" w:w="3402"/>
            <w:shd w:fill="4F647A"/>
            <w:vAlign w:val="center"/>
          </w:tcPr>
          <w:p>
            <w:pPr>
              <w:jc w:val="center"/>
            </w:pPr>
            <w:r/>
            <w:r>
              <w:rPr>
                <w:rFonts w:ascii="宋体" w:hAnsi="宋体" w:eastAsia="宋体"/>
                <w:b/>
                <w:color w:val="FFFFFF"/>
                <w:sz w:val="15"/>
              </w:rPr>
              <w:t>任务要求</w:t>
            </w:r>
          </w:p>
        </w:tc>
        <w:tc>
          <w:tcPr>
            <w:tcW w:type="dxa" w:w="2551"/>
            <w:shd w:fill="4F647A"/>
            <w:vAlign w:val="center"/>
          </w:tcPr>
          <w:p>
            <w:pPr>
              <w:jc w:val="center"/>
            </w:pPr>
            <w:r/>
            <w:r>
              <w:rPr>
                <w:rFonts w:ascii="宋体" w:hAnsi="宋体" w:eastAsia="宋体"/>
                <w:b/>
                <w:color w:val="FFFFFF"/>
                <w:sz w:val="15"/>
              </w:rPr>
              <w:t>交付物</w:t>
            </w:r>
          </w:p>
        </w:tc>
        <w:tc>
          <w:tcPr>
            <w:tcW w:type="dxa" w:w="2608"/>
            <w:shd w:fill="4F647A"/>
            <w:vAlign w:val="center"/>
          </w:tcPr>
          <w:p>
            <w:pPr>
              <w:jc w:val="center"/>
            </w:pPr>
            <w:r/>
            <w:r>
              <w:rPr>
                <w:rFonts w:ascii="宋体" w:hAnsi="宋体" w:eastAsia="宋体"/>
                <w:b/>
                <w:color w:val="FFFFFF"/>
                <w:sz w:val="15"/>
              </w:rPr>
              <w:t>验收准则</w:t>
            </w:r>
          </w:p>
        </w:tc>
      </w:tr>
      <w:tr>
        <w:tc>
          <w:tcPr>
            <w:tcW w:type="dxa" w:w="1361"/>
            <w:vAlign w:val="center"/>
          </w:tcPr>
          <w:p>
            <w:pPr>
              <w:jc w:val="center"/>
            </w:pPr>
            <w:r/>
            <w:r>
              <w:rPr>
                <w:rFonts w:ascii="宋体" w:hAnsi="宋体" w:eastAsia="宋体"/>
                <w:b w:val="0"/>
                <w:sz w:val="15"/>
              </w:rPr>
              <w:t>可靠性管理</w:t>
            </w:r>
          </w:p>
        </w:tc>
        <w:tc>
          <w:tcPr>
            <w:tcW w:type="dxa" w:w="3402"/>
            <w:vAlign w:val="center"/>
          </w:tcPr>
          <w:p>
            <w:pPr>
              <w:jc w:val="left"/>
            </w:pPr>
            <w:r/>
            <w:r>
              <w:rPr>
                <w:rFonts w:ascii="宋体" w:hAnsi="宋体" w:eastAsia="宋体"/>
                <w:b w:val="0"/>
                <w:sz w:val="15"/>
              </w:rPr>
              <w:t>制定飞轮可靠性保证计划，明确供方、过程、评审和更改控制要求。</w:t>
            </w:r>
          </w:p>
        </w:tc>
        <w:tc>
          <w:tcPr>
            <w:tcW w:type="dxa" w:w="2551"/>
            <w:vAlign w:val="center"/>
          </w:tcPr>
          <w:p>
            <w:pPr>
              <w:jc w:val="center"/>
            </w:pPr>
            <w:r/>
            <w:r>
              <w:rPr>
                <w:rFonts w:ascii="宋体" w:hAnsi="宋体" w:eastAsia="宋体"/>
                <w:b w:val="0"/>
                <w:sz w:val="15"/>
              </w:rPr>
              <w:t>可靠性保证计划、供方要求传递记录。</w:t>
            </w:r>
          </w:p>
        </w:tc>
        <w:tc>
          <w:tcPr>
            <w:tcW w:type="dxa" w:w="2608"/>
            <w:vAlign w:val="center"/>
          </w:tcPr>
          <w:p>
            <w:pPr>
              <w:jc w:val="left"/>
            </w:pPr>
            <w:r/>
            <w:r>
              <w:rPr>
                <w:rFonts w:ascii="宋体" w:hAnsi="宋体" w:eastAsia="宋体"/>
                <w:b w:val="0"/>
                <w:sz w:val="15"/>
              </w:rPr>
              <w:t>计划经评审，要求已传递至供方并形成签收或确认记录。</w:t>
            </w:r>
          </w:p>
        </w:tc>
      </w:tr>
      <w:tr>
        <w:tc>
          <w:tcPr>
            <w:tcW w:type="dxa" w:w="1361"/>
            <w:vAlign w:val="center"/>
          </w:tcPr>
          <w:p>
            <w:pPr>
              <w:jc w:val="center"/>
            </w:pPr>
            <w:r/>
            <w:r>
              <w:rPr>
                <w:rFonts w:ascii="宋体" w:hAnsi="宋体" w:eastAsia="宋体"/>
                <w:b w:val="0"/>
                <w:sz w:val="15"/>
              </w:rPr>
              <w:t>可靠性分析</w:t>
            </w:r>
          </w:p>
        </w:tc>
        <w:tc>
          <w:tcPr>
            <w:tcW w:type="dxa" w:w="3402"/>
            <w:vAlign w:val="center"/>
          </w:tcPr>
          <w:p>
            <w:pPr>
              <w:jc w:val="left"/>
            </w:pPr>
            <w:r/>
            <w:r>
              <w:rPr>
                <w:rFonts w:ascii="宋体" w:hAnsi="宋体" w:eastAsia="宋体"/>
                <w:b w:val="0"/>
                <w:sz w:val="15"/>
              </w:rPr>
              <w:t>开展任务剖面、环境剖面、功能分析、继承性分析、FMEA、FTA、SCA、容差、WCCA和薄弱环节识别。</w:t>
            </w:r>
          </w:p>
        </w:tc>
        <w:tc>
          <w:tcPr>
            <w:tcW w:type="dxa" w:w="2551"/>
            <w:vAlign w:val="center"/>
          </w:tcPr>
          <w:p>
            <w:pPr>
              <w:jc w:val="left"/>
            </w:pPr>
            <w:r/>
            <w:r>
              <w:rPr>
                <w:rFonts w:ascii="宋体" w:hAnsi="宋体" w:eastAsia="宋体"/>
                <w:b w:val="0"/>
                <w:sz w:val="15"/>
              </w:rPr>
              <w:t>可靠性安全性设计与分析报告及支撑表。</w:t>
            </w:r>
          </w:p>
        </w:tc>
        <w:tc>
          <w:tcPr>
            <w:tcW w:type="dxa" w:w="2608"/>
            <w:vAlign w:val="center"/>
          </w:tcPr>
          <w:p>
            <w:pPr>
              <w:jc w:val="left"/>
            </w:pPr>
            <w:r/>
            <w:r>
              <w:rPr>
                <w:rFonts w:ascii="宋体" w:hAnsi="宋体" w:eastAsia="宋体"/>
                <w:b w:val="0"/>
                <w:sz w:val="15"/>
              </w:rPr>
              <w:t>I/II类故障、单点故障、潜在通路和关键项目均有控制措施。</w:t>
            </w:r>
          </w:p>
        </w:tc>
      </w:tr>
      <w:tr>
        <w:tc>
          <w:tcPr>
            <w:tcW w:type="dxa" w:w="1361"/>
            <w:vAlign w:val="center"/>
          </w:tcPr>
          <w:p>
            <w:pPr>
              <w:jc w:val="center"/>
            </w:pPr>
            <w:r/>
            <w:r>
              <w:rPr>
                <w:rFonts w:ascii="宋体" w:hAnsi="宋体" w:eastAsia="宋体"/>
                <w:b w:val="0"/>
                <w:sz w:val="15"/>
              </w:rPr>
              <w:t>可靠性设计</w:t>
            </w:r>
          </w:p>
        </w:tc>
        <w:tc>
          <w:tcPr>
            <w:tcW w:type="dxa" w:w="3402"/>
            <w:vAlign w:val="center"/>
          </w:tcPr>
          <w:p>
            <w:pPr>
              <w:jc w:val="left"/>
            </w:pPr>
            <w:r/>
            <w:r>
              <w:rPr>
                <w:rFonts w:ascii="宋体" w:hAnsi="宋体" w:eastAsia="宋体"/>
                <w:b w:val="0"/>
                <w:sz w:val="15"/>
              </w:rPr>
              <w:t>落实冗余、容错、容差、降额、裕度、热设计、抗力学、EMC、ESD、供配电、软件可靠性和防污染设计。</w:t>
            </w:r>
          </w:p>
        </w:tc>
        <w:tc>
          <w:tcPr>
            <w:tcW w:type="dxa" w:w="2551"/>
            <w:vAlign w:val="center"/>
          </w:tcPr>
          <w:p>
            <w:pPr>
              <w:jc w:val="center"/>
            </w:pPr>
            <w:r/>
            <w:r>
              <w:rPr>
                <w:rFonts w:ascii="宋体" w:hAnsi="宋体" w:eastAsia="宋体"/>
                <w:b w:val="0"/>
                <w:sz w:val="15"/>
              </w:rPr>
              <w:t>专项设计说明、试验报告、评审记录。</w:t>
            </w:r>
          </w:p>
        </w:tc>
        <w:tc>
          <w:tcPr>
            <w:tcW w:type="dxa" w:w="2608"/>
            <w:vAlign w:val="center"/>
          </w:tcPr>
          <w:p>
            <w:pPr>
              <w:jc w:val="left"/>
            </w:pPr>
            <w:r/>
            <w:r>
              <w:rPr>
                <w:rFonts w:ascii="宋体" w:hAnsi="宋体" w:eastAsia="宋体"/>
                <w:b w:val="0"/>
                <w:sz w:val="15"/>
              </w:rPr>
              <w:t>设计措施与失效模式、风险等级和验证项目建立对应关系。</w:t>
            </w:r>
          </w:p>
        </w:tc>
      </w:tr>
      <w:tr>
        <w:tc>
          <w:tcPr>
            <w:tcW w:type="dxa" w:w="1361"/>
            <w:vAlign w:val="center"/>
          </w:tcPr>
          <w:p>
            <w:pPr>
              <w:jc w:val="center"/>
            </w:pPr>
            <w:r/>
            <w:r>
              <w:rPr>
                <w:rFonts w:ascii="宋体" w:hAnsi="宋体" w:eastAsia="宋体"/>
                <w:b w:val="0"/>
                <w:sz w:val="15"/>
              </w:rPr>
              <w:t>安全性控制</w:t>
            </w:r>
          </w:p>
        </w:tc>
        <w:tc>
          <w:tcPr>
            <w:tcW w:type="dxa" w:w="3402"/>
            <w:vAlign w:val="center"/>
          </w:tcPr>
          <w:p>
            <w:pPr>
              <w:jc w:val="left"/>
            </w:pPr>
            <w:r/>
            <w:r>
              <w:rPr>
                <w:rFonts w:ascii="宋体" w:hAnsi="宋体" w:eastAsia="宋体"/>
                <w:b w:val="0"/>
                <w:sz w:val="15"/>
              </w:rPr>
              <w:t>识别供电短路、失控加速、转子/轴承失效、热失控、结构破坏、通信异常、卸载协同异常等危险源。</w:t>
            </w:r>
          </w:p>
        </w:tc>
        <w:tc>
          <w:tcPr>
            <w:tcW w:type="dxa" w:w="2551"/>
            <w:vAlign w:val="center"/>
          </w:tcPr>
          <w:p>
            <w:pPr>
              <w:jc w:val="left"/>
            </w:pPr>
            <w:r/>
            <w:r>
              <w:rPr>
                <w:rFonts w:ascii="宋体" w:hAnsi="宋体" w:eastAsia="宋体"/>
                <w:b w:val="0"/>
                <w:sz w:val="15"/>
              </w:rPr>
              <w:t>危险源清单、危险分析表、残余风险清单。</w:t>
            </w:r>
          </w:p>
        </w:tc>
        <w:tc>
          <w:tcPr>
            <w:tcW w:type="dxa" w:w="2608"/>
            <w:vAlign w:val="center"/>
          </w:tcPr>
          <w:p>
            <w:pPr>
              <w:jc w:val="left"/>
            </w:pPr>
            <w:r/>
            <w:r>
              <w:rPr>
                <w:rFonts w:ascii="宋体" w:hAnsi="宋体" w:eastAsia="宋体"/>
                <w:b w:val="0"/>
                <w:sz w:val="15"/>
              </w:rPr>
              <w:t>不可接受风险必须关闭；残余风险经评审确认并配置监测/处置措施。</w:t>
            </w:r>
          </w:p>
        </w:tc>
      </w:tr>
      <w:tr>
        <w:tc>
          <w:tcPr>
            <w:tcW w:type="dxa" w:w="1361"/>
            <w:vAlign w:val="center"/>
          </w:tcPr>
          <w:p>
            <w:pPr>
              <w:jc w:val="center"/>
            </w:pPr>
            <w:r/>
            <w:r>
              <w:rPr>
                <w:rFonts w:ascii="宋体" w:hAnsi="宋体" w:eastAsia="宋体"/>
                <w:b w:val="0"/>
                <w:sz w:val="15"/>
              </w:rPr>
              <w:t>产品保证</w:t>
            </w:r>
          </w:p>
        </w:tc>
        <w:tc>
          <w:tcPr>
            <w:tcW w:type="dxa" w:w="3402"/>
            <w:vAlign w:val="center"/>
          </w:tcPr>
          <w:p>
            <w:pPr>
              <w:jc w:val="left"/>
            </w:pPr>
            <w:r/>
            <w:r>
              <w:rPr>
                <w:rFonts w:ascii="宋体" w:hAnsi="宋体" w:eastAsia="宋体"/>
                <w:b w:val="0"/>
                <w:sz w:val="15"/>
              </w:rPr>
              <w:t>关键项目、关键/重要特性、关键件/重要件、过程控制、检查落实和问题闭环应纳入产品保证。</w:t>
            </w:r>
          </w:p>
        </w:tc>
        <w:tc>
          <w:tcPr>
            <w:tcW w:type="dxa" w:w="2551"/>
            <w:vAlign w:val="center"/>
          </w:tcPr>
          <w:p>
            <w:pPr>
              <w:jc w:val="left"/>
            </w:pPr>
            <w:r/>
            <w:r>
              <w:rPr>
                <w:rFonts w:ascii="宋体" w:hAnsi="宋体" w:eastAsia="宋体"/>
                <w:b w:val="0"/>
                <w:sz w:val="15"/>
              </w:rPr>
              <w:t>关键项目清单、产品特性分析、检查落实表。</w:t>
            </w:r>
          </w:p>
        </w:tc>
        <w:tc>
          <w:tcPr>
            <w:tcW w:type="dxa" w:w="2608"/>
            <w:vAlign w:val="center"/>
          </w:tcPr>
          <w:p>
            <w:pPr>
              <w:jc w:val="left"/>
            </w:pPr>
            <w:r/>
            <w:r>
              <w:rPr>
                <w:rFonts w:ascii="宋体" w:hAnsi="宋体" w:eastAsia="宋体"/>
                <w:b w:val="0"/>
                <w:sz w:val="15"/>
              </w:rPr>
              <w:t>检查单条目均能对应到交付材料、章节或试验数据。</w:t>
            </w:r>
          </w:p>
        </w:tc>
      </w:tr>
    </w:tbl>
    <w:p/>
    <w:p>
      <w:pPr>
        <w:pStyle w:val="Heading2"/>
      </w:pPr>
      <w:r>
        <w:rPr>
          <w:rFonts w:ascii="宋体" w:hAnsi="宋体" w:eastAsia="宋体"/>
        </w:rPr>
        <w:t>3.9 试验验证与验收要求</w:t>
      </w:r>
    </w:p>
    <w:p>
      <w:pPr>
        <w:spacing w:line="300" w:lineRule="auto" w:after="80"/>
        <w:ind w:firstLine="420"/>
      </w:pPr>
      <w:r>
        <w:rPr>
          <w:rFonts w:ascii="宋体" w:hAnsi="宋体" w:eastAsia="宋体"/>
          <w:b w:val="0"/>
          <w:sz w:val="21"/>
        </w:rPr>
        <w:t>飞轮试验验证应覆盖单机级、分系统级和GNC闭环级。试验方案应在实施前完成评审，试验数据应满足可追溯、可复核和可用于智能化辅助审查的要求。</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04"/>
            <w:shd w:fill="4F647A"/>
            <w:vAlign w:val="center"/>
          </w:tcPr>
          <w:p>
            <w:pPr>
              <w:jc w:val="center"/>
            </w:pPr>
            <w:r/>
            <w:r>
              <w:rPr>
                <w:rFonts w:ascii="宋体" w:hAnsi="宋体" w:eastAsia="宋体"/>
                <w:b/>
                <w:color w:val="FFFFFF"/>
                <w:sz w:val="15"/>
              </w:rPr>
              <w:t>试验类别</w:t>
            </w:r>
          </w:p>
        </w:tc>
        <w:tc>
          <w:tcPr>
            <w:tcW w:type="dxa" w:w="3288"/>
            <w:shd w:fill="4F647A"/>
            <w:vAlign w:val="center"/>
          </w:tcPr>
          <w:p>
            <w:pPr>
              <w:jc w:val="center"/>
            </w:pPr>
            <w:r/>
            <w:r>
              <w:rPr>
                <w:rFonts w:ascii="宋体" w:hAnsi="宋体" w:eastAsia="宋体"/>
                <w:b/>
                <w:color w:val="FFFFFF"/>
                <w:sz w:val="15"/>
              </w:rPr>
              <w:t>任务要求</w:t>
            </w:r>
          </w:p>
        </w:tc>
        <w:tc>
          <w:tcPr>
            <w:tcW w:type="dxa" w:w="2551"/>
            <w:shd w:fill="4F647A"/>
            <w:vAlign w:val="center"/>
          </w:tcPr>
          <w:p>
            <w:pPr>
              <w:jc w:val="center"/>
            </w:pPr>
            <w:r/>
            <w:r>
              <w:rPr>
                <w:rFonts w:ascii="宋体" w:hAnsi="宋体" w:eastAsia="宋体"/>
                <w:b/>
                <w:color w:val="FFFFFF"/>
                <w:sz w:val="15"/>
              </w:rPr>
              <w:t>交付物</w:t>
            </w:r>
          </w:p>
        </w:tc>
        <w:tc>
          <w:tcPr>
            <w:tcW w:type="dxa" w:w="2721"/>
            <w:shd w:fill="4F647A"/>
            <w:vAlign w:val="center"/>
          </w:tcPr>
          <w:p>
            <w:pPr>
              <w:jc w:val="center"/>
            </w:pPr>
            <w:r/>
            <w:r>
              <w:rPr>
                <w:rFonts w:ascii="宋体" w:hAnsi="宋体" w:eastAsia="宋体"/>
                <w:b/>
                <w:color w:val="FFFFFF"/>
                <w:sz w:val="15"/>
              </w:rPr>
              <w:t>验收准则</w:t>
            </w:r>
          </w:p>
        </w:tc>
      </w:tr>
      <w:tr>
        <w:tc>
          <w:tcPr>
            <w:tcW w:type="dxa" w:w="1304"/>
            <w:vAlign w:val="center"/>
          </w:tcPr>
          <w:p>
            <w:pPr>
              <w:jc w:val="center"/>
            </w:pPr>
            <w:r/>
            <w:r>
              <w:rPr>
                <w:rFonts w:ascii="宋体" w:hAnsi="宋体" w:eastAsia="宋体"/>
                <w:b w:val="0"/>
                <w:sz w:val="15"/>
              </w:rPr>
              <w:t>性能测试</w:t>
            </w:r>
          </w:p>
        </w:tc>
        <w:tc>
          <w:tcPr>
            <w:tcW w:type="dxa" w:w="3288"/>
            <w:vAlign w:val="center"/>
          </w:tcPr>
          <w:p>
            <w:pPr>
              <w:jc w:val="left"/>
            </w:pPr>
            <w:r/>
            <w:r>
              <w:rPr>
                <w:rFonts w:ascii="宋体" w:hAnsi="宋体" w:eastAsia="宋体"/>
                <w:b w:val="0"/>
                <w:sz w:val="15"/>
              </w:rPr>
              <w:t>验证转速范围、加减速、力矩响应、电流、效率、温升、噪声和保护阈值。</w:t>
            </w:r>
          </w:p>
        </w:tc>
        <w:tc>
          <w:tcPr>
            <w:tcW w:type="dxa" w:w="2551"/>
            <w:vAlign w:val="center"/>
          </w:tcPr>
          <w:p>
            <w:pPr>
              <w:jc w:val="center"/>
            </w:pPr>
            <w:r/>
            <w:r>
              <w:rPr>
                <w:rFonts w:ascii="宋体" w:hAnsi="宋体" w:eastAsia="宋体"/>
                <w:b w:val="0"/>
                <w:sz w:val="15"/>
              </w:rPr>
              <w:t>性能测试大纲、原始数据、测试报告。</w:t>
            </w:r>
          </w:p>
        </w:tc>
        <w:tc>
          <w:tcPr>
            <w:tcW w:type="dxa" w:w="2721"/>
            <w:vAlign w:val="center"/>
          </w:tcPr>
          <w:p>
            <w:pPr>
              <w:jc w:val="left"/>
            </w:pPr>
            <w:r/>
            <w:r>
              <w:rPr>
                <w:rFonts w:ascii="宋体" w:hAnsi="宋体" w:eastAsia="宋体"/>
                <w:b w:val="0"/>
                <w:sz w:val="15"/>
              </w:rPr>
              <w:t>所有性能指标满足任务书、接口文件和GNC分配要求。</w:t>
            </w:r>
          </w:p>
        </w:tc>
      </w:tr>
      <w:tr>
        <w:tc>
          <w:tcPr>
            <w:tcW w:type="dxa" w:w="1304"/>
            <w:vAlign w:val="center"/>
          </w:tcPr>
          <w:p>
            <w:pPr>
              <w:jc w:val="center"/>
            </w:pPr>
            <w:r/>
            <w:r>
              <w:rPr>
                <w:rFonts w:ascii="宋体" w:hAnsi="宋体" w:eastAsia="宋体"/>
                <w:b w:val="0"/>
                <w:sz w:val="15"/>
              </w:rPr>
              <w:t>轴承筛选</w:t>
            </w:r>
          </w:p>
        </w:tc>
        <w:tc>
          <w:tcPr>
            <w:tcW w:type="dxa" w:w="3288"/>
            <w:vAlign w:val="center"/>
          </w:tcPr>
          <w:p>
            <w:pPr>
              <w:jc w:val="left"/>
            </w:pPr>
            <w:r/>
            <w:r>
              <w:rPr>
                <w:rFonts w:ascii="宋体" w:hAnsi="宋体" w:eastAsia="宋体"/>
                <w:b w:val="0"/>
                <w:sz w:val="15"/>
              </w:rPr>
              <w:t>验证惯性滑行时间、启动摩擦力矩、常温跑合电流、跑合时间。</w:t>
            </w:r>
          </w:p>
        </w:tc>
        <w:tc>
          <w:tcPr>
            <w:tcW w:type="dxa" w:w="2551"/>
            <w:vAlign w:val="center"/>
          </w:tcPr>
          <w:p>
            <w:pPr>
              <w:jc w:val="center"/>
            </w:pPr>
            <w:r/>
            <w:r>
              <w:rPr>
                <w:rFonts w:ascii="宋体" w:hAnsi="宋体" w:eastAsia="宋体"/>
                <w:b w:val="0"/>
                <w:sz w:val="15"/>
              </w:rPr>
              <w:t>轴承筛选记录、曲线、放行单。</w:t>
            </w:r>
          </w:p>
        </w:tc>
        <w:tc>
          <w:tcPr>
            <w:tcW w:type="dxa" w:w="2721"/>
            <w:vAlign w:val="center"/>
          </w:tcPr>
          <w:p>
            <w:pPr>
              <w:jc w:val="left"/>
            </w:pPr>
            <w:r/>
            <w:r>
              <w:rPr>
                <w:rFonts w:ascii="宋体" w:hAnsi="宋体" w:eastAsia="宋体"/>
                <w:b w:val="0"/>
                <w:sz w:val="15"/>
              </w:rPr>
              <w:t>满足3.6加严筛选要求，数据通过强制检验点审查。</w:t>
            </w:r>
          </w:p>
        </w:tc>
      </w:tr>
      <w:tr>
        <w:tc>
          <w:tcPr>
            <w:tcW w:type="dxa" w:w="1304"/>
            <w:vAlign w:val="center"/>
          </w:tcPr>
          <w:p>
            <w:pPr>
              <w:jc w:val="center"/>
            </w:pPr>
            <w:r/>
            <w:r>
              <w:rPr>
                <w:rFonts w:ascii="宋体" w:hAnsi="宋体" w:eastAsia="宋体"/>
                <w:b w:val="0"/>
                <w:sz w:val="15"/>
              </w:rPr>
              <w:t>环境试验</w:t>
            </w:r>
          </w:p>
        </w:tc>
        <w:tc>
          <w:tcPr>
            <w:tcW w:type="dxa" w:w="3288"/>
            <w:vAlign w:val="center"/>
          </w:tcPr>
          <w:p>
            <w:pPr>
              <w:jc w:val="left"/>
            </w:pPr>
            <w:r/>
            <w:r>
              <w:rPr>
                <w:rFonts w:ascii="宋体" w:hAnsi="宋体" w:eastAsia="宋体"/>
                <w:b w:val="0"/>
                <w:sz w:val="15"/>
              </w:rPr>
              <w:t>开展力学、热真空/热循环、EMC、静电、防污染等环境适应性验证。</w:t>
            </w:r>
          </w:p>
        </w:tc>
        <w:tc>
          <w:tcPr>
            <w:tcW w:type="dxa" w:w="2551"/>
            <w:vAlign w:val="center"/>
          </w:tcPr>
          <w:p>
            <w:pPr>
              <w:jc w:val="center"/>
            </w:pPr>
            <w:r/>
            <w:r>
              <w:rPr>
                <w:rFonts w:ascii="宋体" w:hAnsi="宋体" w:eastAsia="宋体"/>
                <w:b w:val="0"/>
                <w:sz w:val="15"/>
              </w:rPr>
              <w:t>环境试验报告、前后性能比对。</w:t>
            </w:r>
          </w:p>
        </w:tc>
        <w:tc>
          <w:tcPr>
            <w:tcW w:type="dxa" w:w="2721"/>
            <w:vAlign w:val="center"/>
          </w:tcPr>
          <w:p>
            <w:pPr>
              <w:jc w:val="left"/>
            </w:pPr>
            <w:r/>
            <w:r>
              <w:rPr>
                <w:rFonts w:ascii="宋体" w:hAnsi="宋体" w:eastAsia="宋体"/>
                <w:b w:val="0"/>
                <w:sz w:val="15"/>
              </w:rPr>
              <w:t>试验后性能无不可接受退化，异常闭环归零。</w:t>
            </w:r>
          </w:p>
        </w:tc>
      </w:tr>
      <w:tr>
        <w:tc>
          <w:tcPr>
            <w:tcW w:type="dxa" w:w="1304"/>
            <w:vAlign w:val="center"/>
          </w:tcPr>
          <w:p>
            <w:pPr>
              <w:jc w:val="center"/>
            </w:pPr>
            <w:r/>
            <w:r>
              <w:rPr>
                <w:rFonts w:ascii="宋体" w:hAnsi="宋体" w:eastAsia="宋体"/>
                <w:b w:val="0"/>
                <w:sz w:val="15"/>
              </w:rPr>
              <w:t>寿命试验</w:t>
            </w:r>
          </w:p>
        </w:tc>
        <w:tc>
          <w:tcPr>
            <w:tcW w:type="dxa" w:w="3288"/>
            <w:vAlign w:val="center"/>
          </w:tcPr>
          <w:p>
            <w:pPr>
              <w:jc w:val="left"/>
            </w:pPr>
            <w:r/>
            <w:r>
              <w:rPr>
                <w:rFonts w:ascii="宋体" w:hAnsi="宋体" w:eastAsia="宋体"/>
                <w:b w:val="0"/>
                <w:sz w:val="15"/>
              </w:rPr>
              <w:t>开展两个样本1:1不间断寿命试验并形成寿命评估。</w:t>
            </w:r>
          </w:p>
        </w:tc>
        <w:tc>
          <w:tcPr>
            <w:tcW w:type="dxa" w:w="2551"/>
            <w:vAlign w:val="center"/>
          </w:tcPr>
          <w:p>
            <w:pPr>
              <w:jc w:val="center"/>
            </w:pPr>
            <w:r/>
            <w:r>
              <w:rPr>
                <w:rFonts w:ascii="宋体" w:hAnsi="宋体" w:eastAsia="宋体"/>
                <w:b w:val="0"/>
                <w:sz w:val="15"/>
              </w:rPr>
              <w:t>寿命试验方案、过程记录、评估报告。</w:t>
            </w:r>
          </w:p>
        </w:tc>
        <w:tc>
          <w:tcPr>
            <w:tcW w:type="dxa" w:w="2721"/>
            <w:vAlign w:val="center"/>
          </w:tcPr>
          <w:p>
            <w:pPr>
              <w:jc w:val="left"/>
            </w:pPr>
            <w:r/>
            <w:r>
              <w:rPr>
                <w:rFonts w:ascii="宋体" w:hAnsi="宋体" w:eastAsia="宋体"/>
                <w:b w:val="0"/>
                <w:sz w:val="15"/>
              </w:rPr>
              <w:t>分系统研制总结前完成寿命评估，结论可支撑转阶段。</w:t>
            </w:r>
          </w:p>
        </w:tc>
      </w:tr>
      <w:tr>
        <w:tc>
          <w:tcPr>
            <w:tcW w:type="dxa" w:w="1304"/>
            <w:vAlign w:val="center"/>
          </w:tcPr>
          <w:p>
            <w:pPr>
              <w:jc w:val="center"/>
            </w:pPr>
            <w:r/>
            <w:r>
              <w:rPr>
                <w:rFonts w:ascii="宋体" w:hAnsi="宋体" w:eastAsia="宋体"/>
                <w:b w:val="0"/>
                <w:sz w:val="15"/>
              </w:rPr>
              <w:t>GNC联试</w:t>
            </w:r>
          </w:p>
        </w:tc>
        <w:tc>
          <w:tcPr>
            <w:tcW w:type="dxa" w:w="3288"/>
            <w:vAlign w:val="center"/>
          </w:tcPr>
          <w:p>
            <w:pPr>
              <w:jc w:val="left"/>
            </w:pPr>
            <w:r/>
            <w:r>
              <w:rPr>
                <w:rFonts w:ascii="宋体" w:hAnsi="宋体" w:eastAsia="宋体"/>
                <w:b w:val="0"/>
                <w:sz w:val="15"/>
              </w:rPr>
              <w:t>验证控制指令、遥测、安装矩阵、角动量管理、故障保护和卸载协同。</w:t>
            </w:r>
          </w:p>
        </w:tc>
        <w:tc>
          <w:tcPr>
            <w:tcW w:type="dxa" w:w="2551"/>
            <w:vAlign w:val="center"/>
          </w:tcPr>
          <w:p>
            <w:pPr>
              <w:jc w:val="center"/>
            </w:pPr>
            <w:r/>
            <w:r>
              <w:rPr>
                <w:rFonts w:ascii="宋体" w:hAnsi="宋体" w:eastAsia="宋体"/>
                <w:b w:val="0"/>
                <w:sz w:val="15"/>
              </w:rPr>
              <w:t>联试方案、联试记录、问题闭环表。</w:t>
            </w:r>
          </w:p>
        </w:tc>
        <w:tc>
          <w:tcPr>
            <w:tcW w:type="dxa" w:w="2721"/>
            <w:vAlign w:val="center"/>
          </w:tcPr>
          <w:p>
            <w:pPr>
              <w:jc w:val="left"/>
            </w:pPr>
            <w:r/>
            <w:r>
              <w:rPr>
                <w:rFonts w:ascii="宋体" w:hAnsi="宋体" w:eastAsia="宋体"/>
                <w:b w:val="0"/>
                <w:sz w:val="15"/>
              </w:rPr>
              <w:t>GNC闭环判据满足，接口和保护逻辑无未关闭问题。</w:t>
            </w:r>
          </w:p>
        </w:tc>
      </w:tr>
      <w:tr>
        <w:tc>
          <w:tcPr>
            <w:tcW w:type="dxa" w:w="1304"/>
            <w:vAlign w:val="center"/>
          </w:tcPr>
          <w:p>
            <w:pPr>
              <w:jc w:val="center"/>
            </w:pPr>
            <w:r/>
            <w:r>
              <w:rPr>
                <w:rFonts w:ascii="宋体" w:hAnsi="宋体" w:eastAsia="宋体"/>
                <w:b w:val="0"/>
                <w:sz w:val="15"/>
              </w:rPr>
              <w:t>故障注入</w:t>
            </w:r>
          </w:p>
        </w:tc>
        <w:tc>
          <w:tcPr>
            <w:tcW w:type="dxa" w:w="3288"/>
            <w:vAlign w:val="center"/>
          </w:tcPr>
          <w:p>
            <w:pPr>
              <w:jc w:val="left"/>
            </w:pPr>
            <w:r/>
            <w:r>
              <w:rPr>
                <w:rFonts w:ascii="宋体" w:hAnsi="宋体" w:eastAsia="宋体"/>
                <w:b w:val="0"/>
                <w:sz w:val="15"/>
              </w:rPr>
              <w:t>验证过流、超温、超速、堵转、通信异常、供电拉偏等保护逻辑。</w:t>
            </w:r>
          </w:p>
        </w:tc>
        <w:tc>
          <w:tcPr>
            <w:tcW w:type="dxa" w:w="2551"/>
            <w:vAlign w:val="center"/>
          </w:tcPr>
          <w:p>
            <w:pPr>
              <w:jc w:val="center"/>
            </w:pPr>
            <w:r/>
            <w:r>
              <w:rPr>
                <w:rFonts w:ascii="宋体" w:hAnsi="宋体" w:eastAsia="宋体"/>
                <w:b w:val="0"/>
                <w:sz w:val="15"/>
              </w:rPr>
              <w:t>故障注入报告、处置记录。</w:t>
            </w:r>
          </w:p>
        </w:tc>
        <w:tc>
          <w:tcPr>
            <w:tcW w:type="dxa" w:w="2721"/>
            <w:vAlign w:val="center"/>
          </w:tcPr>
          <w:p>
            <w:pPr>
              <w:jc w:val="left"/>
            </w:pPr>
            <w:r/>
            <w:r>
              <w:rPr>
                <w:rFonts w:ascii="宋体" w:hAnsi="宋体" w:eastAsia="宋体"/>
                <w:b w:val="0"/>
                <w:sz w:val="15"/>
              </w:rPr>
              <w:t>故障进入预定安全状态，状态可识别、可记录、可恢复。</w:t>
            </w:r>
          </w:p>
        </w:tc>
      </w:tr>
    </w:tbl>
    <w:p/>
    <w:p>
      <w:r>
        <w:rPr>
          <w:rFonts w:ascii="宋体" w:hAnsi="宋体" w:eastAsia="宋体"/>
        </w:rPr>
        <w:br w:type="page"/>
      </w:r>
    </w:p>
    <w:p>
      <w:pPr>
        <w:pStyle w:val="Heading2"/>
      </w:pPr>
      <w:r>
        <w:rPr>
          <w:rFonts w:ascii="宋体" w:hAnsi="宋体" w:eastAsia="宋体"/>
        </w:rPr>
        <w:t>3.10 强制检验点要求</w:t>
      </w:r>
    </w:p>
    <w:p>
      <w:pPr>
        <w:spacing w:line="300" w:lineRule="auto" w:after="80"/>
        <w:ind w:firstLine="420"/>
      </w:pPr>
      <w:r>
        <w:rPr>
          <w:rFonts w:ascii="宋体" w:hAnsi="宋体" w:eastAsia="宋体"/>
          <w:b w:val="0"/>
          <w:sz w:val="21"/>
        </w:rPr>
        <w:t>轴承组件验收数据检查应设置为分系统强制检验点。强制检验点不得以过程记录替代验收结论，不得以抽查替代逐项确认。未通过强制检验点的产品不得进入后续整机装配、环境试验或交付。</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984"/>
            <w:shd w:fill="4F647A"/>
            <w:vAlign w:val="center"/>
          </w:tcPr>
          <w:p>
            <w:pPr>
              <w:jc w:val="center"/>
            </w:pPr>
            <w:r/>
            <w:r>
              <w:rPr>
                <w:rFonts w:ascii="宋体" w:hAnsi="宋体" w:eastAsia="宋体"/>
                <w:b/>
                <w:color w:val="FFFFFF"/>
                <w:sz w:val="15"/>
              </w:rPr>
              <w:t>强制检验点</w:t>
            </w:r>
          </w:p>
        </w:tc>
        <w:tc>
          <w:tcPr>
            <w:tcW w:type="dxa" w:w="3061"/>
            <w:shd w:fill="4F647A"/>
            <w:vAlign w:val="center"/>
          </w:tcPr>
          <w:p>
            <w:pPr>
              <w:jc w:val="center"/>
            </w:pPr>
            <w:r/>
            <w:r>
              <w:rPr>
                <w:rFonts w:ascii="宋体" w:hAnsi="宋体" w:eastAsia="宋体"/>
                <w:b/>
                <w:color w:val="FFFFFF"/>
                <w:sz w:val="15"/>
              </w:rPr>
              <w:t>检查内容</w:t>
            </w:r>
          </w:p>
        </w:tc>
        <w:tc>
          <w:tcPr>
            <w:tcW w:type="dxa" w:w="2494"/>
            <w:shd w:fill="4F647A"/>
            <w:vAlign w:val="center"/>
          </w:tcPr>
          <w:p>
            <w:pPr>
              <w:jc w:val="center"/>
            </w:pPr>
            <w:r/>
            <w:r>
              <w:rPr>
                <w:rFonts w:ascii="宋体" w:hAnsi="宋体" w:eastAsia="宋体"/>
                <w:b/>
                <w:color w:val="FFFFFF"/>
                <w:sz w:val="15"/>
              </w:rPr>
              <w:t>检查材料</w:t>
            </w:r>
          </w:p>
        </w:tc>
        <w:tc>
          <w:tcPr>
            <w:tcW w:type="dxa" w:w="2381"/>
            <w:shd w:fill="4F647A"/>
            <w:vAlign w:val="center"/>
          </w:tcPr>
          <w:p>
            <w:pPr>
              <w:jc w:val="center"/>
            </w:pPr>
            <w:r/>
            <w:r>
              <w:rPr>
                <w:rFonts w:ascii="宋体" w:hAnsi="宋体" w:eastAsia="宋体"/>
                <w:b/>
                <w:color w:val="FFFFFF"/>
                <w:sz w:val="15"/>
              </w:rPr>
              <w:t>放行准则</w:t>
            </w:r>
          </w:p>
        </w:tc>
      </w:tr>
      <w:tr>
        <w:tc>
          <w:tcPr>
            <w:tcW w:type="dxa" w:w="1984"/>
            <w:vAlign w:val="center"/>
          </w:tcPr>
          <w:p>
            <w:pPr>
              <w:jc w:val="left"/>
            </w:pPr>
            <w:r/>
            <w:r>
              <w:rPr>
                <w:rFonts w:ascii="宋体" w:hAnsi="宋体" w:eastAsia="宋体"/>
                <w:b w:val="0"/>
                <w:sz w:val="15"/>
              </w:rPr>
              <w:t>MIP-RW-001 轴承组件验收数据检查</w:t>
            </w:r>
          </w:p>
        </w:tc>
        <w:tc>
          <w:tcPr>
            <w:tcW w:type="dxa" w:w="3061"/>
            <w:vAlign w:val="center"/>
          </w:tcPr>
          <w:p>
            <w:pPr>
              <w:jc w:val="left"/>
            </w:pPr>
            <w:r/>
            <w:r>
              <w:rPr>
                <w:rFonts w:ascii="宋体" w:hAnsi="宋体" w:eastAsia="宋体"/>
                <w:b w:val="0"/>
                <w:sz w:val="15"/>
              </w:rPr>
              <w:t>惯性滑行时间、启动摩擦力矩、常温跑合电流、跑合时间、批次追溯、异常记录。</w:t>
            </w:r>
          </w:p>
        </w:tc>
        <w:tc>
          <w:tcPr>
            <w:tcW w:type="dxa" w:w="2494"/>
            <w:vAlign w:val="center"/>
          </w:tcPr>
          <w:p>
            <w:pPr>
              <w:jc w:val="left"/>
            </w:pPr>
            <w:r/>
            <w:r>
              <w:rPr>
                <w:rFonts w:ascii="宋体" w:hAnsi="宋体" w:eastAsia="宋体"/>
                <w:b w:val="0"/>
                <w:sz w:val="15"/>
              </w:rPr>
              <w:t>轴承筛选方案、原始数据、曲线、检验记录、放行单。</w:t>
            </w:r>
          </w:p>
        </w:tc>
        <w:tc>
          <w:tcPr>
            <w:tcW w:type="dxa" w:w="2381"/>
            <w:vAlign w:val="center"/>
          </w:tcPr>
          <w:p>
            <w:pPr>
              <w:jc w:val="left"/>
            </w:pPr>
            <w:r/>
            <w:r>
              <w:rPr>
                <w:rFonts w:ascii="宋体" w:hAnsi="宋体" w:eastAsia="宋体"/>
                <w:b w:val="0"/>
                <w:sz w:val="15"/>
              </w:rPr>
              <w:t>四项加严指标全部满足；异常已闭环；数据可追溯到样本、批次和责任人。</w:t>
            </w:r>
          </w:p>
        </w:tc>
      </w:tr>
      <w:tr>
        <w:tc>
          <w:tcPr>
            <w:tcW w:type="dxa" w:w="1984"/>
            <w:vAlign w:val="center"/>
          </w:tcPr>
          <w:p>
            <w:pPr>
              <w:jc w:val="left"/>
            </w:pPr>
            <w:r/>
            <w:r>
              <w:rPr>
                <w:rFonts w:ascii="宋体" w:hAnsi="宋体" w:eastAsia="宋体"/>
                <w:b w:val="0"/>
                <w:sz w:val="15"/>
              </w:rPr>
              <w:t>MIP-RW-002 寿命样本投产状态确认</w:t>
            </w:r>
          </w:p>
        </w:tc>
        <w:tc>
          <w:tcPr>
            <w:tcW w:type="dxa" w:w="3061"/>
            <w:vAlign w:val="center"/>
          </w:tcPr>
          <w:p>
            <w:pPr>
              <w:jc w:val="left"/>
            </w:pPr>
            <w:r/>
            <w:r>
              <w:rPr>
                <w:rFonts w:ascii="宋体" w:hAnsi="宋体" w:eastAsia="宋体"/>
                <w:b w:val="0"/>
                <w:sz w:val="15"/>
              </w:rPr>
              <w:t>两个寿命样本关键件批次、装配状态、初始性能、试验剖面。</w:t>
            </w:r>
          </w:p>
        </w:tc>
        <w:tc>
          <w:tcPr>
            <w:tcW w:type="dxa" w:w="2494"/>
            <w:vAlign w:val="center"/>
          </w:tcPr>
          <w:p>
            <w:pPr>
              <w:jc w:val="left"/>
            </w:pPr>
            <w:r/>
            <w:r>
              <w:rPr>
                <w:rFonts w:ascii="宋体" w:hAnsi="宋体" w:eastAsia="宋体"/>
                <w:b w:val="0"/>
                <w:sz w:val="15"/>
              </w:rPr>
              <w:t>样本履历、装配记录、初始测试报告、寿命方案评审记录。</w:t>
            </w:r>
          </w:p>
        </w:tc>
        <w:tc>
          <w:tcPr>
            <w:tcW w:type="dxa" w:w="2381"/>
            <w:vAlign w:val="center"/>
          </w:tcPr>
          <w:p>
            <w:pPr>
              <w:jc w:val="left"/>
            </w:pPr>
            <w:r/>
            <w:r>
              <w:rPr>
                <w:rFonts w:ascii="宋体" w:hAnsi="宋体" w:eastAsia="宋体"/>
                <w:b w:val="0"/>
                <w:sz w:val="15"/>
              </w:rPr>
              <w:t>寿命样本与飞行产品技术状态具有可比性，试验方案通过评审。</w:t>
            </w:r>
          </w:p>
        </w:tc>
      </w:tr>
      <w:tr>
        <w:tc>
          <w:tcPr>
            <w:tcW w:type="dxa" w:w="1984"/>
            <w:vAlign w:val="center"/>
          </w:tcPr>
          <w:p>
            <w:pPr>
              <w:jc w:val="left"/>
            </w:pPr>
            <w:r/>
            <w:r>
              <w:rPr>
                <w:rFonts w:ascii="宋体" w:hAnsi="宋体" w:eastAsia="宋体"/>
                <w:b w:val="0"/>
                <w:sz w:val="15"/>
              </w:rPr>
              <w:t>MIP-RW-003 GNC接口冻结前检查</w:t>
            </w:r>
          </w:p>
        </w:tc>
        <w:tc>
          <w:tcPr>
            <w:tcW w:type="dxa" w:w="3061"/>
            <w:vAlign w:val="center"/>
          </w:tcPr>
          <w:p>
            <w:pPr>
              <w:jc w:val="left"/>
            </w:pPr>
            <w:r/>
            <w:r>
              <w:rPr>
                <w:rFonts w:ascii="宋体" w:hAnsi="宋体" w:eastAsia="宋体"/>
                <w:b w:val="0"/>
                <w:sz w:val="15"/>
              </w:rPr>
              <w:t>接口协议、安装矩阵、转速极性、遥测字段、保护阈值。</w:t>
            </w:r>
          </w:p>
        </w:tc>
        <w:tc>
          <w:tcPr>
            <w:tcW w:type="dxa" w:w="2494"/>
            <w:vAlign w:val="center"/>
          </w:tcPr>
          <w:p>
            <w:pPr>
              <w:jc w:val="left"/>
            </w:pPr>
            <w:r/>
            <w:r>
              <w:rPr>
                <w:rFonts w:ascii="宋体" w:hAnsi="宋体" w:eastAsia="宋体"/>
                <w:b w:val="0"/>
                <w:sz w:val="15"/>
              </w:rPr>
              <w:t>ICD、接口联试记录、GNC确认单。</w:t>
            </w:r>
          </w:p>
        </w:tc>
        <w:tc>
          <w:tcPr>
            <w:tcW w:type="dxa" w:w="2381"/>
            <w:vAlign w:val="center"/>
          </w:tcPr>
          <w:p>
            <w:pPr>
              <w:jc w:val="left"/>
            </w:pPr>
            <w:r/>
            <w:r>
              <w:rPr>
                <w:rFonts w:ascii="宋体" w:hAnsi="宋体" w:eastAsia="宋体"/>
                <w:b w:val="0"/>
                <w:sz w:val="15"/>
              </w:rPr>
              <w:t>接口项全部确认，未关闭问题不得进入接口冻结。</w:t>
            </w:r>
          </w:p>
        </w:tc>
      </w:tr>
      <w:tr>
        <w:tc>
          <w:tcPr>
            <w:tcW w:type="dxa" w:w="1984"/>
            <w:vAlign w:val="center"/>
          </w:tcPr>
          <w:p>
            <w:pPr>
              <w:jc w:val="left"/>
            </w:pPr>
            <w:r/>
            <w:r>
              <w:rPr>
                <w:rFonts w:ascii="宋体" w:hAnsi="宋体" w:eastAsia="宋体"/>
                <w:b w:val="0"/>
                <w:sz w:val="15"/>
              </w:rPr>
              <w:t>MIP-RW-004 交付前RAMS证据检查</w:t>
            </w:r>
          </w:p>
        </w:tc>
        <w:tc>
          <w:tcPr>
            <w:tcW w:type="dxa" w:w="3061"/>
            <w:vAlign w:val="center"/>
          </w:tcPr>
          <w:p>
            <w:pPr>
              <w:jc w:val="left"/>
            </w:pPr>
            <w:r/>
            <w:r>
              <w:rPr>
                <w:rFonts w:ascii="宋体" w:hAnsi="宋体" w:eastAsia="宋体"/>
                <w:b w:val="0"/>
                <w:sz w:val="15"/>
              </w:rPr>
              <w:t>FMEA/FTA/SCA/WCCA、关键项目、危险分析、残余风险、试验报告。</w:t>
            </w:r>
          </w:p>
        </w:tc>
        <w:tc>
          <w:tcPr>
            <w:tcW w:type="dxa" w:w="2494"/>
            <w:vAlign w:val="center"/>
          </w:tcPr>
          <w:p>
            <w:pPr>
              <w:jc w:val="left"/>
            </w:pPr>
            <w:r/>
            <w:r>
              <w:rPr>
                <w:rFonts w:ascii="宋体" w:hAnsi="宋体" w:eastAsia="宋体"/>
                <w:b w:val="0"/>
                <w:sz w:val="15"/>
              </w:rPr>
              <w:t>RAMS报告、产品保证检查落实表、问题单。</w:t>
            </w:r>
          </w:p>
        </w:tc>
        <w:tc>
          <w:tcPr>
            <w:tcW w:type="dxa" w:w="2381"/>
            <w:vAlign w:val="center"/>
          </w:tcPr>
          <w:p>
            <w:pPr>
              <w:jc w:val="left"/>
            </w:pPr>
            <w:r/>
            <w:r>
              <w:rPr>
                <w:rFonts w:ascii="宋体" w:hAnsi="宋体" w:eastAsia="宋体"/>
                <w:b w:val="0"/>
                <w:sz w:val="15"/>
              </w:rPr>
              <w:t>交付包完整，残余风险经评审确认，问题单关闭或具备受控遗留结论。</w:t>
            </w:r>
          </w:p>
        </w:tc>
      </w:tr>
    </w:tbl>
    <w:p/>
    <w:p>
      <w:pPr>
        <w:pStyle w:val="Heading2"/>
      </w:pPr>
      <w:r>
        <w:rPr>
          <w:rFonts w:ascii="宋体" w:hAnsi="宋体" w:eastAsia="宋体"/>
        </w:rPr>
        <w:t>3.11 交付物要求</w:t>
      </w:r>
    </w:p>
    <w:p>
      <w:pPr>
        <w:spacing w:line="300" w:lineRule="auto" w:after="80"/>
        <w:ind w:firstLine="420"/>
      </w:pPr>
      <w:r>
        <w:rPr>
          <w:rFonts w:ascii="宋体" w:hAnsi="宋体" w:eastAsia="宋体"/>
          <w:b w:val="0"/>
          <w:sz w:val="21"/>
        </w:rPr>
        <w:t>承研单位应按研制阶段提交任务书规定的设计、分析、试验、质量、产品保证和验收交付物。交付物应采用统一编号、版本、责任人、状态和RID字段管理。</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fill="4F647A"/>
            <w:vAlign w:val="center"/>
          </w:tcPr>
          <w:p>
            <w:pPr>
              <w:jc w:val="center"/>
            </w:pPr>
            <w:r/>
            <w:r>
              <w:rPr>
                <w:rFonts w:ascii="宋体" w:hAnsi="宋体" w:eastAsia="宋体"/>
                <w:b/>
                <w:color w:val="FFFFFF"/>
                <w:sz w:val="15"/>
              </w:rPr>
              <w:t>序号</w:t>
            </w:r>
          </w:p>
        </w:tc>
        <w:tc>
          <w:tcPr>
            <w:tcW w:type="dxa" w:w="2835"/>
            <w:shd w:fill="4F647A"/>
            <w:vAlign w:val="center"/>
          </w:tcPr>
          <w:p>
            <w:pPr>
              <w:jc w:val="center"/>
            </w:pPr>
            <w:r/>
            <w:r>
              <w:rPr>
                <w:rFonts w:ascii="宋体" w:hAnsi="宋体" w:eastAsia="宋体"/>
                <w:b/>
                <w:color w:val="FFFFFF"/>
                <w:sz w:val="15"/>
              </w:rPr>
              <w:t>交付物名称</w:t>
            </w:r>
          </w:p>
        </w:tc>
        <w:tc>
          <w:tcPr>
            <w:tcW w:type="dxa" w:w="1871"/>
            <w:shd w:fill="4F647A"/>
            <w:vAlign w:val="center"/>
          </w:tcPr>
          <w:p>
            <w:pPr>
              <w:jc w:val="center"/>
            </w:pPr>
            <w:r/>
            <w:r>
              <w:rPr>
                <w:rFonts w:ascii="宋体" w:hAnsi="宋体" w:eastAsia="宋体"/>
                <w:b/>
                <w:color w:val="FFFFFF"/>
                <w:sz w:val="15"/>
              </w:rPr>
              <w:t>提交时机</w:t>
            </w:r>
          </w:p>
        </w:tc>
        <w:tc>
          <w:tcPr>
            <w:tcW w:type="dxa" w:w="4082"/>
            <w:shd w:fill="4F647A"/>
            <w:vAlign w:val="center"/>
          </w:tcPr>
          <w:p>
            <w:pPr>
              <w:jc w:val="center"/>
            </w:pPr>
            <w:r/>
            <w:r>
              <w:rPr>
                <w:rFonts w:ascii="宋体" w:hAnsi="宋体" w:eastAsia="宋体"/>
                <w:b/>
                <w:color w:val="FFFFFF"/>
                <w:sz w:val="15"/>
              </w:rPr>
              <w:t>验收要求</w:t>
            </w:r>
          </w:p>
        </w:tc>
      </w:tr>
      <w:tr>
        <w:tc>
          <w:tcPr>
            <w:tcW w:type="dxa" w:w="567"/>
            <w:vAlign w:val="center"/>
          </w:tcPr>
          <w:p>
            <w:pPr>
              <w:jc w:val="center"/>
            </w:pPr>
            <w:r/>
            <w:r>
              <w:rPr>
                <w:rFonts w:ascii="宋体" w:hAnsi="宋体" w:eastAsia="宋体"/>
                <w:b w:val="0"/>
                <w:sz w:val="15"/>
              </w:rPr>
              <w:t>1</w:t>
            </w:r>
          </w:p>
        </w:tc>
        <w:tc>
          <w:tcPr>
            <w:tcW w:type="dxa" w:w="2835"/>
            <w:vAlign w:val="center"/>
          </w:tcPr>
          <w:p>
            <w:pPr>
              <w:jc w:val="center"/>
            </w:pPr>
            <w:r/>
            <w:r>
              <w:rPr>
                <w:rFonts w:ascii="宋体" w:hAnsi="宋体" w:eastAsia="宋体"/>
                <w:b w:val="0"/>
                <w:sz w:val="15"/>
              </w:rPr>
              <w:t>飞轮设计方案/详细设计说明</w:t>
            </w:r>
          </w:p>
        </w:tc>
        <w:tc>
          <w:tcPr>
            <w:tcW w:type="dxa" w:w="1871"/>
            <w:vAlign w:val="center"/>
          </w:tcPr>
          <w:p>
            <w:pPr>
              <w:jc w:val="center"/>
            </w:pPr>
            <w:r/>
            <w:r>
              <w:rPr>
                <w:rFonts w:ascii="宋体" w:hAnsi="宋体" w:eastAsia="宋体"/>
                <w:b w:val="0"/>
                <w:sz w:val="15"/>
              </w:rPr>
              <w:t>方案设计/详细设计阶段</w:t>
            </w:r>
          </w:p>
        </w:tc>
        <w:tc>
          <w:tcPr>
            <w:tcW w:type="dxa" w:w="4082"/>
            <w:vAlign w:val="center"/>
          </w:tcPr>
          <w:p>
            <w:pPr>
              <w:jc w:val="left"/>
            </w:pPr>
            <w:r/>
            <w:r>
              <w:rPr>
                <w:rFonts w:ascii="宋体" w:hAnsi="宋体" w:eastAsia="宋体"/>
                <w:b w:val="0"/>
                <w:sz w:val="15"/>
              </w:rPr>
              <w:t>功能、性能、接口、保护、工艺和试验要求完整，已响应任务书。</w:t>
            </w:r>
          </w:p>
        </w:tc>
      </w:tr>
      <w:tr>
        <w:tc>
          <w:tcPr>
            <w:tcW w:type="dxa" w:w="567"/>
            <w:vAlign w:val="center"/>
          </w:tcPr>
          <w:p>
            <w:pPr>
              <w:jc w:val="center"/>
            </w:pPr>
            <w:r/>
            <w:r>
              <w:rPr>
                <w:rFonts w:ascii="宋体" w:hAnsi="宋体" w:eastAsia="宋体"/>
                <w:b w:val="0"/>
                <w:sz w:val="15"/>
              </w:rPr>
              <w:t>2</w:t>
            </w:r>
          </w:p>
        </w:tc>
        <w:tc>
          <w:tcPr>
            <w:tcW w:type="dxa" w:w="2835"/>
            <w:vAlign w:val="center"/>
          </w:tcPr>
          <w:p>
            <w:pPr>
              <w:jc w:val="center"/>
            </w:pPr>
            <w:r/>
            <w:r>
              <w:rPr>
                <w:rFonts w:ascii="宋体" w:hAnsi="宋体" w:eastAsia="宋体"/>
                <w:b w:val="0"/>
                <w:sz w:val="15"/>
              </w:rPr>
              <w:t>接口控制文件ICD</w:t>
            </w:r>
          </w:p>
        </w:tc>
        <w:tc>
          <w:tcPr>
            <w:tcW w:type="dxa" w:w="1871"/>
            <w:vAlign w:val="center"/>
          </w:tcPr>
          <w:p>
            <w:pPr>
              <w:jc w:val="center"/>
            </w:pPr>
            <w:r/>
            <w:r>
              <w:rPr>
                <w:rFonts w:ascii="宋体" w:hAnsi="宋体" w:eastAsia="宋体"/>
                <w:b w:val="0"/>
                <w:sz w:val="15"/>
              </w:rPr>
              <w:t>接口冻结前</w:t>
            </w:r>
          </w:p>
        </w:tc>
        <w:tc>
          <w:tcPr>
            <w:tcW w:type="dxa" w:w="4082"/>
            <w:vAlign w:val="center"/>
          </w:tcPr>
          <w:p>
            <w:pPr>
              <w:jc w:val="left"/>
            </w:pPr>
            <w:r/>
            <w:r>
              <w:rPr>
                <w:rFonts w:ascii="宋体" w:hAnsi="宋体" w:eastAsia="宋体"/>
                <w:b w:val="0"/>
                <w:sz w:val="15"/>
              </w:rPr>
              <w:t>机械、电气、热、通信、EMC、接地和数据字典完整。</w:t>
            </w:r>
          </w:p>
        </w:tc>
      </w:tr>
      <w:tr>
        <w:tc>
          <w:tcPr>
            <w:tcW w:type="dxa" w:w="567"/>
            <w:vAlign w:val="center"/>
          </w:tcPr>
          <w:p>
            <w:pPr>
              <w:jc w:val="center"/>
            </w:pPr>
            <w:r/>
            <w:r>
              <w:rPr>
                <w:rFonts w:ascii="宋体" w:hAnsi="宋体" w:eastAsia="宋体"/>
                <w:b w:val="0"/>
                <w:sz w:val="15"/>
              </w:rPr>
              <w:t>3</w:t>
            </w:r>
          </w:p>
        </w:tc>
        <w:tc>
          <w:tcPr>
            <w:tcW w:type="dxa" w:w="2835"/>
            <w:vAlign w:val="center"/>
          </w:tcPr>
          <w:p>
            <w:pPr>
              <w:jc w:val="center"/>
            </w:pPr>
            <w:r/>
            <w:r>
              <w:rPr>
                <w:rFonts w:ascii="宋体" w:hAnsi="宋体" w:eastAsia="宋体"/>
                <w:b w:val="0"/>
                <w:sz w:val="15"/>
              </w:rPr>
              <w:t>轴承组件筛选方案与记录</w:t>
            </w:r>
          </w:p>
        </w:tc>
        <w:tc>
          <w:tcPr>
            <w:tcW w:type="dxa" w:w="1871"/>
            <w:vAlign w:val="center"/>
          </w:tcPr>
          <w:p>
            <w:pPr>
              <w:jc w:val="center"/>
            </w:pPr>
            <w:r/>
            <w:r>
              <w:rPr>
                <w:rFonts w:ascii="宋体" w:hAnsi="宋体" w:eastAsia="宋体"/>
                <w:b w:val="0"/>
                <w:sz w:val="15"/>
              </w:rPr>
              <w:t>轴承装机前</w:t>
            </w:r>
          </w:p>
        </w:tc>
        <w:tc>
          <w:tcPr>
            <w:tcW w:type="dxa" w:w="4082"/>
            <w:vAlign w:val="center"/>
          </w:tcPr>
          <w:p>
            <w:pPr>
              <w:jc w:val="left"/>
            </w:pPr>
            <w:r/>
            <w:r>
              <w:rPr>
                <w:rFonts w:ascii="宋体" w:hAnsi="宋体" w:eastAsia="宋体"/>
                <w:b w:val="0"/>
                <w:sz w:val="15"/>
              </w:rPr>
              <w:t>满足3.6要求，作为强制检验点放行依据。</w:t>
            </w:r>
          </w:p>
        </w:tc>
      </w:tr>
      <w:tr>
        <w:tc>
          <w:tcPr>
            <w:tcW w:type="dxa" w:w="567"/>
            <w:vAlign w:val="center"/>
          </w:tcPr>
          <w:p>
            <w:pPr>
              <w:jc w:val="center"/>
            </w:pPr>
            <w:r/>
            <w:r>
              <w:rPr>
                <w:rFonts w:ascii="宋体" w:hAnsi="宋体" w:eastAsia="宋体"/>
                <w:b w:val="0"/>
                <w:sz w:val="15"/>
              </w:rPr>
              <w:t>4</w:t>
            </w:r>
          </w:p>
        </w:tc>
        <w:tc>
          <w:tcPr>
            <w:tcW w:type="dxa" w:w="2835"/>
            <w:vAlign w:val="center"/>
          </w:tcPr>
          <w:p>
            <w:pPr>
              <w:jc w:val="center"/>
            </w:pPr>
            <w:r/>
            <w:r>
              <w:rPr>
                <w:rFonts w:ascii="宋体" w:hAnsi="宋体" w:eastAsia="宋体"/>
                <w:b w:val="0"/>
                <w:sz w:val="15"/>
              </w:rPr>
              <w:t>寿命试验方案与寿命评估报告</w:t>
            </w:r>
          </w:p>
        </w:tc>
        <w:tc>
          <w:tcPr>
            <w:tcW w:type="dxa" w:w="1871"/>
            <w:vAlign w:val="center"/>
          </w:tcPr>
          <w:p>
            <w:pPr>
              <w:jc w:val="center"/>
            </w:pPr>
            <w:r/>
            <w:r>
              <w:rPr>
                <w:rFonts w:ascii="宋体" w:hAnsi="宋体" w:eastAsia="宋体"/>
                <w:b w:val="0"/>
                <w:sz w:val="15"/>
              </w:rPr>
              <w:t>寿命试验前/分系统总结前</w:t>
            </w:r>
          </w:p>
        </w:tc>
        <w:tc>
          <w:tcPr>
            <w:tcW w:type="dxa" w:w="4082"/>
            <w:vAlign w:val="center"/>
          </w:tcPr>
          <w:p>
            <w:pPr>
              <w:jc w:val="left"/>
            </w:pPr>
            <w:r/>
            <w:r>
              <w:rPr>
                <w:rFonts w:ascii="宋体" w:hAnsi="宋体" w:eastAsia="宋体"/>
                <w:b w:val="0"/>
                <w:sz w:val="15"/>
              </w:rPr>
              <w:t>两个样本、1:1不间断试验、过程数据和评估结论完整。</w:t>
            </w:r>
          </w:p>
        </w:tc>
      </w:tr>
      <w:tr>
        <w:tc>
          <w:tcPr>
            <w:tcW w:type="dxa" w:w="567"/>
            <w:vAlign w:val="center"/>
          </w:tcPr>
          <w:p>
            <w:pPr>
              <w:jc w:val="center"/>
            </w:pPr>
            <w:r/>
            <w:r>
              <w:rPr>
                <w:rFonts w:ascii="宋体" w:hAnsi="宋体" w:eastAsia="宋体"/>
                <w:b w:val="0"/>
                <w:sz w:val="15"/>
              </w:rPr>
              <w:t>5</w:t>
            </w:r>
          </w:p>
        </w:tc>
        <w:tc>
          <w:tcPr>
            <w:tcW w:type="dxa" w:w="2835"/>
            <w:vAlign w:val="center"/>
          </w:tcPr>
          <w:p>
            <w:pPr>
              <w:jc w:val="center"/>
            </w:pPr>
            <w:r/>
            <w:r>
              <w:rPr>
                <w:rFonts w:ascii="宋体" w:hAnsi="宋体" w:eastAsia="宋体"/>
                <w:b w:val="0"/>
                <w:sz w:val="15"/>
              </w:rPr>
              <w:t>可靠性安全性设计与分析报告</w:t>
            </w:r>
          </w:p>
        </w:tc>
        <w:tc>
          <w:tcPr>
            <w:tcW w:type="dxa" w:w="1871"/>
            <w:vAlign w:val="center"/>
          </w:tcPr>
          <w:p>
            <w:pPr>
              <w:jc w:val="center"/>
            </w:pPr>
            <w:r/>
            <w:r>
              <w:rPr>
                <w:rFonts w:ascii="宋体" w:hAnsi="宋体" w:eastAsia="宋体"/>
                <w:b w:val="0"/>
                <w:sz w:val="15"/>
              </w:rPr>
              <w:t>初样阶段评审前</w:t>
            </w:r>
          </w:p>
        </w:tc>
        <w:tc>
          <w:tcPr>
            <w:tcW w:type="dxa" w:w="4082"/>
            <w:vAlign w:val="center"/>
          </w:tcPr>
          <w:p>
            <w:pPr>
              <w:jc w:val="left"/>
            </w:pPr>
            <w:r/>
            <w:r>
              <w:rPr>
                <w:rFonts w:ascii="宋体" w:hAnsi="宋体" w:eastAsia="宋体"/>
                <w:b w:val="0"/>
                <w:sz w:val="15"/>
              </w:rPr>
              <w:t>严格按可靠性安全性模板章节编制，支撑FMEA/FTA/SCA/WCCA等分析。</w:t>
            </w:r>
          </w:p>
        </w:tc>
      </w:tr>
      <w:tr>
        <w:tc>
          <w:tcPr>
            <w:tcW w:type="dxa" w:w="567"/>
            <w:vAlign w:val="center"/>
          </w:tcPr>
          <w:p>
            <w:pPr>
              <w:jc w:val="center"/>
            </w:pPr>
            <w:r/>
            <w:r>
              <w:rPr>
                <w:rFonts w:ascii="宋体" w:hAnsi="宋体" w:eastAsia="宋体"/>
                <w:b w:val="0"/>
                <w:sz w:val="15"/>
              </w:rPr>
              <w:t>6</w:t>
            </w:r>
          </w:p>
        </w:tc>
        <w:tc>
          <w:tcPr>
            <w:tcW w:type="dxa" w:w="2835"/>
            <w:vAlign w:val="center"/>
          </w:tcPr>
          <w:p>
            <w:pPr>
              <w:jc w:val="center"/>
            </w:pPr>
            <w:r/>
            <w:r>
              <w:rPr>
                <w:rFonts w:ascii="宋体" w:hAnsi="宋体" w:eastAsia="宋体"/>
                <w:b w:val="0"/>
                <w:sz w:val="15"/>
              </w:rPr>
              <w:t>产品保证检查单落实表</w:t>
            </w:r>
          </w:p>
        </w:tc>
        <w:tc>
          <w:tcPr>
            <w:tcW w:type="dxa" w:w="1871"/>
            <w:vAlign w:val="center"/>
          </w:tcPr>
          <w:p>
            <w:pPr>
              <w:jc w:val="center"/>
            </w:pPr>
            <w:r/>
            <w:r>
              <w:rPr>
                <w:rFonts w:ascii="宋体" w:hAnsi="宋体" w:eastAsia="宋体"/>
                <w:b w:val="0"/>
                <w:sz w:val="15"/>
              </w:rPr>
              <w:t>初样转阶段/交付前</w:t>
            </w:r>
          </w:p>
        </w:tc>
        <w:tc>
          <w:tcPr>
            <w:tcW w:type="dxa" w:w="4082"/>
            <w:vAlign w:val="center"/>
          </w:tcPr>
          <w:p>
            <w:pPr>
              <w:jc w:val="left"/>
            </w:pPr>
            <w:r/>
            <w:r>
              <w:rPr>
                <w:rFonts w:ascii="宋体" w:hAnsi="宋体" w:eastAsia="宋体"/>
                <w:b w:val="0"/>
                <w:sz w:val="15"/>
              </w:rPr>
              <w:t>逐项对应检查材料、责任单位、状态、问题单和关闭证据。</w:t>
            </w:r>
          </w:p>
        </w:tc>
      </w:tr>
      <w:tr>
        <w:tc>
          <w:tcPr>
            <w:tcW w:type="dxa" w:w="567"/>
            <w:vAlign w:val="center"/>
          </w:tcPr>
          <w:p>
            <w:pPr>
              <w:jc w:val="center"/>
            </w:pPr>
            <w:r/>
            <w:r>
              <w:rPr>
                <w:rFonts w:ascii="宋体" w:hAnsi="宋体" w:eastAsia="宋体"/>
                <w:b w:val="0"/>
                <w:sz w:val="15"/>
              </w:rPr>
              <w:t>7</w:t>
            </w:r>
          </w:p>
        </w:tc>
        <w:tc>
          <w:tcPr>
            <w:tcW w:type="dxa" w:w="2835"/>
            <w:vAlign w:val="center"/>
          </w:tcPr>
          <w:p>
            <w:pPr>
              <w:jc w:val="left"/>
            </w:pPr>
            <w:r/>
            <w:r>
              <w:rPr>
                <w:rFonts w:ascii="宋体" w:hAnsi="宋体" w:eastAsia="宋体"/>
                <w:b w:val="0"/>
                <w:sz w:val="15"/>
              </w:rPr>
              <w:t>性能、环境、EMC、故障注入和GNC联试报告</w:t>
            </w:r>
          </w:p>
        </w:tc>
        <w:tc>
          <w:tcPr>
            <w:tcW w:type="dxa" w:w="1871"/>
            <w:vAlign w:val="center"/>
          </w:tcPr>
          <w:p>
            <w:pPr>
              <w:jc w:val="center"/>
            </w:pPr>
            <w:r/>
            <w:r>
              <w:rPr>
                <w:rFonts w:ascii="宋体" w:hAnsi="宋体" w:eastAsia="宋体"/>
                <w:b w:val="0"/>
                <w:sz w:val="15"/>
              </w:rPr>
              <w:t>相应试验完成后</w:t>
            </w:r>
          </w:p>
        </w:tc>
        <w:tc>
          <w:tcPr>
            <w:tcW w:type="dxa" w:w="4082"/>
            <w:vAlign w:val="center"/>
          </w:tcPr>
          <w:p>
            <w:pPr>
              <w:jc w:val="left"/>
            </w:pPr>
            <w:r/>
            <w:r>
              <w:rPr>
                <w:rFonts w:ascii="宋体" w:hAnsi="宋体" w:eastAsia="宋体"/>
                <w:b w:val="0"/>
                <w:sz w:val="15"/>
              </w:rPr>
              <w:t>报告含原始数据索引、判据、结论、异常及闭环记录。</w:t>
            </w:r>
          </w:p>
        </w:tc>
      </w:tr>
      <w:tr>
        <w:tc>
          <w:tcPr>
            <w:tcW w:type="dxa" w:w="567"/>
            <w:vAlign w:val="center"/>
          </w:tcPr>
          <w:p>
            <w:pPr>
              <w:jc w:val="center"/>
            </w:pPr>
            <w:r/>
            <w:r>
              <w:rPr>
                <w:rFonts w:ascii="宋体" w:hAnsi="宋体" w:eastAsia="宋体"/>
                <w:b w:val="0"/>
                <w:sz w:val="15"/>
              </w:rPr>
              <w:t>8</w:t>
            </w:r>
          </w:p>
        </w:tc>
        <w:tc>
          <w:tcPr>
            <w:tcW w:type="dxa" w:w="2835"/>
            <w:vAlign w:val="center"/>
          </w:tcPr>
          <w:p>
            <w:pPr>
              <w:jc w:val="center"/>
            </w:pPr>
            <w:r/>
            <w:r>
              <w:rPr>
                <w:rFonts w:ascii="宋体" w:hAnsi="宋体" w:eastAsia="宋体"/>
                <w:b w:val="0"/>
                <w:sz w:val="15"/>
              </w:rPr>
              <w:t>问题单与质量归零材料</w:t>
            </w:r>
          </w:p>
        </w:tc>
        <w:tc>
          <w:tcPr>
            <w:tcW w:type="dxa" w:w="1871"/>
            <w:vAlign w:val="center"/>
          </w:tcPr>
          <w:p>
            <w:pPr>
              <w:jc w:val="center"/>
            </w:pPr>
            <w:r/>
            <w:r>
              <w:rPr>
                <w:rFonts w:ascii="宋体" w:hAnsi="宋体" w:eastAsia="宋体"/>
                <w:b w:val="0"/>
                <w:sz w:val="15"/>
              </w:rPr>
              <w:t>问题发生后/交付前</w:t>
            </w:r>
          </w:p>
        </w:tc>
        <w:tc>
          <w:tcPr>
            <w:tcW w:type="dxa" w:w="4082"/>
            <w:vAlign w:val="center"/>
          </w:tcPr>
          <w:p>
            <w:pPr>
              <w:jc w:val="left"/>
            </w:pPr>
            <w:r/>
            <w:r>
              <w:rPr>
                <w:rFonts w:ascii="宋体" w:hAnsi="宋体" w:eastAsia="宋体"/>
                <w:b w:val="0"/>
                <w:sz w:val="15"/>
              </w:rPr>
              <w:t>问题原因、措施、验证、举一反三和归零结论完整。</w:t>
            </w:r>
          </w:p>
        </w:tc>
      </w:tr>
      <w:tr>
        <w:tc>
          <w:tcPr>
            <w:tcW w:type="dxa" w:w="567"/>
            <w:vAlign w:val="center"/>
          </w:tcPr>
          <w:p>
            <w:pPr>
              <w:jc w:val="center"/>
            </w:pPr>
            <w:r/>
            <w:r>
              <w:rPr>
                <w:rFonts w:ascii="宋体" w:hAnsi="宋体" w:eastAsia="宋体"/>
                <w:b w:val="0"/>
                <w:sz w:val="15"/>
              </w:rPr>
              <w:t>9</w:t>
            </w:r>
          </w:p>
        </w:tc>
        <w:tc>
          <w:tcPr>
            <w:tcW w:type="dxa" w:w="2835"/>
            <w:vAlign w:val="center"/>
          </w:tcPr>
          <w:p>
            <w:pPr>
              <w:jc w:val="center"/>
            </w:pPr>
            <w:r/>
            <w:r>
              <w:rPr>
                <w:rFonts w:ascii="宋体" w:hAnsi="宋体" w:eastAsia="宋体"/>
                <w:b w:val="0"/>
                <w:sz w:val="15"/>
              </w:rPr>
              <w:t>交付验收数据包</w:t>
            </w:r>
          </w:p>
        </w:tc>
        <w:tc>
          <w:tcPr>
            <w:tcW w:type="dxa" w:w="1871"/>
            <w:vAlign w:val="center"/>
          </w:tcPr>
          <w:p>
            <w:pPr>
              <w:jc w:val="center"/>
            </w:pPr>
            <w:r/>
            <w:r>
              <w:rPr>
                <w:rFonts w:ascii="宋体" w:hAnsi="宋体" w:eastAsia="宋体"/>
                <w:b w:val="0"/>
                <w:sz w:val="15"/>
              </w:rPr>
              <w:t>交付前</w:t>
            </w:r>
          </w:p>
        </w:tc>
        <w:tc>
          <w:tcPr>
            <w:tcW w:type="dxa" w:w="4082"/>
            <w:vAlign w:val="center"/>
          </w:tcPr>
          <w:p>
            <w:pPr>
              <w:jc w:val="left"/>
            </w:pPr>
            <w:r/>
            <w:r>
              <w:rPr>
                <w:rFonts w:ascii="宋体" w:hAnsi="宋体" w:eastAsia="宋体"/>
                <w:b w:val="0"/>
                <w:sz w:val="15"/>
              </w:rPr>
              <w:t>含版本清单、实物履历、测试报告、放行记录、残余风险和验收结论。</w:t>
            </w:r>
          </w:p>
        </w:tc>
      </w:tr>
    </w:tbl>
    <w:p/>
    <w:p>
      <w:r>
        <w:rPr>
          <w:rFonts w:ascii="宋体" w:hAnsi="宋体" w:eastAsia="宋体"/>
        </w:rPr>
        <w:br w:type="page"/>
      </w:r>
    </w:p>
    <w:p>
      <w:pPr>
        <w:pStyle w:val="Heading2"/>
      </w:pPr>
      <w:r>
        <w:rPr>
          <w:rFonts w:ascii="宋体" w:hAnsi="宋体" w:eastAsia="宋体"/>
        </w:rPr>
        <w:t>3.12 审查与验收准则</w:t>
      </w:r>
    </w:p>
    <w:p>
      <w:pPr>
        <w:spacing w:line="300" w:lineRule="auto" w:after="80"/>
        <w:ind w:firstLine="420"/>
      </w:pPr>
      <w:r>
        <w:rPr>
          <w:rFonts w:ascii="宋体" w:hAnsi="宋体" w:eastAsia="宋体"/>
          <w:b w:val="0"/>
          <w:sz w:val="21"/>
        </w:rPr>
        <w:t>飞轮研制任务的验收应采用“任务要求—设计实现—试验验证—交付证据—专家确认”的闭环判据。智能化辅助审查可用于结构合规性、内容逻辑性、业务覆盖度、接口一致性和证据完整性预审，不替代人工专家裁定。</w:t>
      </w:r>
    </w:p>
    <w:tbl>
      <w:tblPr>
        <w:tblStyle w:val="TableGrid"/>
        <w:tblW w:type="auto" w:w="0"/>
        <w:jc w:val="center"/>
        <w:tblLook w:firstColumn="1" w:firstRow="1" w:lastColumn="0" w:lastRow="0" w:noHBand="0" w:noVBand="1" w:val="04A0"/>
      </w:tblPr>
      <w:tblGrid>
        <w:gridCol w:w="4816"/>
        <w:gridCol w:w="4816"/>
      </w:tblGrid>
      <w:tr>
        <w:tc>
          <w:tcPr>
            <w:tcW w:type="dxa" w:w="2268"/>
            <w:shd w:fill="4F647A"/>
            <w:vAlign w:val="center"/>
          </w:tcPr>
          <w:p>
            <w:pPr>
              <w:jc w:val="center"/>
            </w:pPr>
            <w:r/>
            <w:r>
              <w:rPr>
                <w:rFonts w:ascii="宋体" w:hAnsi="宋体" w:eastAsia="宋体"/>
                <w:b/>
                <w:color w:val="FFFFFF"/>
                <w:sz w:val="16"/>
              </w:rPr>
              <w:t>审查项</w:t>
            </w:r>
          </w:p>
        </w:tc>
        <w:tc>
          <w:tcPr>
            <w:tcW w:type="dxa" w:w="7087"/>
            <w:shd w:fill="4F647A"/>
            <w:vAlign w:val="center"/>
          </w:tcPr>
          <w:p>
            <w:pPr>
              <w:jc w:val="center"/>
            </w:pPr>
            <w:r/>
            <w:r>
              <w:rPr>
                <w:rFonts w:ascii="宋体" w:hAnsi="宋体" w:eastAsia="宋体"/>
                <w:b/>
                <w:color w:val="FFFFFF"/>
                <w:sz w:val="16"/>
              </w:rPr>
              <w:t>验收准则</w:t>
            </w:r>
          </w:p>
        </w:tc>
      </w:tr>
      <w:tr>
        <w:tc>
          <w:tcPr>
            <w:tcW w:type="dxa" w:w="2268"/>
            <w:vAlign w:val="center"/>
          </w:tcPr>
          <w:p>
            <w:pPr>
              <w:jc w:val="center"/>
            </w:pPr>
            <w:r/>
            <w:r>
              <w:rPr>
                <w:rFonts w:ascii="宋体" w:hAnsi="宋体" w:eastAsia="宋体"/>
                <w:b w:val="0"/>
                <w:sz w:val="16"/>
              </w:rPr>
              <w:t>任务要求完整性</w:t>
            </w:r>
          </w:p>
        </w:tc>
        <w:tc>
          <w:tcPr>
            <w:tcW w:type="dxa" w:w="7087"/>
            <w:vAlign w:val="center"/>
          </w:tcPr>
          <w:p>
            <w:pPr>
              <w:jc w:val="left"/>
            </w:pPr>
            <w:r/>
            <w:r>
              <w:rPr>
                <w:rFonts w:ascii="宋体" w:hAnsi="宋体" w:eastAsia="宋体"/>
                <w:b w:val="0"/>
                <w:sz w:val="16"/>
              </w:rPr>
              <w:t>任务书中的GNC牵引、飞轮单机、轴承筛选、寿命试验、可靠性安全性、接口、交付物和强制检验点均有责任单位和交付证据。</w:t>
            </w:r>
          </w:p>
        </w:tc>
      </w:tr>
      <w:tr>
        <w:tc>
          <w:tcPr>
            <w:tcW w:type="dxa" w:w="2268"/>
            <w:vAlign w:val="center"/>
          </w:tcPr>
          <w:p>
            <w:pPr>
              <w:jc w:val="center"/>
            </w:pPr>
            <w:r/>
            <w:r>
              <w:rPr>
                <w:rFonts w:ascii="宋体" w:hAnsi="宋体" w:eastAsia="宋体"/>
                <w:b w:val="0"/>
                <w:sz w:val="16"/>
              </w:rPr>
              <w:t>指标一致性</w:t>
            </w:r>
          </w:p>
        </w:tc>
        <w:tc>
          <w:tcPr>
            <w:tcW w:type="dxa" w:w="7087"/>
            <w:vAlign w:val="center"/>
          </w:tcPr>
          <w:p>
            <w:pPr>
              <w:jc w:val="left"/>
            </w:pPr>
            <w:r/>
            <w:r>
              <w:rPr>
                <w:rFonts w:ascii="宋体" w:hAnsi="宋体" w:eastAsia="宋体"/>
                <w:b w:val="0"/>
                <w:sz w:val="16"/>
              </w:rPr>
              <w:t>公开型号数据仅作为参照包络；蓬莱一号指标与总体/GNC输入一致；不得把公开型号参数误写为蓬莱一号定型参数。</w:t>
            </w:r>
          </w:p>
        </w:tc>
      </w:tr>
      <w:tr>
        <w:tc>
          <w:tcPr>
            <w:tcW w:type="dxa" w:w="2268"/>
            <w:vAlign w:val="center"/>
          </w:tcPr>
          <w:p>
            <w:pPr>
              <w:jc w:val="center"/>
            </w:pPr>
            <w:r/>
            <w:r>
              <w:rPr>
                <w:rFonts w:ascii="宋体" w:hAnsi="宋体" w:eastAsia="宋体"/>
                <w:b w:val="0"/>
                <w:sz w:val="16"/>
              </w:rPr>
              <w:t>产品保证一致性</w:t>
            </w:r>
          </w:p>
        </w:tc>
        <w:tc>
          <w:tcPr>
            <w:tcW w:type="dxa" w:w="7087"/>
            <w:vAlign w:val="center"/>
          </w:tcPr>
          <w:p>
            <w:pPr>
              <w:jc w:val="left"/>
            </w:pPr>
            <w:r/>
            <w:r>
              <w:rPr>
                <w:rFonts w:ascii="宋体" w:hAnsi="宋体" w:eastAsia="宋体"/>
                <w:b w:val="0"/>
                <w:sz w:val="16"/>
              </w:rPr>
              <w:t>产品保证检查单所列关键项目、任务剖面、可靠性模型、FMEA、FTA、SCA、WCCA、降额、EMC、故障容限和可靠性验证均已映射到交付物。</w:t>
            </w:r>
          </w:p>
        </w:tc>
      </w:tr>
      <w:tr>
        <w:tc>
          <w:tcPr>
            <w:tcW w:type="dxa" w:w="2268"/>
            <w:vAlign w:val="center"/>
          </w:tcPr>
          <w:p>
            <w:pPr>
              <w:jc w:val="center"/>
            </w:pPr>
            <w:r/>
            <w:r>
              <w:rPr>
                <w:rFonts w:ascii="宋体" w:hAnsi="宋体" w:eastAsia="宋体"/>
                <w:b w:val="0"/>
                <w:sz w:val="16"/>
              </w:rPr>
              <w:t>数据可追溯性</w:t>
            </w:r>
          </w:p>
        </w:tc>
        <w:tc>
          <w:tcPr>
            <w:tcW w:type="dxa" w:w="7087"/>
            <w:vAlign w:val="center"/>
          </w:tcPr>
          <w:p>
            <w:pPr>
              <w:jc w:val="left"/>
            </w:pPr>
            <w:r/>
            <w:r>
              <w:rPr>
                <w:rFonts w:ascii="宋体" w:hAnsi="宋体" w:eastAsia="宋体"/>
                <w:b w:val="0"/>
                <w:sz w:val="16"/>
              </w:rPr>
              <w:t>需求编号、试验编号、样本编号、批次编号、问题单编号和RID字段完整，支持文档解析和复核。</w:t>
            </w:r>
          </w:p>
        </w:tc>
      </w:tr>
      <w:tr>
        <w:tc>
          <w:tcPr>
            <w:tcW w:type="dxa" w:w="2268"/>
            <w:vAlign w:val="center"/>
          </w:tcPr>
          <w:p>
            <w:pPr>
              <w:jc w:val="center"/>
            </w:pPr>
            <w:r/>
            <w:r>
              <w:rPr>
                <w:rFonts w:ascii="宋体" w:hAnsi="宋体" w:eastAsia="宋体"/>
                <w:b w:val="0"/>
                <w:sz w:val="16"/>
              </w:rPr>
              <w:t>风险闭环性</w:t>
            </w:r>
          </w:p>
        </w:tc>
        <w:tc>
          <w:tcPr>
            <w:tcW w:type="dxa" w:w="7087"/>
            <w:vAlign w:val="center"/>
          </w:tcPr>
          <w:p>
            <w:pPr>
              <w:jc w:val="left"/>
            </w:pPr>
            <w:r/>
            <w:r>
              <w:rPr>
                <w:rFonts w:ascii="宋体" w:hAnsi="宋体" w:eastAsia="宋体"/>
                <w:b w:val="0"/>
                <w:sz w:val="16"/>
              </w:rPr>
              <w:t>I/II类故障、单点故障、关键项目、残余危险和寿命风险均有措施、验证和评审结论。</w:t>
            </w:r>
          </w:p>
        </w:tc>
      </w:tr>
      <w:tr>
        <w:tc>
          <w:tcPr>
            <w:tcW w:type="dxa" w:w="2268"/>
            <w:vAlign w:val="center"/>
          </w:tcPr>
          <w:p>
            <w:pPr>
              <w:jc w:val="center"/>
            </w:pPr>
            <w:r/>
            <w:r>
              <w:rPr>
                <w:rFonts w:ascii="宋体" w:hAnsi="宋体" w:eastAsia="宋体"/>
                <w:b w:val="0"/>
                <w:sz w:val="16"/>
              </w:rPr>
              <w:t>交付放行</w:t>
            </w:r>
          </w:p>
        </w:tc>
        <w:tc>
          <w:tcPr>
            <w:tcW w:type="dxa" w:w="7087"/>
            <w:vAlign w:val="center"/>
          </w:tcPr>
          <w:p>
            <w:pPr>
              <w:jc w:val="left"/>
            </w:pPr>
            <w:r/>
            <w:r>
              <w:rPr>
                <w:rFonts w:ascii="宋体" w:hAnsi="宋体" w:eastAsia="宋体"/>
                <w:b w:val="0"/>
                <w:sz w:val="16"/>
              </w:rPr>
              <w:t>强制检验点通过，交付包完整，未关闭问题有受控处理意见，经专家评审确认后方可放行。</w:t>
            </w:r>
          </w:p>
        </w:tc>
      </w:tr>
    </w:tbl>
    <w:p/>
    <w:p>
      <w:r>
        <w:rPr>
          <w:rFonts w:ascii="宋体" w:hAnsi="宋体" w:eastAsia="宋体"/>
        </w:rPr>
        <w:br w:type="page"/>
      </w:r>
    </w:p>
    <w:p>
      <w:pPr>
        <w:pStyle w:val="Heading1"/>
      </w:pPr>
      <w:r>
        <w:rPr>
          <w:rFonts w:ascii="宋体" w:hAnsi="宋体" w:eastAsia="宋体"/>
        </w:rPr>
        <w:t>附录A 任务要求—交付物—验收准则矩阵</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417"/>
            <w:shd w:fill="4F647A"/>
            <w:vAlign w:val="center"/>
          </w:tcPr>
          <w:p>
            <w:pPr>
              <w:jc w:val="center"/>
            </w:pPr>
            <w:r/>
            <w:r>
              <w:rPr>
                <w:rFonts w:ascii="宋体" w:hAnsi="宋体" w:eastAsia="宋体"/>
                <w:b/>
                <w:color w:val="FFFFFF"/>
                <w:sz w:val="15"/>
              </w:rPr>
              <w:t>需求编号</w:t>
            </w:r>
          </w:p>
        </w:tc>
        <w:tc>
          <w:tcPr>
            <w:tcW w:type="dxa" w:w="3288"/>
            <w:shd w:fill="4F647A"/>
            <w:vAlign w:val="center"/>
          </w:tcPr>
          <w:p>
            <w:pPr>
              <w:jc w:val="center"/>
            </w:pPr>
            <w:r/>
            <w:r>
              <w:rPr>
                <w:rFonts w:ascii="宋体" w:hAnsi="宋体" w:eastAsia="宋体"/>
                <w:b/>
                <w:color w:val="FFFFFF"/>
                <w:sz w:val="15"/>
              </w:rPr>
              <w:t>任务要求</w:t>
            </w:r>
          </w:p>
        </w:tc>
        <w:tc>
          <w:tcPr>
            <w:tcW w:type="dxa" w:w="2381"/>
            <w:shd w:fill="4F647A"/>
            <w:vAlign w:val="center"/>
          </w:tcPr>
          <w:p>
            <w:pPr>
              <w:jc w:val="center"/>
            </w:pPr>
            <w:r/>
            <w:r>
              <w:rPr>
                <w:rFonts w:ascii="宋体" w:hAnsi="宋体" w:eastAsia="宋体"/>
                <w:b/>
                <w:color w:val="FFFFFF"/>
                <w:sz w:val="15"/>
              </w:rPr>
              <w:t>交付物</w:t>
            </w:r>
          </w:p>
        </w:tc>
        <w:tc>
          <w:tcPr>
            <w:tcW w:type="dxa" w:w="2438"/>
            <w:shd w:fill="4F647A"/>
            <w:vAlign w:val="center"/>
          </w:tcPr>
          <w:p>
            <w:pPr>
              <w:jc w:val="center"/>
            </w:pPr>
            <w:r/>
            <w:r>
              <w:rPr>
                <w:rFonts w:ascii="宋体" w:hAnsi="宋体" w:eastAsia="宋体"/>
                <w:b/>
                <w:color w:val="FFFFFF"/>
                <w:sz w:val="15"/>
              </w:rPr>
              <w:t>验收准则</w:t>
            </w:r>
          </w:p>
        </w:tc>
      </w:tr>
      <w:tr>
        <w:tc>
          <w:tcPr>
            <w:tcW w:type="dxa" w:w="1417"/>
            <w:vAlign w:val="center"/>
          </w:tcPr>
          <w:p>
            <w:pPr>
              <w:jc w:val="center"/>
            </w:pPr>
            <w:r/>
            <w:r>
              <w:rPr>
                <w:rFonts w:ascii="宋体" w:hAnsi="宋体" w:eastAsia="宋体"/>
                <w:b w:val="0"/>
                <w:sz w:val="15"/>
              </w:rPr>
              <w:t>RW-REQ-001</w:t>
            </w:r>
          </w:p>
        </w:tc>
        <w:tc>
          <w:tcPr>
            <w:tcW w:type="dxa" w:w="3288"/>
            <w:vAlign w:val="center"/>
          </w:tcPr>
          <w:p>
            <w:pPr>
              <w:jc w:val="left"/>
            </w:pPr>
            <w:r/>
            <w:r>
              <w:rPr>
                <w:rFonts w:ascii="宋体" w:hAnsi="宋体" w:eastAsia="宋体"/>
                <w:b w:val="0"/>
                <w:sz w:val="15"/>
              </w:rPr>
              <w:t>飞轮支撑稳态姿态稳定度0.001°/s目标。</w:t>
            </w:r>
          </w:p>
        </w:tc>
        <w:tc>
          <w:tcPr>
            <w:tcW w:type="dxa" w:w="2381"/>
            <w:vAlign w:val="center"/>
          </w:tcPr>
          <w:p>
            <w:pPr>
              <w:jc w:val="left"/>
            </w:pPr>
            <w:r/>
            <w:r>
              <w:rPr>
                <w:rFonts w:ascii="宋体" w:hAnsi="宋体" w:eastAsia="宋体"/>
                <w:b w:val="0"/>
                <w:sz w:val="15"/>
              </w:rPr>
              <w:t>稳态闭环仿真、力矩响应报告、GNC联试报告。</w:t>
            </w:r>
          </w:p>
        </w:tc>
        <w:tc>
          <w:tcPr>
            <w:tcW w:type="dxa" w:w="2438"/>
            <w:vAlign w:val="center"/>
          </w:tcPr>
          <w:p>
            <w:pPr>
              <w:jc w:val="left"/>
            </w:pPr>
            <w:r/>
            <w:r>
              <w:rPr>
                <w:rFonts w:ascii="宋体" w:hAnsi="宋体" w:eastAsia="宋体"/>
                <w:b w:val="0"/>
                <w:sz w:val="15"/>
              </w:rPr>
              <w:t>稳态窗口内角速度残差和飞轮遥测满足GNC判据。</w:t>
            </w:r>
          </w:p>
        </w:tc>
      </w:tr>
      <w:tr>
        <w:tc>
          <w:tcPr>
            <w:tcW w:type="dxa" w:w="1417"/>
            <w:vAlign w:val="center"/>
          </w:tcPr>
          <w:p>
            <w:pPr>
              <w:jc w:val="center"/>
            </w:pPr>
            <w:r/>
            <w:r>
              <w:rPr>
                <w:rFonts w:ascii="宋体" w:hAnsi="宋体" w:eastAsia="宋体"/>
                <w:b w:val="0"/>
                <w:sz w:val="15"/>
              </w:rPr>
              <w:t>RW-REQ-002</w:t>
            </w:r>
          </w:p>
        </w:tc>
        <w:tc>
          <w:tcPr>
            <w:tcW w:type="dxa" w:w="3288"/>
            <w:vAlign w:val="center"/>
          </w:tcPr>
          <w:p>
            <w:pPr>
              <w:jc w:val="center"/>
            </w:pPr>
            <w:r/>
            <w:r>
              <w:rPr>
                <w:rFonts w:ascii="宋体" w:hAnsi="宋体" w:eastAsia="宋体"/>
                <w:b w:val="0"/>
                <w:sz w:val="15"/>
              </w:rPr>
              <w:t>飞轮支撑控制带宽≥0.5 Hz。</w:t>
            </w:r>
          </w:p>
        </w:tc>
        <w:tc>
          <w:tcPr>
            <w:tcW w:type="dxa" w:w="2381"/>
            <w:vAlign w:val="center"/>
          </w:tcPr>
          <w:p>
            <w:pPr>
              <w:jc w:val="center"/>
            </w:pPr>
            <w:r/>
            <w:r>
              <w:rPr>
                <w:rFonts w:ascii="宋体" w:hAnsi="宋体" w:eastAsia="宋体"/>
                <w:b w:val="0"/>
                <w:sz w:val="15"/>
              </w:rPr>
              <w:t>响应延迟测试、频域分析、联试报告。</w:t>
            </w:r>
          </w:p>
        </w:tc>
        <w:tc>
          <w:tcPr>
            <w:tcW w:type="dxa" w:w="2438"/>
            <w:vAlign w:val="center"/>
          </w:tcPr>
          <w:p>
            <w:pPr>
              <w:jc w:val="center"/>
            </w:pPr>
            <w:r/>
            <w:r>
              <w:rPr>
                <w:rFonts w:ascii="宋体" w:hAnsi="宋体" w:eastAsia="宋体"/>
                <w:b w:val="0"/>
                <w:sz w:val="15"/>
              </w:rPr>
              <w:t>闭环响应有效，无异常振荡和超限。</w:t>
            </w:r>
          </w:p>
        </w:tc>
      </w:tr>
      <w:tr>
        <w:tc>
          <w:tcPr>
            <w:tcW w:type="dxa" w:w="1417"/>
            <w:vAlign w:val="center"/>
          </w:tcPr>
          <w:p>
            <w:pPr>
              <w:jc w:val="center"/>
            </w:pPr>
            <w:r/>
            <w:r>
              <w:rPr>
                <w:rFonts w:ascii="宋体" w:hAnsi="宋体" w:eastAsia="宋体"/>
                <w:b w:val="0"/>
                <w:sz w:val="15"/>
              </w:rPr>
              <w:t>RW-REQ-003</w:t>
            </w:r>
          </w:p>
        </w:tc>
        <w:tc>
          <w:tcPr>
            <w:tcW w:type="dxa" w:w="3288"/>
            <w:vAlign w:val="center"/>
          </w:tcPr>
          <w:p>
            <w:pPr>
              <w:jc w:val="center"/>
            </w:pPr>
            <w:r/>
            <w:r>
              <w:rPr>
                <w:rFonts w:ascii="宋体" w:hAnsi="宋体" w:eastAsia="宋体"/>
                <w:b w:val="0"/>
                <w:sz w:val="15"/>
              </w:rPr>
              <w:t>飞轮支撑90°机动≤30 min。</w:t>
            </w:r>
          </w:p>
        </w:tc>
        <w:tc>
          <w:tcPr>
            <w:tcW w:type="dxa" w:w="2381"/>
            <w:vAlign w:val="center"/>
          </w:tcPr>
          <w:p>
            <w:pPr>
              <w:jc w:val="center"/>
            </w:pPr>
            <w:r/>
            <w:r>
              <w:rPr>
                <w:rFonts w:ascii="宋体" w:hAnsi="宋体" w:eastAsia="宋体"/>
                <w:b w:val="0"/>
                <w:sz w:val="15"/>
              </w:rPr>
              <w:t>机动仿真、热分析、转速剖面测试。</w:t>
            </w:r>
          </w:p>
        </w:tc>
        <w:tc>
          <w:tcPr>
            <w:tcW w:type="dxa" w:w="2438"/>
            <w:vAlign w:val="center"/>
          </w:tcPr>
          <w:p>
            <w:pPr>
              <w:jc w:val="left"/>
            </w:pPr>
            <w:r/>
            <w:r>
              <w:rPr>
                <w:rFonts w:ascii="宋体" w:hAnsi="宋体" w:eastAsia="宋体"/>
                <w:b w:val="0"/>
                <w:sz w:val="15"/>
              </w:rPr>
              <w:t>机动工况下转速、电流、温度、保护状态不越限。</w:t>
            </w:r>
          </w:p>
        </w:tc>
      </w:tr>
      <w:tr>
        <w:tc>
          <w:tcPr>
            <w:tcW w:type="dxa" w:w="1417"/>
            <w:vAlign w:val="center"/>
          </w:tcPr>
          <w:p>
            <w:pPr>
              <w:jc w:val="center"/>
            </w:pPr>
            <w:r/>
            <w:r>
              <w:rPr>
                <w:rFonts w:ascii="宋体" w:hAnsi="宋体" w:eastAsia="宋体"/>
                <w:b w:val="0"/>
                <w:sz w:val="15"/>
              </w:rPr>
              <w:t>RW-REQ-004</w:t>
            </w:r>
          </w:p>
        </w:tc>
        <w:tc>
          <w:tcPr>
            <w:tcW w:type="dxa" w:w="3288"/>
            <w:vAlign w:val="center"/>
          </w:tcPr>
          <w:p>
            <w:pPr>
              <w:jc w:val="left"/>
            </w:pPr>
            <w:r/>
            <w:r>
              <w:rPr>
                <w:rFonts w:ascii="宋体" w:hAnsi="宋体" w:eastAsia="宋体"/>
                <w:b w:val="0"/>
                <w:sz w:val="15"/>
              </w:rPr>
              <w:t>飞轮支持轮组最大角动量40 N·m·s配置。</w:t>
            </w:r>
          </w:p>
        </w:tc>
        <w:tc>
          <w:tcPr>
            <w:tcW w:type="dxa" w:w="2381"/>
            <w:vAlign w:val="center"/>
          </w:tcPr>
          <w:p>
            <w:pPr>
              <w:jc w:val="center"/>
            </w:pPr>
            <w:r/>
            <w:r>
              <w:rPr>
                <w:rFonts w:ascii="宋体" w:hAnsi="宋体" w:eastAsia="宋体"/>
                <w:b w:val="0"/>
                <w:sz w:val="15"/>
              </w:rPr>
              <w:t>角动量分配矩阵、轮组包络分析。</w:t>
            </w:r>
          </w:p>
        </w:tc>
        <w:tc>
          <w:tcPr>
            <w:tcW w:type="dxa" w:w="2438"/>
            <w:vAlign w:val="center"/>
          </w:tcPr>
          <w:p>
            <w:pPr>
              <w:jc w:val="center"/>
            </w:pPr>
            <w:r/>
            <w:r>
              <w:rPr>
                <w:rFonts w:ascii="宋体" w:hAnsi="宋体" w:eastAsia="宋体"/>
                <w:b w:val="0"/>
                <w:sz w:val="15"/>
              </w:rPr>
              <w:t>轮组能力包络覆盖任务剖面。</w:t>
            </w:r>
          </w:p>
        </w:tc>
      </w:tr>
      <w:tr>
        <w:tc>
          <w:tcPr>
            <w:tcW w:type="dxa" w:w="1417"/>
            <w:vAlign w:val="center"/>
          </w:tcPr>
          <w:p>
            <w:pPr>
              <w:jc w:val="center"/>
            </w:pPr>
            <w:r/>
            <w:r>
              <w:rPr>
                <w:rFonts w:ascii="宋体" w:hAnsi="宋体" w:eastAsia="宋体"/>
                <w:b w:val="0"/>
                <w:sz w:val="15"/>
              </w:rPr>
              <w:t>RW-REQ-005</w:t>
            </w:r>
          </w:p>
        </w:tc>
        <w:tc>
          <w:tcPr>
            <w:tcW w:type="dxa" w:w="3288"/>
            <w:vAlign w:val="center"/>
          </w:tcPr>
          <w:p>
            <w:pPr>
              <w:jc w:val="center"/>
            </w:pPr>
            <w:r/>
            <w:r>
              <w:rPr>
                <w:rFonts w:ascii="宋体" w:hAnsi="宋体" w:eastAsia="宋体"/>
                <w:b w:val="0"/>
                <w:sz w:val="15"/>
              </w:rPr>
              <w:t>轴承组件执行加严筛选。</w:t>
            </w:r>
          </w:p>
        </w:tc>
        <w:tc>
          <w:tcPr>
            <w:tcW w:type="dxa" w:w="2381"/>
            <w:vAlign w:val="center"/>
          </w:tcPr>
          <w:p>
            <w:pPr>
              <w:jc w:val="center"/>
            </w:pPr>
            <w:r/>
            <w:r>
              <w:rPr>
                <w:rFonts w:ascii="宋体" w:hAnsi="宋体" w:eastAsia="宋体"/>
                <w:b w:val="0"/>
                <w:sz w:val="15"/>
              </w:rPr>
              <w:t>筛选方案、原始数据、放行单。</w:t>
            </w:r>
          </w:p>
        </w:tc>
        <w:tc>
          <w:tcPr>
            <w:tcW w:type="dxa" w:w="2438"/>
            <w:vAlign w:val="center"/>
          </w:tcPr>
          <w:p>
            <w:pPr>
              <w:jc w:val="center"/>
            </w:pPr>
            <w:r/>
            <w:r>
              <w:rPr>
                <w:rFonts w:ascii="宋体" w:hAnsi="宋体" w:eastAsia="宋体"/>
                <w:b w:val="0"/>
                <w:sz w:val="15"/>
              </w:rPr>
              <w:t>四项指标满足3.6要求。</w:t>
            </w:r>
          </w:p>
        </w:tc>
      </w:tr>
      <w:tr>
        <w:tc>
          <w:tcPr>
            <w:tcW w:type="dxa" w:w="1417"/>
            <w:vAlign w:val="center"/>
          </w:tcPr>
          <w:p>
            <w:pPr>
              <w:jc w:val="center"/>
            </w:pPr>
            <w:r/>
            <w:r>
              <w:rPr>
                <w:rFonts w:ascii="宋体" w:hAnsi="宋体" w:eastAsia="宋体"/>
                <w:b w:val="0"/>
                <w:sz w:val="15"/>
              </w:rPr>
              <w:t>RW-REQ-006</w:t>
            </w:r>
          </w:p>
        </w:tc>
        <w:tc>
          <w:tcPr>
            <w:tcW w:type="dxa" w:w="3288"/>
            <w:vAlign w:val="center"/>
          </w:tcPr>
          <w:p>
            <w:pPr>
              <w:jc w:val="center"/>
            </w:pPr>
            <w:r/>
            <w:r>
              <w:rPr>
                <w:rFonts w:ascii="宋体" w:hAnsi="宋体" w:eastAsia="宋体"/>
                <w:b w:val="0"/>
                <w:sz w:val="15"/>
              </w:rPr>
              <w:t>两个样本开展1:1不间断寿命试验。</w:t>
            </w:r>
          </w:p>
        </w:tc>
        <w:tc>
          <w:tcPr>
            <w:tcW w:type="dxa" w:w="2381"/>
            <w:vAlign w:val="center"/>
          </w:tcPr>
          <w:p>
            <w:pPr>
              <w:jc w:val="left"/>
            </w:pPr>
            <w:r/>
            <w:r>
              <w:rPr>
                <w:rFonts w:ascii="宋体" w:hAnsi="宋体" w:eastAsia="宋体"/>
                <w:b w:val="0"/>
                <w:sz w:val="15"/>
              </w:rPr>
              <w:t>寿命试验方案、过程数据、寿命评估报告。</w:t>
            </w:r>
          </w:p>
        </w:tc>
        <w:tc>
          <w:tcPr>
            <w:tcW w:type="dxa" w:w="2438"/>
            <w:vAlign w:val="center"/>
          </w:tcPr>
          <w:p>
            <w:pPr>
              <w:jc w:val="center"/>
            </w:pPr>
            <w:r/>
            <w:r>
              <w:rPr>
                <w:rFonts w:ascii="宋体" w:hAnsi="宋体" w:eastAsia="宋体"/>
                <w:b w:val="0"/>
                <w:sz w:val="15"/>
              </w:rPr>
              <w:t>分系统总结前完成寿命评估。</w:t>
            </w:r>
          </w:p>
        </w:tc>
      </w:tr>
      <w:tr>
        <w:tc>
          <w:tcPr>
            <w:tcW w:type="dxa" w:w="1417"/>
            <w:vAlign w:val="center"/>
          </w:tcPr>
          <w:p>
            <w:pPr>
              <w:jc w:val="center"/>
            </w:pPr>
            <w:r/>
            <w:r>
              <w:rPr>
                <w:rFonts w:ascii="宋体" w:hAnsi="宋体" w:eastAsia="宋体"/>
                <w:b w:val="0"/>
                <w:sz w:val="15"/>
              </w:rPr>
              <w:t>RW-REQ-007</w:t>
            </w:r>
          </w:p>
        </w:tc>
        <w:tc>
          <w:tcPr>
            <w:tcW w:type="dxa" w:w="3288"/>
            <w:vAlign w:val="center"/>
          </w:tcPr>
          <w:p>
            <w:pPr>
              <w:jc w:val="center"/>
            </w:pPr>
            <w:r/>
            <w:r>
              <w:rPr>
                <w:rFonts w:ascii="宋体" w:hAnsi="宋体" w:eastAsia="宋体"/>
                <w:b w:val="0"/>
                <w:sz w:val="15"/>
              </w:rPr>
              <w:t>飞轮执行可靠性安全性分析。</w:t>
            </w:r>
          </w:p>
        </w:tc>
        <w:tc>
          <w:tcPr>
            <w:tcW w:type="dxa" w:w="2381"/>
            <w:vAlign w:val="center"/>
          </w:tcPr>
          <w:p>
            <w:pPr>
              <w:jc w:val="left"/>
            </w:pPr>
            <w:r/>
            <w:r>
              <w:rPr>
                <w:rFonts w:ascii="宋体" w:hAnsi="宋体" w:eastAsia="宋体"/>
                <w:b w:val="0"/>
                <w:sz w:val="15"/>
              </w:rPr>
              <w:t>RAMS报告、FMEA/FTA/SCA/WCCA表。</w:t>
            </w:r>
          </w:p>
        </w:tc>
        <w:tc>
          <w:tcPr>
            <w:tcW w:type="dxa" w:w="2438"/>
            <w:vAlign w:val="center"/>
          </w:tcPr>
          <w:p>
            <w:pPr>
              <w:jc w:val="center"/>
            </w:pPr>
            <w:r/>
            <w:r>
              <w:rPr>
                <w:rFonts w:ascii="宋体" w:hAnsi="宋体" w:eastAsia="宋体"/>
                <w:b w:val="0"/>
                <w:sz w:val="15"/>
              </w:rPr>
              <w:t>关键风险和残余风险经评审确认。</w:t>
            </w:r>
          </w:p>
        </w:tc>
      </w:tr>
      <w:tr>
        <w:tc>
          <w:tcPr>
            <w:tcW w:type="dxa" w:w="1417"/>
            <w:vAlign w:val="center"/>
          </w:tcPr>
          <w:p>
            <w:pPr>
              <w:jc w:val="center"/>
            </w:pPr>
            <w:r/>
            <w:r>
              <w:rPr>
                <w:rFonts w:ascii="宋体" w:hAnsi="宋体" w:eastAsia="宋体"/>
                <w:b w:val="0"/>
                <w:sz w:val="15"/>
              </w:rPr>
              <w:t>RW-REQ-008</w:t>
            </w:r>
          </w:p>
        </w:tc>
        <w:tc>
          <w:tcPr>
            <w:tcW w:type="dxa" w:w="3288"/>
            <w:vAlign w:val="center"/>
          </w:tcPr>
          <w:p>
            <w:pPr>
              <w:jc w:val="center"/>
            </w:pPr>
            <w:r/>
            <w:r>
              <w:rPr>
                <w:rFonts w:ascii="宋体" w:hAnsi="宋体" w:eastAsia="宋体"/>
                <w:b w:val="0"/>
                <w:sz w:val="15"/>
              </w:rPr>
              <w:t>产品保证检查单逐项落实。</w:t>
            </w:r>
          </w:p>
        </w:tc>
        <w:tc>
          <w:tcPr>
            <w:tcW w:type="dxa" w:w="2381"/>
            <w:vAlign w:val="center"/>
          </w:tcPr>
          <w:p>
            <w:pPr>
              <w:jc w:val="center"/>
            </w:pPr>
            <w:r/>
            <w:r>
              <w:rPr>
                <w:rFonts w:ascii="宋体" w:hAnsi="宋体" w:eastAsia="宋体"/>
                <w:b w:val="0"/>
                <w:sz w:val="15"/>
              </w:rPr>
              <w:t>检查落实表、证据包、问题单。</w:t>
            </w:r>
          </w:p>
        </w:tc>
        <w:tc>
          <w:tcPr>
            <w:tcW w:type="dxa" w:w="2438"/>
            <w:vAlign w:val="center"/>
          </w:tcPr>
          <w:p>
            <w:pPr>
              <w:jc w:val="center"/>
            </w:pPr>
            <w:r/>
            <w:r>
              <w:rPr>
                <w:rFonts w:ascii="宋体" w:hAnsi="宋体" w:eastAsia="宋体"/>
                <w:b w:val="0"/>
                <w:sz w:val="15"/>
              </w:rPr>
              <w:t>检查项均有材料、状态和结论。</w:t>
            </w:r>
          </w:p>
        </w:tc>
      </w:tr>
      <w:tr>
        <w:tc>
          <w:tcPr>
            <w:tcW w:type="dxa" w:w="1417"/>
            <w:vAlign w:val="center"/>
          </w:tcPr>
          <w:p>
            <w:pPr>
              <w:jc w:val="center"/>
            </w:pPr>
            <w:r/>
            <w:r>
              <w:rPr>
                <w:rFonts w:ascii="宋体" w:hAnsi="宋体" w:eastAsia="宋体"/>
                <w:b w:val="0"/>
                <w:sz w:val="15"/>
              </w:rPr>
              <w:t>RW-REQ-009</w:t>
            </w:r>
          </w:p>
        </w:tc>
        <w:tc>
          <w:tcPr>
            <w:tcW w:type="dxa" w:w="3288"/>
            <w:vAlign w:val="center"/>
          </w:tcPr>
          <w:p>
            <w:pPr>
              <w:jc w:val="center"/>
            </w:pPr>
            <w:r/>
            <w:r>
              <w:rPr>
                <w:rFonts w:ascii="宋体" w:hAnsi="宋体" w:eastAsia="宋体"/>
                <w:b w:val="0"/>
                <w:sz w:val="15"/>
              </w:rPr>
              <w:t>交付数据支持智能化辅助审查。</w:t>
            </w:r>
          </w:p>
        </w:tc>
        <w:tc>
          <w:tcPr>
            <w:tcW w:type="dxa" w:w="2381"/>
            <w:vAlign w:val="center"/>
          </w:tcPr>
          <w:p>
            <w:pPr>
              <w:jc w:val="center"/>
            </w:pPr>
            <w:r/>
            <w:r>
              <w:rPr>
                <w:rFonts w:ascii="宋体" w:hAnsi="宋体" w:eastAsia="宋体"/>
                <w:b w:val="0"/>
                <w:sz w:val="15"/>
              </w:rPr>
              <w:t>结构化表格、RID字段、版本清单。</w:t>
            </w:r>
          </w:p>
        </w:tc>
        <w:tc>
          <w:tcPr>
            <w:tcW w:type="dxa" w:w="2438"/>
            <w:vAlign w:val="center"/>
          </w:tcPr>
          <w:p>
            <w:pPr>
              <w:jc w:val="center"/>
            </w:pPr>
            <w:r/>
            <w:r>
              <w:rPr>
                <w:rFonts w:ascii="宋体" w:hAnsi="宋体" w:eastAsia="宋体"/>
                <w:b w:val="0"/>
                <w:sz w:val="15"/>
              </w:rPr>
              <w:t>预审无结构性缺项，专家复核可追溯。</w:t>
            </w:r>
          </w:p>
        </w:tc>
      </w:tr>
    </w:tbl>
    <w:p/>
    <w:p>
      <w:pPr>
        <w:pStyle w:val="Heading1"/>
      </w:pPr>
      <w:r>
        <w:rPr>
          <w:rFonts w:ascii="宋体" w:hAnsi="宋体" w:eastAsia="宋体"/>
        </w:rPr>
        <w:t>附录B 产品保证检查单映射表</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47"/>
            <w:shd w:fill="4F647A"/>
            <w:vAlign w:val="center"/>
          </w:tcPr>
          <w:p>
            <w:pPr>
              <w:jc w:val="center"/>
            </w:pPr>
            <w:r/>
            <w:r>
              <w:rPr>
                <w:rFonts w:ascii="宋体" w:hAnsi="宋体" w:eastAsia="宋体"/>
                <w:b/>
                <w:color w:val="FFFFFF"/>
                <w:sz w:val="15"/>
              </w:rPr>
              <w:t>检查单条目</w:t>
            </w:r>
          </w:p>
        </w:tc>
        <w:tc>
          <w:tcPr>
            <w:tcW w:type="dxa" w:w="2835"/>
            <w:shd w:fill="4F647A"/>
            <w:vAlign w:val="center"/>
          </w:tcPr>
          <w:p>
            <w:pPr>
              <w:jc w:val="center"/>
            </w:pPr>
            <w:r/>
            <w:r>
              <w:rPr>
                <w:rFonts w:ascii="宋体" w:hAnsi="宋体" w:eastAsia="宋体"/>
                <w:b/>
                <w:color w:val="FFFFFF"/>
                <w:sz w:val="15"/>
              </w:rPr>
              <w:t>检查要求归并</w:t>
            </w:r>
          </w:p>
        </w:tc>
        <w:tc>
          <w:tcPr>
            <w:tcW w:type="dxa" w:w="1871"/>
            <w:shd w:fill="4F647A"/>
            <w:vAlign w:val="center"/>
          </w:tcPr>
          <w:p>
            <w:pPr>
              <w:jc w:val="center"/>
            </w:pPr>
            <w:r/>
            <w:r>
              <w:rPr>
                <w:rFonts w:ascii="宋体" w:hAnsi="宋体" w:eastAsia="宋体"/>
                <w:b/>
                <w:color w:val="FFFFFF"/>
                <w:sz w:val="15"/>
              </w:rPr>
              <w:t>任务书对应位置</w:t>
            </w:r>
          </w:p>
        </w:tc>
        <w:tc>
          <w:tcPr>
            <w:tcW w:type="dxa" w:w="3288"/>
            <w:shd w:fill="4F647A"/>
            <w:vAlign w:val="center"/>
          </w:tcPr>
          <w:p>
            <w:pPr>
              <w:jc w:val="center"/>
            </w:pPr>
            <w:r/>
            <w:r>
              <w:rPr>
                <w:rFonts w:ascii="宋体" w:hAnsi="宋体" w:eastAsia="宋体"/>
                <w:b/>
                <w:color w:val="FFFFFF"/>
                <w:sz w:val="15"/>
              </w:rPr>
              <w:t>交付材料</w:t>
            </w:r>
          </w:p>
        </w:tc>
      </w:tr>
      <w:tr>
        <w:tc>
          <w:tcPr>
            <w:tcW w:type="dxa" w:w="1247"/>
            <w:vAlign w:val="center"/>
          </w:tcPr>
          <w:p>
            <w:pPr>
              <w:jc w:val="center"/>
            </w:pPr>
            <w:r/>
            <w:r>
              <w:rPr>
                <w:rFonts w:ascii="宋体" w:hAnsi="宋体" w:eastAsia="宋体"/>
                <w:b w:val="0"/>
                <w:sz w:val="15"/>
              </w:rPr>
              <w:t>1-3</w:t>
            </w:r>
          </w:p>
        </w:tc>
        <w:tc>
          <w:tcPr>
            <w:tcW w:type="dxa" w:w="2835"/>
            <w:vAlign w:val="center"/>
          </w:tcPr>
          <w:p>
            <w:pPr>
              <w:jc w:val="center"/>
            </w:pPr>
            <w:r/>
            <w:r>
              <w:rPr>
                <w:rFonts w:ascii="宋体" w:hAnsi="宋体" w:eastAsia="宋体"/>
                <w:b w:val="0"/>
                <w:sz w:val="15"/>
              </w:rPr>
              <w:t>关键项目清单、控制措施、检查落实</w:t>
            </w:r>
          </w:p>
        </w:tc>
        <w:tc>
          <w:tcPr>
            <w:tcW w:type="dxa" w:w="1871"/>
            <w:vAlign w:val="center"/>
          </w:tcPr>
          <w:p>
            <w:pPr>
              <w:jc w:val="center"/>
            </w:pPr>
            <w:r/>
            <w:r>
              <w:rPr>
                <w:rFonts w:ascii="宋体" w:hAnsi="宋体" w:eastAsia="宋体"/>
                <w:b w:val="0"/>
                <w:sz w:val="15"/>
              </w:rPr>
              <w:t>3.8、3.10、3.11</w:t>
            </w:r>
          </w:p>
        </w:tc>
        <w:tc>
          <w:tcPr>
            <w:tcW w:type="dxa" w:w="3288"/>
            <w:vAlign w:val="center"/>
          </w:tcPr>
          <w:p>
            <w:pPr>
              <w:jc w:val="center"/>
            </w:pPr>
            <w:r/>
            <w:r>
              <w:rPr>
                <w:rFonts w:ascii="宋体" w:hAnsi="宋体" w:eastAsia="宋体"/>
                <w:b w:val="0"/>
                <w:sz w:val="15"/>
              </w:rPr>
              <w:t>关键项目清单、控制措施、检查落实表</w:t>
            </w:r>
          </w:p>
        </w:tc>
      </w:tr>
      <w:tr>
        <w:tc>
          <w:tcPr>
            <w:tcW w:type="dxa" w:w="1247"/>
            <w:vAlign w:val="center"/>
          </w:tcPr>
          <w:p>
            <w:pPr>
              <w:jc w:val="center"/>
            </w:pPr>
            <w:r/>
            <w:r>
              <w:rPr>
                <w:rFonts w:ascii="宋体" w:hAnsi="宋体" w:eastAsia="宋体"/>
                <w:b w:val="0"/>
                <w:sz w:val="15"/>
              </w:rPr>
              <w:t>4</w:t>
            </w:r>
          </w:p>
        </w:tc>
        <w:tc>
          <w:tcPr>
            <w:tcW w:type="dxa" w:w="2835"/>
            <w:vAlign w:val="center"/>
          </w:tcPr>
          <w:p>
            <w:pPr>
              <w:jc w:val="center"/>
            </w:pPr>
            <w:r/>
            <w:r>
              <w:rPr>
                <w:rFonts w:ascii="宋体" w:hAnsi="宋体" w:eastAsia="宋体"/>
                <w:b w:val="0"/>
                <w:sz w:val="15"/>
              </w:rPr>
              <w:t>产品特性分析，识别关键/重要特性</w:t>
            </w:r>
          </w:p>
        </w:tc>
        <w:tc>
          <w:tcPr>
            <w:tcW w:type="dxa" w:w="1871"/>
            <w:vAlign w:val="center"/>
          </w:tcPr>
          <w:p>
            <w:pPr>
              <w:jc w:val="center"/>
            </w:pPr>
            <w:r/>
            <w:r>
              <w:rPr>
                <w:rFonts w:ascii="宋体" w:hAnsi="宋体" w:eastAsia="宋体"/>
                <w:b w:val="0"/>
                <w:sz w:val="15"/>
              </w:rPr>
              <w:t>3.4、3.8</w:t>
            </w:r>
          </w:p>
        </w:tc>
        <w:tc>
          <w:tcPr>
            <w:tcW w:type="dxa" w:w="3288"/>
            <w:vAlign w:val="center"/>
          </w:tcPr>
          <w:p>
            <w:pPr>
              <w:jc w:val="center"/>
            </w:pPr>
            <w:r/>
            <w:r>
              <w:rPr>
                <w:rFonts w:ascii="宋体" w:hAnsi="宋体" w:eastAsia="宋体"/>
                <w:b w:val="0"/>
                <w:sz w:val="15"/>
              </w:rPr>
              <w:t>产品特性分析报告</w:t>
            </w:r>
          </w:p>
        </w:tc>
      </w:tr>
      <w:tr>
        <w:tc>
          <w:tcPr>
            <w:tcW w:type="dxa" w:w="1247"/>
            <w:vAlign w:val="center"/>
          </w:tcPr>
          <w:p>
            <w:pPr>
              <w:jc w:val="center"/>
            </w:pPr>
            <w:r/>
            <w:r>
              <w:rPr>
                <w:rFonts w:ascii="宋体" w:hAnsi="宋体" w:eastAsia="宋体"/>
                <w:b w:val="0"/>
                <w:sz w:val="15"/>
              </w:rPr>
              <w:t>5-6</w:t>
            </w:r>
          </w:p>
        </w:tc>
        <w:tc>
          <w:tcPr>
            <w:tcW w:type="dxa" w:w="2835"/>
            <w:vAlign w:val="center"/>
          </w:tcPr>
          <w:p>
            <w:pPr>
              <w:jc w:val="center"/>
            </w:pPr>
            <w:r/>
            <w:r>
              <w:rPr>
                <w:rFonts w:ascii="宋体" w:hAnsi="宋体" w:eastAsia="宋体"/>
                <w:b w:val="0"/>
                <w:sz w:val="15"/>
              </w:rPr>
              <w:t>可靠性保证大纲/计划及供方要求传递</w:t>
            </w:r>
          </w:p>
        </w:tc>
        <w:tc>
          <w:tcPr>
            <w:tcW w:type="dxa" w:w="1871"/>
            <w:vAlign w:val="center"/>
          </w:tcPr>
          <w:p>
            <w:pPr>
              <w:jc w:val="center"/>
            </w:pPr>
            <w:r/>
            <w:r>
              <w:rPr>
                <w:rFonts w:ascii="宋体" w:hAnsi="宋体" w:eastAsia="宋体"/>
                <w:b w:val="0"/>
                <w:sz w:val="15"/>
              </w:rPr>
              <w:t>3.8、3.11</w:t>
            </w:r>
          </w:p>
        </w:tc>
        <w:tc>
          <w:tcPr>
            <w:tcW w:type="dxa" w:w="3288"/>
            <w:vAlign w:val="center"/>
          </w:tcPr>
          <w:p>
            <w:pPr>
              <w:jc w:val="center"/>
            </w:pPr>
            <w:r/>
            <w:r>
              <w:rPr>
                <w:rFonts w:ascii="宋体" w:hAnsi="宋体" w:eastAsia="宋体"/>
                <w:b w:val="0"/>
                <w:sz w:val="15"/>
              </w:rPr>
              <w:t>可靠性保证计划、供方签收记录</w:t>
            </w:r>
          </w:p>
        </w:tc>
      </w:tr>
      <w:tr>
        <w:tc>
          <w:tcPr>
            <w:tcW w:type="dxa" w:w="1247"/>
            <w:vAlign w:val="center"/>
          </w:tcPr>
          <w:p>
            <w:pPr>
              <w:jc w:val="center"/>
            </w:pPr>
            <w:r/>
            <w:r>
              <w:rPr>
                <w:rFonts w:ascii="宋体" w:hAnsi="宋体" w:eastAsia="宋体"/>
                <w:b w:val="0"/>
                <w:sz w:val="15"/>
              </w:rPr>
              <w:t>7-8</w:t>
            </w:r>
          </w:p>
        </w:tc>
        <w:tc>
          <w:tcPr>
            <w:tcW w:type="dxa" w:w="2835"/>
            <w:vAlign w:val="center"/>
          </w:tcPr>
          <w:p>
            <w:pPr>
              <w:jc w:val="left"/>
            </w:pPr>
            <w:r/>
            <w:r>
              <w:rPr>
                <w:rFonts w:ascii="宋体" w:hAnsi="宋体" w:eastAsia="宋体"/>
                <w:b w:val="0"/>
                <w:sz w:val="15"/>
              </w:rPr>
              <w:t>任务剖面和成功准则、产品任务剖面分析</w:t>
            </w:r>
          </w:p>
        </w:tc>
        <w:tc>
          <w:tcPr>
            <w:tcW w:type="dxa" w:w="1871"/>
            <w:vAlign w:val="center"/>
          </w:tcPr>
          <w:p>
            <w:pPr>
              <w:jc w:val="center"/>
            </w:pPr>
            <w:r/>
            <w:r>
              <w:rPr>
                <w:rFonts w:ascii="宋体" w:hAnsi="宋体" w:eastAsia="宋体"/>
                <w:b w:val="0"/>
                <w:sz w:val="15"/>
              </w:rPr>
              <w:t>3.2、3.3、3.9</w:t>
            </w:r>
          </w:p>
        </w:tc>
        <w:tc>
          <w:tcPr>
            <w:tcW w:type="dxa" w:w="3288"/>
            <w:vAlign w:val="center"/>
          </w:tcPr>
          <w:p>
            <w:pPr>
              <w:jc w:val="center"/>
            </w:pPr>
            <w:r/>
            <w:r>
              <w:rPr>
                <w:rFonts w:ascii="宋体" w:hAnsi="宋体" w:eastAsia="宋体"/>
                <w:b w:val="0"/>
                <w:sz w:val="15"/>
              </w:rPr>
              <w:t>任务剖面分析报告</w:t>
            </w:r>
          </w:p>
        </w:tc>
      </w:tr>
      <w:tr>
        <w:tc>
          <w:tcPr>
            <w:tcW w:type="dxa" w:w="1247"/>
            <w:vAlign w:val="center"/>
          </w:tcPr>
          <w:p>
            <w:pPr>
              <w:jc w:val="center"/>
            </w:pPr>
            <w:r/>
            <w:r>
              <w:rPr>
                <w:rFonts w:ascii="宋体" w:hAnsi="宋体" w:eastAsia="宋体"/>
                <w:b w:val="0"/>
                <w:sz w:val="15"/>
              </w:rPr>
              <w:t>9</w:t>
            </w:r>
          </w:p>
        </w:tc>
        <w:tc>
          <w:tcPr>
            <w:tcW w:type="dxa" w:w="2835"/>
            <w:vAlign w:val="center"/>
          </w:tcPr>
          <w:p>
            <w:pPr>
              <w:jc w:val="center"/>
            </w:pPr>
            <w:r/>
            <w:r>
              <w:rPr>
                <w:rFonts w:ascii="宋体" w:hAnsi="宋体" w:eastAsia="宋体"/>
                <w:b w:val="0"/>
                <w:sz w:val="15"/>
              </w:rPr>
              <w:t>功能分析和继承性分析</w:t>
            </w:r>
          </w:p>
        </w:tc>
        <w:tc>
          <w:tcPr>
            <w:tcW w:type="dxa" w:w="1871"/>
            <w:vAlign w:val="center"/>
          </w:tcPr>
          <w:p>
            <w:pPr>
              <w:jc w:val="center"/>
            </w:pPr>
            <w:r/>
            <w:r>
              <w:rPr>
                <w:rFonts w:ascii="宋体" w:hAnsi="宋体" w:eastAsia="宋体"/>
                <w:b w:val="0"/>
                <w:sz w:val="15"/>
              </w:rPr>
              <w:t>3.4、3.8</w:t>
            </w:r>
          </w:p>
        </w:tc>
        <w:tc>
          <w:tcPr>
            <w:tcW w:type="dxa" w:w="3288"/>
            <w:vAlign w:val="center"/>
          </w:tcPr>
          <w:p>
            <w:pPr>
              <w:jc w:val="center"/>
            </w:pPr>
            <w:r/>
            <w:r>
              <w:rPr>
                <w:rFonts w:ascii="宋体" w:hAnsi="宋体" w:eastAsia="宋体"/>
                <w:b w:val="0"/>
                <w:sz w:val="15"/>
              </w:rPr>
              <w:t>功能/继承性分析报告</w:t>
            </w:r>
          </w:p>
        </w:tc>
      </w:tr>
      <w:tr>
        <w:tc>
          <w:tcPr>
            <w:tcW w:type="dxa" w:w="1247"/>
            <w:vAlign w:val="center"/>
          </w:tcPr>
          <w:p>
            <w:pPr>
              <w:jc w:val="center"/>
            </w:pPr>
            <w:r/>
            <w:r>
              <w:rPr>
                <w:rFonts w:ascii="宋体" w:hAnsi="宋体" w:eastAsia="宋体"/>
                <w:b w:val="0"/>
                <w:sz w:val="15"/>
              </w:rPr>
              <w:t>10-11</w:t>
            </w:r>
          </w:p>
        </w:tc>
        <w:tc>
          <w:tcPr>
            <w:tcW w:type="dxa" w:w="2835"/>
            <w:vAlign w:val="center"/>
          </w:tcPr>
          <w:p>
            <w:pPr>
              <w:jc w:val="center"/>
            </w:pPr>
            <w:r/>
            <w:r>
              <w:rPr>
                <w:rFonts w:ascii="宋体" w:hAnsi="宋体" w:eastAsia="宋体"/>
                <w:b w:val="0"/>
                <w:sz w:val="15"/>
              </w:rPr>
              <w:t>可靠性设计准则、模型、分配、预计</w:t>
            </w:r>
          </w:p>
        </w:tc>
        <w:tc>
          <w:tcPr>
            <w:tcW w:type="dxa" w:w="1871"/>
            <w:vAlign w:val="center"/>
          </w:tcPr>
          <w:p>
            <w:pPr>
              <w:jc w:val="center"/>
            </w:pPr>
            <w:r/>
            <w:r>
              <w:rPr>
                <w:rFonts w:ascii="宋体" w:hAnsi="宋体" w:eastAsia="宋体"/>
                <w:b w:val="0"/>
                <w:sz w:val="15"/>
              </w:rPr>
              <w:t>3.8、附录A</w:t>
            </w:r>
          </w:p>
        </w:tc>
        <w:tc>
          <w:tcPr>
            <w:tcW w:type="dxa" w:w="3288"/>
            <w:vAlign w:val="center"/>
          </w:tcPr>
          <w:p>
            <w:pPr>
              <w:jc w:val="center"/>
            </w:pPr>
            <w:r/>
            <w:r>
              <w:rPr>
                <w:rFonts w:ascii="宋体" w:hAnsi="宋体" w:eastAsia="宋体"/>
                <w:b w:val="0"/>
                <w:sz w:val="15"/>
              </w:rPr>
              <w:t>可靠性建模、分配与预计报告</w:t>
            </w:r>
          </w:p>
        </w:tc>
      </w:tr>
      <w:tr>
        <w:tc>
          <w:tcPr>
            <w:tcW w:type="dxa" w:w="1247"/>
            <w:vAlign w:val="center"/>
          </w:tcPr>
          <w:p>
            <w:pPr>
              <w:jc w:val="center"/>
            </w:pPr>
            <w:r/>
            <w:r>
              <w:rPr>
                <w:rFonts w:ascii="宋体" w:hAnsi="宋体" w:eastAsia="宋体"/>
                <w:b w:val="0"/>
                <w:sz w:val="15"/>
              </w:rPr>
              <w:t>12</w:t>
            </w:r>
          </w:p>
        </w:tc>
        <w:tc>
          <w:tcPr>
            <w:tcW w:type="dxa" w:w="2835"/>
            <w:vAlign w:val="center"/>
          </w:tcPr>
          <w:p>
            <w:pPr>
              <w:jc w:val="left"/>
            </w:pPr>
            <w:r/>
            <w:r>
              <w:rPr>
                <w:rFonts w:ascii="宋体" w:hAnsi="宋体" w:eastAsia="宋体"/>
                <w:b w:val="0"/>
                <w:sz w:val="15"/>
              </w:rPr>
              <w:t>FMEA分析，识别单点/I/II类故障</w:t>
            </w:r>
          </w:p>
        </w:tc>
        <w:tc>
          <w:tcPr>
            <w:tcW w:type="dxa" w:w="1871"/>
            <w:vAlign w:val="center"/>
          </w:tcPr>
          <w:p>
            <w:pPr>
              <w:jc w:val="center"/>
            </w:pPr>
            <w:r/>
            <w:r>
              <w:rPr>
                <w:rFonts w:ascii="宋体" w:hAnsi="宋体" w:eastAsia="宋体"/>
                <w:b w:val="0"/>
                <w:sz w:val="15"/>
              </w:rPr>
              <w:t>3.8、3.12</w:t>
            </w:r>
          </w:p>
        </w:tc>
        <w:tc>
          <w:tcPr>
            <w:tcW w:type="dxa" w:w="3288"/>
            <w:vAlign w:val="center"/>
          </w:tcPr>
          <w:p>
            <w:pPr>
              <w:jc w:val="center"/>
            </w:pPr>
            <w:r/>
            <w:r>
              <w:rPr>
                <w:rFonts w:ascii="宋体" w:hAnsi="宋体" w:eastAsia="宋体"/>
                <w:b w:val="0"/>
                <w:sz w:val="15"/>
              </w:rPr>
              <w:t>FMEA报告、更新记录</w:t>
            </w:r>
          </w:p>
        </w:tc>
      </w:tr>
      <w:tr>
        <w:tc>
          <w:tcPr>
            <w:tcW w:type="dxa" w:w="1247"/>
            <w:vAlign w:val="center"/>
          </w:tcPr>
          <w:p>
            <w:pPr>
              <w:jc w:val="center"/>
            </w:pPr>
            <w:r/>
            <w:r>
              <w:rPr>
                <w:rFonts w:ascii="宋体" w:hAnsi="宋体" w:eastAsia="宋体"/>
                <w:b w:val="0"/>
                <w:sz w:val="15"/>
              </w:rPr>
              <w:t>13</w:t>
            </w:r>
          </w:p>
        </w:tc>
        <w:tc>
          <w:tcPr>
            <w:tcW w:type="dxa" w:w="2835"/>
            <w:vAlign w:val="center"/>
          </w:tcPr>
          <w:p>
            <w:pPr>
              <w:jc w:val="center"/>
            </w:pPr>
            <w:r/>
            <w:r>
              <w:rPr>
                <w:rFonts w:ascii="宋体" w:hAnsi="宋体" w:eastAsia="宋体"/>
                <w:b w:val="0"/>
                <w:sz w:val="15"/>
              </w:rPr>
              <w:t>FTA分析，识别薄弱环节和关键项目</w:t>
            </w:r>
          </w:p>
        </w:tc>
        <w:tc>
          <w:tcPr>
            <w:tcW w:type="dxa" w:w="1871"/>
            <w:vAlign w:val="center"/>
          </w:tcPr>
          <w:p>
            <w:pPr>
              <w:jc w:val="center"/>
            </w:pPr>
            <w:r/>
            <w:r>
              <w:rPr>
                <w:rFonts w:ascii="宋体" w:hAnsi="宋体" w:eastAsia="宋体"/>
                <w:b w:val="0"/>
                <w:sz w:val="15"/>
              </w:rPr>
              <w:t>3.8、3.12</w:t>
            </w:r>
          </w:p>
        </w:tc>
        <w:tc>
          <w:tcPr>
            <w:tcW w:type="dxa" w:w="3288"/>
            <w:vAlign w:val="center"/>
          </w:tcPr>
          <w:p>
            <w:pPr>
              <w:jc w:val="center"/>
            </w:pPr>
            <w:r/>
            <w:r>
              <w:rPr>
                <w:rFonts w:ascii="宋体" w:hAnsi="宋体" w:eastAsia="宋体"/>
                <w:b w:val="0"/>
                <w:sz w:val="15"/>
              </w:rPr>
              <w:t>FTA报告、改进措施记录</w:t>
            </w:r>
          </w:p>
        </w:tc>
      </w:tr>
      <w:tr>
        <w:tc>
          <w:tcPr>
            <w:tcW w:type="dxa" w:w="1247"/>
            <w:vAlign w:val="center"/>
          </w:tcPr>
          <w:p>
            <w:pPr>
              <w:jc w:val="center"/>
            </w:pPr>
            <w:r/>
            <w:r>
              <w:rPr>
                <w:rFonts w:ascii="宋体" w:hAnsi="宋体" w:eastAsia="宋体"/>
                <w:b w:val="0"/>
                <w:sz w:val="15"/>
              </w:rPr>
              <w:t>14</w:t>
            </w:r>
          </w:p>
        </w:tc>
        <w:tc>
          <w:tcPr>
            <w:tcW w:type="dxa" w:w="2835"/>
            <w:vAlign w:val="center"/>
          </w:tcPr>
          <w:p>
            <w:pPr>
              <w:jc w:val="center"/>
            </w:pPr>
            <w:r/>
            <w:r>
              <w:rPr>
                <w:rFonts w:ascii="宋体" w:hAnsi="宋体" w:eastAsia="宋体"/>
                <w:b w:val="0"/>
                <w:sz w:val="15"/>
              </w:rPr>
              <w:t>潜在通路分析SCA</w:t>
            </w:r>
          </w:p>
        </w:tc>
        <w:tc>
          <w:tcPr>
            <w:tcW w:type="dxa" w:w="1871"/>
            <w:vAlign w:val="center"/>
          </w:tcPr>
          <w:p>
            <w:pPr>
              <w:jc w:val="center"/>
            </w:pPr>
            <w:r/>
            <w:r>
              <w:rPr>
                <w:rFonts w:ascii="宋体" w:hAnsi="宋体" w:eastAsia="宋体"/>
                <w:b w:val="0"/>
                <w:sz w:val="15"/>
              </w:rPr>
              <w:t>3.8</w:t>
            </w:r>
          </w:p>
        </w:tc>
        <w:tc>
          <w:tcPr>
            <w:tcW w:type="dxa" w:w="3288"/>
            <w:vAlign w:val="center"/>
          </w:tcPr>
          <w:p>
            <w:pPr>
              <w:jc w:val="center"/>
            </w:pPr>
            <w:r/>
            <w:r>
              <w:rPr>
                <w:rFonts w:ascii="宋体" w:hAnsi="宋体" w:eastAsia="宋体"/>
                <w:b w:val="0"/>
                <w:sz w:val="15"/>
              </w:rPr>
              <w:t>SCA报告、评审记录</w:t>
            </w:r>
          </w:p>
        </w:tc>
      </w:tr>
      <w:tr>
        <w:tc>
          <w:tcPr>
            <w:tcW w:type="dxa" w:w="1247"/>
            <w:vAlign w:val="center"/>
          </w:tcPr>
          <w:p>
            <w:pPr>
              <w:jc w:val="center"/>
            </w:pPr>
            <w:r/>
            <w:r>
              <w:rPr>
                <w:rFonts w:ascii="宋体" w:hAnsi="宋体" w:eastAsia="宋体"/>
                <w:b w:val="0"/>
                <w:sz w:val="15"/>
              </w:rPr>
              <w:t>15</w:t>
            </w:r>
          </w:p>
        </w:tc>
        <w:tc>
          <w:tcPr>
            <w:tcW w:type="dxa" w:w="2835"/>
            <w:vAlign w:val="center"/>
          </w:tcPr>
          <w:p>
            <w:pPr>
              <w:jc w:val="center"/>
            </w:pPr>
            <w:r/>
            <w:r>
              <w:rPr>
                <w:rFonts w:ascii="宋体" w:hAnsi="宋体" w:eastAsia="宋体"/>
                <w:b w:val="0"/>
                <w:sz w:val="15"/>
              </w:rPr>
              <w:t>容差分析和WCCA</w:t>
            </w:r>
          </w:p>
        </w:tc>
        <w:tc>
          <w:tcPr>
            <w:tcW w:type="dxa" w:w="1871"/>
            <w:vAlign w:val="center"/>
          </w:tcPr>
          <w:p>
            <w:pPr>
              <w:jc w:val="center"/>
            </w:pPr>
            <w:r/>
            <w:r>
              <w:rPr>
                <w:rFonts w:ascii="宋体" w:hAnsi="宋体" w:eastAsia="宋体"/>
                <w:b w:val="0"/>
                <w:sz w:val="15"/>
              </w:rPr>
              <w:t>3.8</w:t>
            </w:r>
          </w:p>
        </w:tc>
        <w:tc>
          <w:tcPr>
            <w:tcW w:type="dxa" w:w="3288"/>
            <w:vAlign w:val="center"/>
          </w:tcPr>
          <w:p>
            <w:pPr>
              <w:jc w:val="center"/>
            </w:pPr>
            <w:r/>
            <w:r>
              <w:rPr>
                <w:rFonts w:ascii="宋体" w:hAnsi="宋体" w:eastAsia="宋体"/>
                <w:b w:val="0"/>
                <w:sz w:val="15"/>
              </w:rPr>
              <w:t>容差/WCCA报告</w:t>
            </w:r>
          </w:p>
        </w:tc>
      </w:tr>
      <w:tr>
        <w:tc>
          <w:tcPr>
            <w:tcW w:type="dxa" w:w="1247"/>
            <w:vAlign w:val="center"/>
          </w:tcPr>
          <w:p>
            <w:pPr>
              <w:jc w:val="center"/>
            </w:pPr>
            <w:r/>
            <w:r>
              <w:rPr>
                <w:rFonts w:ascii="宋体" w:hAnsi="宋体" w:eastAsia="宋体"/>
                <w:b w:val="0"/>
                <w:sz w:val="15"/>
              </w:rPr>
              <w:t>17-19</w:t>
            </w:r>
          </w:p>
        </w:tc>
        <w:tc>
          <w:tcPr>
            <w:tcW w:type="dxa" w:w="2835"/>
            <w:vAlign w:val="center"/>
          </w:tcPr>
          <w:p>
            <w:pPr>
              <w:jc w:val="center"/>
            </w:pPr>
            <w:r/>
            <w:r>
              <w:rPr>
                <w:rFonts w:ascii="宋体" w:hAnsi="宋体" w:eastAsia="宋体"/>
                <w:b w:val="0"/>
                <w:sz w:val="15"/>
              </w:rPr>
              <w:t>结构/机构、力学环境、热设计</w:t>
            </w:r>
          </w:p>
        </w:tc>
        <w:tc>
          <w:tcPr>
            <w:tcW w:type="dxa" w:w="1871"/>
            <w:vAlign w:val="center"/>
          </w:tcPr>
          <w:p>
            <w:pPr>
              <w:jc w:val="center"/>
            </w:pPr>
            <w:r/>
            <w:r>
              <w:rPr>
                <w:rFonts w:ascii="宋体" w:hAnsi="宋体" w:eastAsia="宋体"/>
                <w:b w:val="0"/>
                <w:sz w:val="15"/>
              </w:rPr>
              <w:t>3.4、3.5、3.9</w:t>
            </w:r>
          </w:p>
        </w:tc>
        <w:tc>
          <w:tcPr>
            <w:tcW w:type="dxa" w:w="3288"/>
            <w:vAlign w:val="center"/>
          </w:tcPr>
          <w:p>
            <w:pPr>
              <w:jc w:val="center"/>
            </w:pPr>
            <w:r/>
            <w:r>
              <w:rPr>
                <w:rFonts w:ascii="宋体" w:hAnsi="宋体" w:eastAsia="宋体"/>
                <w:b w:val="0"/>
                <w:sz w:val="15"/>
              </w:rPr>
              <w:t>结构、机构、力学、热设计报告</w:t>
            </w:r>
          </w:p>
        </w:tc>
      </w:tr>
      <w:tr>
        <w:tc>
          <w:tcPr>
            <w:tcW w:type="dxa" w:w="1247"/>
            <w:vAlign w:val="center"/>
          </w:tcPr>
          <w:p>
            <w:pPr>
              <w:jc w:val="center"/>
            </w:pPr>
            <w:r/>
            <w:r>
              <w:rPr>
                <w:rFonts w:ascii="宋体" w:hAnsi="宋体" w:eastAsia="宋体"/>
                <w:b w:val="0"/>
                <w:sz w:val="15"/>
              </w:rPr>
              <w:t>20-24</w:t>
            </w:r>
          </w:p>
        </w:tc>
        <w:tc>
          <w:tcPr>
            <w:tcW w:type="dxa" w:w="2835"/>
            <w:vAlign w:val="center"/>
          </w:tcPr>
          <w:p>
            <w:pPr>
              <w:jc w:val="center"/>
            </w:pPr>
            <w:r/>
            <w:r>
              <w:rPr>
                <w:rFonts w:ascii="宋体" w:hAnsi="宋体" w:eastAsia="宋体"/>
                <w:b w:val="0"/>
                <w:sz w:val="15"/>
              </w:rPr>
              <w:t>冗余、裕度、降额、EMC、故障容限</w:t>
            </w:r>
          </w:p>
        </w:tc>
        <w:tc>
          <w:tcPr>
            <w:tcW w:type="dxa" w:w="1871"/>
            <w:vAlign w:val="center"/>
          </w:tcPr>
          <w:p>
            <w:pPr>
              <w:jc w:val="center"/>
            </w:pPr>
            <w:r/>
            <w:r>
              <w:rPr>
                <w:rFonts w:ascii="宋体" w:hAnsi="宋体" w:eastAsia="宋体"/>
                <w:b w:val="0"/>
                <w:sz w:val="15"/>
              </w:rPr>
              <w:t>3.8、3.9</w:t>
            </w:r>
          </w:p>
        </w:tc>
        <w:tc>
          <w:tcPr>
            <w:tcW w:type="dxa" w:w="3288"/>
            <w:vAlign w:val="center"/>
          </w:tcPr>
          <w:p>
            <w:pPr>
              <w:jc w:val="center"/>
            </w:pPr>
            <w:r/>
            <w:r>
              <w:rPr>
                <w:rFonts w:ascii="宋体" w:hAnsi="宋体" w:eastAsia="宋体"/>
                <w:b w:val="0"/>
                <w:sz w:val="15"/>
              </w:rPr>
              <w:t>相关专项报告及试验报告</w:t>
            </w:r>
          </w:p>
        </w:tc>
      </w:tr>
      <w:tr>
        <w:tc>
          <w:tcPr>
            <w:tcW w:type="dxa" w:w="1247"/>
            <w:vAlign w:val="center"/>
          </w:tcPr>
          <w:p>
            <w:pPr>
              <w:jc w:val="center"/>
            </w:pPr>
            <w:r/>
            <w:r>
              <w:rPr>
                <w:rFonts w:ascii="宋体" w:hAnsi="宋体" w:eastAsia="宋体"/>
                <w:b w:val="0"/>
                <w:sz w:val="15"/>
              </w:rPr>
              <w:t>25-26</w:t>
            </w:r>
          </w:p>
        </w:tc>
        <w:tc>
          <w:tcPr>
            <w:tcW w:type="dxa" w:w="2835"/>
            <w:vAlign w:val="center"/>
          </w:tcPr>
          <w:p>
            <w:pPr>
              <w:jc w:val="center"/>
            </w:pPr>
            <w:r/>
            <w:r>
              <w:rPr>
                <w:rFonts w:ascii="宋体" w:hAnsi="宋体" w:eastAsia="宋体"/>
                <w:b w:val="0"/>
                <w:sz w:val="15"/>
              </w:rPr>
              <w:t>静电防护、多余物预防控制</w:t>
            </w:r>
          </w:p>
        </w:tc>
        <w:tc>
          <w:tcPr>
            <w:tcW w:type="dxa" w:w="1871"/>
            <w:vAlign w:val="center"/>
          </w:tcPr>
          <w:p>
            <w:pPr>
              <w:jc w:val="center"/>
            </w:pPr>
            <w:r/>
            <w:r>
              <w:rPr>
                <w:rFonts w:ascii="宋体" w:hAnsi="宋体" w:eastAsia="宋体"/>
                <w:b w:val="0"/>
                <w:sz w:val="15"/>
              </w:rPr>
              <w:t>3.5、3.8、3.9</w:t>
            </w:r>
          </w:p>
        </w:tc>
        <w:tc>
          <w:tcPr>
            <w:tcW w:type="dxa" w:w="3288"/>
            <w:vAlign w:val="center"/>
          </w:tcPr>
          <w:p>
            <w:pPr>
              <w:jc w:val="center"/>
            </w:pPr>
            <w:r/>
            <w:r>
              <w:rPr>
                <w:rFonts w:ascii="宋体" w:hAnsi="宋体" w:eastAsia="宋体"/>
                <w:b w:val="0"/>
                <w:sz w:val="15"/>
              </w:rPr>
              <w:t>ESD、防污染/多余物控制记录</w:t>
            </w:r>
          </w:p>
        </w:tc>
      </w:tr>
      <w:tr>
        <w:tc>
          <w:tcPr>
            <w:tcW w:type="dxa" w:w="1247"/>
            <w:vAlign w:val="center"/>
          </w:tcPr>
          <w:p>
            <w:pPr>
              <w:jc w:val="center"/>
            </w:pPr>
            <w:r/>
            <w:r>
              <w:rPr>
                <w:rFonts w:ascii="宋体" w:hAnsi="宋体" w:eastAsia="宋体"/>
                <w:b w:val="0"/>
                <w:sz w:val="15"/>
              </w:rPr>
              <w:t>27-29</w:t>
            </w:r>
          </w:p>
        </w:tc>
        <w:tc>
          <w:tcPr>
            <w:tcW w:type="dxa" w:w="2835"/>
            <w:vAlign w:val="center"/>
          </w:tcPr>
          <w:p>
            <w:pPr>
              <w:jc w:val="center"/>
            </w:pPr>
            <w:r/>
            <w:r>
              <w:rPr>
                <w:rFonts w:ascii="宋体" w:hAnsi="宋体" w:eastAsia="宋体"/>
                <w:b w:val="0"/>
                <w:sz w:val="15"/>
              </w:rPr>
              <w:t>可靠性验证、增长、关键项目管理</w:t>
            </w:r>
          </w:p>
        </w:tc>
        <w:tc>
          <w:tcPr>
            <w:tcW w:type="dxa" w:w="1871"/>
            <w:vAlign w:val="center"/>
          </w:tcPr>
          <w:p>
            <w:pPr>
              <w:jc w:val="center"/>
            </w:pPr>
            <w:r/>
            <w:r>
              <w:rPr>
                <w:rFonts w:ascii="宋体" w:hAnsi="宋体" w:eastAsia="宋体"/>
                <w:b w:val="0"/>
                <w:sz w:val="15"/>
              </w:rPr>
              <w:t>3.8、3.9、3.10</w:t>
            </w:r>
          </w:p>
        </w:tc>
        <w:tc>
          <w:tcPr>
            <w:tcW w:type="dxa" w:w="3288"/>
            <w:vAlign w:val="center"/>
          </w:tcPr>
          <w:p>
            <w:pPr>
              <w:jc w:val="center"/>
            </w:pPr>
            <w:r/>
            <w:r>
              <w:rPr>
                <w:rFonts w:ascii="宋体" w:hAnsi="宋体" w:eastAsia="宋体"/>
                <w:b w:val="0"/>
                <w:sz w:val="15"/>
              </w:rPr>
              <w:t>可靠性验证方案、关键项目清单</w:t>
            </w:r>
          </w:p>
        </w:tc>
      </w:tr>
    </w:tbl>
    <w:p/>
    <w:p>
      <w:r>
        <w:rPr>
          <w:rFonts w:ascii="宋体" w:hAnsi="宋体" w:eastAsia="宋体"/>
        </w:rPr>
        <w:br w:type="page"/>
      </w:r>
    </w:p>
    <w:p>
      <w:pPr>
        <w:pStyle w:val="Heading1"/>
      </w:pPr>
      <w:r>
        <w:rPr>
          <w:rFonts w:ascii="宋体" w:hAnsi="宋体" w:eastAsia="宋体"/>
        </w:rPr>
        <w:t>附录C 公开型号参照数据说明</w:t>
      </w:r>
    </w:p>
    <w:p>
      <w:pPr>
        <w:spacing w:line="300" w:lineRule="auto" w:after="80"/>
        <w:ind w:firstLine="420"/>
      </w:pPr>
      <w:r>
        <w:rPr>
          <w:rFonts w:ascii="宋体" w:hAnsi="宋体" w:eastAsia="宋体"/>
          <w:b w:val="0"/>
          <w:sz w:val="21"/>
        </w:rPr>
        <w:t>本任务书采用公开型号参照数据的目的，是形成蓬莱一号飞轮研制早期的任务包络、寿命包络、环境包络和审查基准。公开型号数据不得作为蓬莱一号真实参数对外发布，不得替代型号总体正式输入。</w:t>
      </w:r>
    </w:p>
    <w:tbl>
      <w:tblPr>
        <w:tblStyle w:val="TableGrid"/>
        <w:tblW w:type="auto" w:w="0"/>
        <w:jc w:val="center"/>
        <w:tblLook w:firstColumn="1" w:firstRow="1" w:lastColumn="0" w:lastRow="0" w:noHBand="0" w:noVBand="1" w:val="04A0"/>
      </w:tblPr>
      <w:tblGrid>
        <w:gridCol w:w="3211"/>
        <w:gridCol w:w="3211"/>
        <w:gridCol w:w="3211"/>
      </w:tblGrid>
      <w:tr>
        <w:tc>
          <w:tcPr>
            <w:tcW w:type="dxa" w:w="2324"/>
            <w:shd w:fill="4F647A"/>
            <w:vAlign w:val="center"/>
          </w:tcPr>
          <w:p>
            <w:pPr>
              <w:jc w:val="center"/>
            </w:pPr>
            <w:r/>
            <w:r>
              <w:rPr>
                <w:rFonts w:ascii="宋体" w:hAnsi="宋体" w:eastAsia="宋体"/>
                <w:b/>
                <w:color w:val="FFFFFF"/>
                <w:sz w:val="15"/>
              </w:rPr>
              <w:t>公开来源</w:t>
            </w:r>
          </w:p>
        </w:tc>
        <w:tc>
          <w:tcPr>
            <w:tcW w:type="dxa" w:w="3515"/>
            <w:shd w:fill="4F647A"/>
            <w:vAlign w:val="center"/>
          </w:tcPr>
          <w:p>
            <w:pPr>
              <w:jc w:val="center"/>
            </w:pPr>
            <w:r/>
            <w:r>
              <w:rPr>
                <w:rFonts w:ascii="宋体" w:hAnsi="宋体" w:eastAsia="宋体"/>
                <w:b/>
                <w:color w:val="FFFFFF"/>
                <w:sz w:val="15"/>
              </w:rPr>
              <w:t>公开信息</w:t>
            </w:r>
          </w:p>
        </w:tc>
        <w:tc>
          <w:tcPr>
            <w:tcW w:type="dxa" w:w="3515"/>
            <w:shd w:fill="4F647A"/>
            <w:vAlign w:val="center"/>
          </w:tcPr>
          <w:p>
            <w:pPr>
              <w:jc w:val="center"/>
            </w:pPr>
            <w:r/>
            <w:r>
              <w:rPr>
                <w:rFonts w:ascii="宋体" w:hAnsi="宋体" w:eastAsia="宋体"/>
                <w:b/>
                <w:color w:val="FFFFFF"/>
                <w:sz w:val="15"/>
              </w:rPr>
              <w:t>任务书采用方式</w:t>
            </w:r>
          </w:p>
        </w:tc>
      </w:tr>
      <w:tr>
        <w:tc>
          <w:tcPr>
            <w:tcW w:type="dxa" w:w="2324"/>
            <w:vAlign w:val="center"/>
          </w:tcPr>
          <w:p>
            <w:pPr>
              <w:jc w:val="left"/>
            </w:pPr>
            <w:r/>
            <w:r>
              <w:rPr>
                <w:rFonts w:ascii="宋体" w:hAnsi="宋体" w:eastAsia="宋体"/>
                <w:b w:val="0"/>
                <w:sz w:val="15"/>
              </w:rPr>
              <w:t>NASA Landsat 8 Mission Page</w:t>
            </w:r>
          </w:p>
        </w:tc>
        <w:tc>
          <w:tcPr>
            <w:tcW w:type="dxa" w:w="3515"/>
            <w:vAlign w:val="center"/>
          </w:tcPr>
          <w:p>
            <w:pPr>
              <w:jc w:val="left"/>
            </w:pPr>
            <w:r/>
            <w:r>
              <w:rPr>
                <w:rFonts w:ascii="宋体" w:hAnsi="宋体" w:eastAsia="宋体"/>
                <w:b w:val="0"/>
                <w:sz w:val="15"/>
              </w:rPr>
              <w:t>Landsat 8为NASA/USGS对地观测任务，航天器设计寿命为5年，并携带支持更长期运行的消耗品。</w:t>
            </w:r>
          </w:p>
        </w:tc>
        <w:tc>
          <w:tcPr>
            <w:tcW w:type="dxa" w:w="3515"/>
            <w:vAlign w:val="center"/>
          </w:tcPr>
          <w:p>
            <w:pPr>
              <w:jc w:val="left"/>
            </w:pPr>
            <w:r/>
            <w:r>
              <w:rPr>
                <w:rFonts w:ascii="宋体" w:hAnsi="宋体" w:eastAsia="宋体"/>
                <w:b w:val="0"/>
                <w:sz w:val="15"/>
              </w:rPr>
              <w:t>作为蓬莱一号寿命包络、长期运行和可靠性安全性工作要求的参照。</w:t>
            </w:r>
          </w:p>
        </w:tc>
      </w:tr>
      <w:tr>
        <w:tc>
          <w:tcPr>
            <w:tcW w:type="dxa" w:w="2324"/>
            <w:vAlign w:val="center"/>
          </w:tcPr>
          <w:p>
            <w:pPr>
              <w:jc w:val="left"/>
            </w:pPr>
            <w:r/>
            <w:r>
              <w:rPr>
                <w:rFonts w:ascii="宋体" w:hAnsi="宋体" w:eastAsia="宋体"/>
                <w:b w:val="0"/>
                <w:sz w:val="15"/>
              </w:rPr>
              <w:t>USGS Landsat 8 Mission Information</w:t>
            </w:r>
          </w:p>
        </w:tc>
        <w:tc>
          <w:tcPr>
            <w:tcW w:type="dxa" w:w="3515"/>
            <w:vAlign w:val="center"/>
          </w:tcPr>
          <w:p>
            <w:pPr>
              <w:jc w:val="left"/>
            </w:pPr>
            <w:r/>
            <w:r>
              <w:rPr>
                <w:rFonts w:ascii="宋体" w:hAnsi="宋体" w:eastAsia="宋体"/>
                <w:b w:val="0"/>
                <w:sz w:val="15"/>
              </w:rPr>
              <w:t>公开给出太阳同步近极轨道、705 km高度、98.2°倾角、约99 min轨道周期、16天重复周期等指标。</w:t>
            </w:r>
          </w:p>
        </w:tc>
        <w:tc>
          <w:tcPr>
            <w:tcW w:type="dxa" w:w="3515"/>
            <w:vAlign w:val="center"/>
          </w:tcPr>
          <w:p>
            <w:pPr>
              <w:jc w:val="left"/>
            </w:pPr>
            <w:r/>
            <w:r>
              <w:rPr>
                <w:rFonts w:ascii="宋体" w:hAnsi="宋体" w:eastAsia="宋体"/>
                <w:b w:val="0"/>
                <w:sz w:val="15"/>
              </w:rPr>
              <w:t>作为蓬莱一号对地观测任务剖面、热循环、长期重复任务和角动量管理分析的参照。</w:t>
            </w:r>
          </w:p>
        </w:tc>
      </w:tr>
      <w:tr>
        <w:tc>
          <w:tcPr>
            <w:tcW w:type="dxa" w:w="2324"/>
            <w:vAlign w:val="center"/>
          </w:tcPr>
          <w:p>
            <w:pPr>
              <w:jc w:val="center"/>
            </w:pPr>
            <w:r/>
            <w:r>
              <w:rPr>
                <w:rFonts w:ascii="宋体" w:hAnsi="宋体" w:eastAsia="宋体"/>
                <w:b w:val="0"/>
                <w:sz w:val="15"/>
              </w:rPr>
              <w:t>NASA NTRS ADCS资料</w:t>
            </w:r>
          </w:p>
        </w:tc>
        <w:tc>
          <w:tcPr>
            <w:tcW w:type="dxa" w:w="3515"/>
            <w:vAlign w:val="center"/>
          </w:tcPr>
          <w:p>
            <w:pPr>
              <w:jc w:val="left"/>
            </w:pPr>
            <w:r/>
            <w:r>
              <w:rPr>
                <w:rFonts w:ascii="宋体" w:hAnsi="宋体" w:eastAsia="宋体"/>
                <w:b w:val="0"/>
                <w:sz w:val="15"/>
              </w:rPr>
              <w:t>反作用飞轮、推力器、磁力矩器等可用于姿态控制，飞轮需要考虑动量卸载。</w:t>
            </w:r>
          </w:p>
        </w:tc>
        <w:tc>
          <w:tcPr>
            <w:tcW w:type="dxa" w:w="3515"/>
            <w:vAlign w:val="center"/>
          </w:tcPr>
          <w:p>
            <w:pPr>
              <w:jc w:val="left"/>
            </w:pPr>
            <w:r/>
            <w:r>
              <w:rPr>
                <w:rFonts w:ascii="宋体" w:hAnsi="宋体" w:eastAsia="宋体"/>
                <w:b w:val="0"/>
                <w:sz w:val="15"/>
              </w:rPr>
              <w:t>作为GNC系统牵引和卸载协同要求的技术依据。</w:t>
            </w:r>
          </w:p>
        </w:tc>
      </w:tr>
      <w:tr>
        <w:tc>
          <w:tcPr>
            <w:tcW w:type="dxa" w:w="2324"/>
            <w:vAlign w:val="center"/>
          </w:tcPr>
          <w:p>
            <w:pPr>
              <w:jc w:val="center"/>
            </w:pPr>
            <w:r/>
            <w:r>
              <w:rPr>
                <w:rFonts w:ascii="宋体" w:hAnsi="宋体" w:eastAsia="宋体"/>
                <w:b w:val="0"/>
                <w:sz w:val="15"/>
              </w:rPr>
              <w:t>NASA NTRS反作用轮阵列资料</w:t>
            </w:r>
          </w:p>
        </w:tc>
        <w:tc>
          <w:tcPr>
            <w:tcW w:type="dxa" w:w="3515"/>
            <w:vAlign w:val="center"/>
          </w:tcPr>
          <w:p>
            <w:pPr>
              <w:jc w:val="left"/>
            </w:pPr>
            <w:r/>
            <w:r>
              <w:rPr>
                <w:rFonts w:ascii="宋体" w:hAnsi="宋体" w:eastAsia="宋体"/>
                <w:b w:val="0"/>
                <w:sz w:val="15"/>
              </w:rPr>
              <w:t>反作用轮阵列机动能力受最大力矩和最大角动量包络约束。</w:t>
            </w:r>
          </w:p>
        </w:tc>
        <w:tc>
          <w:tcPr>
            <w:tcW w:type="dxa" w:w="3515"/>
            <w:vAlign w:val="center"/>
          </w:tcPr>
          <w:p>
            <w:pPr>
              <w:jc w:val="left"/>
            </w:pPr>
            <w:r/>
            <w:r>
              <w:rPr>
                <w:rFonts w:ascii="宋体" w:hAnsi="宋体" w:eastAsia="宋体"/>
                <w:b w:val="0"/>
                <w:sz w:val="15"/>
              </w:rPr>
              <w:t>作为飞轮角动量、力矩、轮组分配和饱和保护任务要求的技术依据。</w:t>
            </w:r>
          </w:p>
        </w:tc>
      </w:tr>
    </w:tbl>
    <w:p/>
    <w:sectPr w:rsidR="00FC693F" w:rsidRPr="0006063C" w:rsidSect="00034616">
      <w:headerReference w:type="default" r:id="rId9"/>
      <w:footerReference w:type="default" r:id="rId10"/>
      <w:pgSz w:w="12240" w:h="15840"/>
      <w:pgMar w:top="1247" w:right="1247" w:bottom="1134"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rPr>
        <w:rFonts w:ascii="宋体" w:hAnsi="宋体" w:eastAsia="宋体"/>
        <w:sz w:val="18"/>
      </w:rPr>
      <w:fldChar w:fldCharType="begin"/>
      <w:instrText xml:space="preserve"> PAGE </w:instrText>
      <w:fldChar w:fldCharType="end"/>
    </w:r>
    <w:r>
      <w:rPr>
        <w:rFonts w:ascii="宋体" w:hAnsi="宋体"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蓬莱一号飞行器飞轮研制任务书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黑体" w:hAnsi="黑体"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