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/>
        <w:jc w:val="center"/>
      </w:pPr>
      <w:r>
        <w:rPr>
          <w:rFonts w:ascii="宋体" w:hAnsi="宋体" w:eastAsia="宋体"/>
          <w:b/>
          <w:sz w:val="44"/>
        </w:rPr>
        <w:t>智能软件系统课程设计</w:t>
      </w:r>
    </w:p>
    <w:p>
      <w:pPr>
        <w:spacing w:before="1134"/>
        <w:jc w:val="center"/>
      </w:pPr>
      <w:r>
        <w:rPr>
          <w:rFonts w:ascii="宋体" w:hAnsi="宋体" w:eastAsia="宋体"/>
          <w:b/>
          <w:sz w:val="40"/>
        </w:rPr>
        <w:t>模型分析报告</w:t>
      </w:r>
    </w:p>
    <w:p>
      <w:pPr>
        <w:spacing w:before="2268"/>
        <w:jc w:val="center"/>
      </w:pPr>
      <w:r>
        <w:rPr>
          <w:rFonts w:ascii="宋体" w:hAnsi="宋体" w:eastAsia="宋体"/>
          <w:b w:val="0"/>
          <w:sz w:val="30"/>
        </w:rPr>
        <w:t>基于YOLO与大语言模型的眼科图像分类辅助诊断系统</w:t>
      </w:r>
    </w:p>
    <w:p>
      <w:pPr>
        <w:spacing w:before="454"/>
        <w:jc w:val="center"/>
      </w:pPr>
      <w:r>
        <w:rPr>
          <w:rFonts w:ascii="宋体" w:hAnsi="宋体" w:eastAsia="宋体"/>
          <w:b w:val="0"/>
          <w:sz w:val="26"/>
        </w:rPr>
        <w:t>组员：欧阳宸（230722105）  汪晓蕾（231613212）</w:t>
      </w:r>
    </w:p>
    <w:p>
      <w:pPr>
        <w:spacing w:before="454"/>
        <w:jc w:val="center"/>
      </w:pPr>
      <w:r>
        <w:rPr>
          <w:rFonts w:ascii="宋体" w:hAnsi="宋体" w:eastAsia="宋体"/>
          <w:b w:val="0"/>
          <w:sz w:val="26"/>
        </w:rPr>
        <w:t>提交日期：2026年10月</w:t>
      </w:r>
    </w:p>
    <w:p>
      <w:r>
        <w:br w:type="page"/>
      </w:r>
    </w:p>
    <w:p>
      <w:pPr>
        <w:keepNext/>
        <w:spacing w:before="200" w:after="100"/>
      </w:pPr>
      <w:r>
        <w:rPr>
          <w:rFonts w:ascii="宋体" w:hAnsi="宋体" w:eastAsia="宋体"/>
          <w:b/>
          <w:sz w:val="32"/>
        </w:rPr>
        <w:t>1 基础模型与类别定义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部署任务为八类眼底图像分类：AMD、白内障、糖尿病视网膜病变、青光眼、高血压性视网膜病变、近视性黄斑病变、正常和其他。当前服务端权重为 ONNX 格式 best512.onnx，模型声明输入为 512×512；服务端以权重声明尺寸进行短边缩放和中心裁剪。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/>
        </w:trPr>
        <w:tc>
          <w:tcPr>
            <w:tcW w:type="dxa" w:w="228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74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color w:val="FFFFFF"/>
                <w:sz w:val="21"/>
              </w:rPr>
              <w:t>已核实信息</w:t>
            </w:r>
          </w:p>
        </w:tc>
      </w:tr>
      <w:tr>
        <w:tc>
          <w:tcPr>
            <w:tcW w:type="dxa" w:w="2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部署骨干</w:t>
            </w:r>
          </w:p>
        </w:tc>
        <w:tc>
          <w:tcPr>
            <w:tcW w:type="dxa" w:w="67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YOLO11n-cls 分类权重，原生部署权重不含 AKConv</w:t>
            </w:r>
          </w:p>
        </w:tc>
      </w:tr>
      <w:tr>
        <w:tc>
          <w:tcPr>
            <w:tcW w:type="dxa" w:w="2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部署参数量</w:t>
            </w:r>
          </w:p>
        </w:tc>
        <w:tc>
          <w:tcPr>
            <w:tcW w:type="dxa" w:w="67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1,448,536；与历史对比实验基线的 1,541,352 不同</w:t>
            </w:r>
          </w:p>
        </w:tc>
      </w:tr>
      <w:tr>
        <w:tc>
          <w:tcPr>
            <w:tcW w:type="dxa" w:w="2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输入尺寸</w:t>
            </w:r>
          </w:p>
        </w:tc>
        <w:tc>
          <w:tcPr>
            <w:tcW w:type="dxa" w:w="67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512×512（权重声明，服务端健康接口可查询）</w:t>
            </w:r>
          </w:p>
        </w:tc>
      </w:tr>
      <w:tr>
        <w:tc>
          <w:tcPr>
            <w:tcW w:type="dxa" w:w="2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类别数</w:t>
            </w:r>
          </w:p>
        </w:tc>
        <w:tc>
          <w:tcPr>
            <w:tcW w:type="dxa" w:w="67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2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服务端运行时</w:t>
            </w:r>
          </w:p>
        </w:tc>
        <w:tc>
          <w:tcPr>
            <w:tcW w:type="dxa" w:w="67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ONNX Runtime CPUExecutionProvider</w:t>
            </w:r>
          </w:p>
        </w:tc>
      </w:tr>
      <w:tr>
        <w:tc>
          <w:tcPr>
            <w:tcW w:type="dxa" w:w="22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模型输出</w:t>
            </w:r>
          </w:p>
        </w:tc>
        <w:tc>
          <w:tcPr>
            <w:tcW w:type="dxa" w:w="674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八类概率；用于辅助参考，不代表临床诊断准确率</w:t>
            </w:r>
          </w:p>
        </w:tc>
      </w:tr>
    </w:tbl>
    <w:p/>
    <w:p>
      <w:pPr>
        <w:keepNext/>
        <w:spacing w:before="200" w:after="100"/>
      </w:pPr>
      <w:r>
        <w:rPr>
          <w:rFonts w:ascii="宋体" w:hAnsi="宋体" w:eastAsia="宋体"/>
          <w:b/>
          <w:sz w:val="32"/>
        </w:rPr>
        <w:t>2 训练与推理策略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历史训练记录使用 FP32、batch=32、workers=8、224 尺寸和 50 轮设置，采用分类交叉熵训练过程。该设置用于比较训练日志，不等同于当前部署权重的 512 推理预处理。部署侧必须以模型自身输入形状为准，避免将 224 导出模型与桌面推理混用。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推理模块首先校验 NCHW 三通道输入和八类输出，再完成归一化、模型执行与 softmax 判断。分类失败时向上层返回明确错误；业务层不保存成功历史，也不生成当前图像的伪报告。</w:t>
      </w:r>
    </w:p>
    <w:p>
      <w:pPr>
        <w:keepNext/>
        <w:spacing w:before="200" w:after="100"/>
      </w:pPr>
      <w:r>
        <w:rPr>
          <w:rFonts w:ascii="宋体" w:hAnsi="宋体" w:eastAsia="宋体"/>
          <w:b/>
          <w:sz w:val="32"/>
        </w:rPr>
        <w:t>3 AKConv 适配与能力边界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工程中保留 AKConv 模块与候选训练记录。历史对比日志显示，AKConv 候选模型包含 6 个 AKConv 层，参数量为 1,487,772；基线模型参数量为 1,541,352。当前实际部署权重经结构核对 AKConv 层数为 0，因而系统不能宣称在线部署使用了 AKConv。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两套框架下的记录使用相同数据指纹，这是控制数据变量的正常条件，本身不能证明结果不独立。2026年10月14日进一步读取四个候选最佳检查点，以同一项目框架比较逐层模块与参数形状以及权重张量，发现两套框架中的基线模型结构和张量哈希分别相同，AKConv候选也分别相同。因此四条记录只能描述不同框架环境下的训练过程，不能作为四种不同网络架构的性能比较；哈希相同也不能单独用于断定训练日志被复制。</w:t>
      </w:r>
    </w:p>
    <w:p>
      <w:pPr>
        <w:keepNext/>
        <w:spacing w:before="200" w:after="100"/>
      </w:pPr>
      <w:r>
        <w:rPr>
          <w:rFonts w:ascii="宋体" w:hAnsi="宋体" w:eastAsia="宋体"/>
          <w:b/>
          <w:sz w:val="32"/>
        </w:rPr>
        <w:t>4 资源与风险分析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/>
        </w:trPr>
        <w:tc>
          <w:tcPr>
            <w:tcW w:type="dxa" w:w="177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319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color w:val="FFFFFF"/>
                <w:sz w:val="21"/>
              </w:rPr>
              <w:t>表现</w:t>
            </w:r>
          </w:p>
        </w:tc>
        <w:tc>
          <w:tcPr>
            <w:tcW w:type="dxa" w:w="405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color w:val="FFFFFF"/>
                <w:sz w:val="21"/>
              </w:rPr>
              <w:t>控制措施</w:t>
            </w:r>
          </w:p>
        </w:tc>
      </w:tr>
      <w:tr>
        <w:tc>
          <w:tcPr>
            <w:tcW w:type="dxa" w:w="1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数据泄漏</w:t>
            </w:r>
          </w:p>
        </w:tc>
        <w:tc>
          <w:tcPr>
            <w:tcW w:type="dxa" w:w="31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训练与验证跨集合重复内容哈希 140 个</w:t>
            </w:r>
          </w:p>
        </w:tc>
        <w:tc>
          <w:tcPr>
            <w:tcW w:type="dxa" w:w="4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去重、患者级划分、重训重测</w:t>
            </w:r>
          </w:p>
        </w:tc>
      </w:tr>
      <w:tr>
        <w:tc>
          <w:tcPr>
            <w:tcW w:type="dxa" w:w="1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类别不均衡</w:t>
            </w:r>
          </w:p>
        </w:tc>
        <w:tc>
          <w:tcPr>
            <w:tcW w:type="dxa" w:w="31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正常和糖尿病类样本占比较大</w:t>
            </w:r>
          </w:p>
        </w:tc>
        <w:tc>
          <w:tcPr>
            <w:tcW w:type="dxa" w:w="4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报告每类指标，采用宏平均指标</w:t>
            </w:r>
          </w:p>
        </w:tc>
      </w:tr>
      <w:tr>
        <w:tc>
          <w:tcPr>
            <w:tcW w:type="dxa" w:w="1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概率校准</w:t>
            </w:r>
          </w:p>
        </w:tc>
        <w:tc>
          <w:tcPr>
            <w:tcW w:type="dxa" w:w="31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高概率不等于诊断正确</w:t>
            </w:r>
          </w:p>
        </w:tc>
        <w:tc>
          <w:tcPr>
            <w:tcW w:type="dxa" w:w="4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界面显示辅助提示和限制</w:t>
            </w:r>
          </w:p>
        </w:tc>
      </w:tr>
      <w:tr>
        <w:tc>
          <w:tcPr>
            <w:tcW w:type="dxa" w:w="1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语言模型幻觉</w:t>
            </w:r>
          </w:p>
        </w:tc>
        <w:tc>
          <w:tcPr>
            <w:tcW w:type="dxa" w:w="31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建议文本可能不可靠</w:t>
            </w:r>
          </w:p>
        </w:tc>
        <w:tc>
          <w:tcPr>
            <w:tcW w:type="dxa" w:w="4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显示来源，保留本地参考降级</w:t>
            </w:r>
          </w:p>
        </w:tc>
      </w:tr>
      <w:tr>
        <w:tc>
          <w:tcPr>
            <w:tcW w:type="dxa" w:w="17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硬件差异</w:t>
            </w:r>
          </w:p>
        </w:tc>
        <w:tc>
          <w:tcPr>
            <w:tcW w:type="dxa" w:w="319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服务器 CPU 延迟高于本机 GPU</w:t>
            </w:r>
          </w:p>
        </w:tc>
        <w:tc>
          <w:tcPr>
            <w:tcW w:type="dxa" w:w="4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分别记录环境和测量值</w:t>
            </w:r>
          </w:p>
        </w:tc>
      </w:tr>
    </w:tbl>
    <w:p/>
    <w:p>
      <w:pPr>
        <w:keepNext/>
        <w:spacing w:before="200" w:after="100"/>
      </w:pPr>
      <w:r>
        <w:rPr>
          <w:rFonts w:ascii="宋体" w:hAnsi="宋体" w:eastAsia="宋体"/>
          <w:b/>
          <w:sz w:val="32"/>
        </w:rPr>
        <w:t>5 结论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当前模型可支撑课程演示中的八类图像辅助分类与服务器部署。严格有效性评价的前提仍是修复数据划分问题，并在独立样本上重新报告准确率、宏平均 F1、混淆矩阵和不确定性。</w:t>
      </w:r>
    </w:p>
    <w:p>
      <w:pPr>
        <w:keepNext/>
        <w:pageBreakBefore/>
        <w:spacing w:before="200" w:after="100"/>
      </w:pPr>
      <w:r>
        <w:rPr>
          <w:rFonts w:ascii="宋体" w:hAnsi="宋体" w:eastAsia="宋体"/>
          <w:b/>
          <w:sz w:val="32"/>
        </w:rPr>
        <w:t>参考文献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[1] ODIR-2019. Dataset ODIR-5K [EB/OL]. https://odir2019.grand-challenge.org/dataset/, accessed 2026-10-14. 数据集说明页面，不计作核心研究论文。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[2] D. S. W. Ting et al. Artificial intelligence and deep learning in ophthalmology. British Journal of Ophthalmology, 2019, 103(2): 167-175. doi:10.1136/bjophthalmol-2018-313173.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[3] V. Gulshan et al. Development and validation of a deep learning algorithm for detection of diabetic retinopathy. JAMA, 2016.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[4] D. S. W. Ting et al. Development and validation of a deep learning system for diabetic retinopathy and related eye diseases. JAMA, 2017.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[5] G. Litjens et al. A survey on deep learning in medical image analysis. Medical Image Analysis, 2017.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[6] X. Zhang et al. AKConv: Convolutional Kernel with Arbitrary Sampled Shapes and Arbitrary Number of Parameters. arXiv:2311.11587v2, 2023. https://arxiv.org/abs/2311.11587v2.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[7] Ultralytics. YOLO Classification Documentation and Source Code. https://docs.ultralytics.com, accessed 2026-10-13.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[8] X. Liu et al. A comparison of deep learning performance against health-care professionals in detecting diseases from medical imaging. The Lancet Digital Health, 2019.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[9] DeepSeek-AI. DeepSeek V3 Technical Report. arXiv:2412.19437, 2024.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[10] Y. Zhou et al. A foundation model for generalizable disease detection from retinal images. Nature, 2023, 622: 156-163. doi:10.1038/s41586-023-06555-x.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眼科图像分类辅助诊断系统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智能软件系统课程设计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