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技术方案设计报告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需求分析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用户需要能够导入单张或批量眼底图像，获得八类分类概率并保存可查询记录；需要在图像无效、模型未加载、接口不可用时看到明确原因。教学演示还需要摄像头采集、语音输入、朗读、辅助说明和网页服务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485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需求</w:t>
            </w:r>
          </w:p>
        </w:tc>
        <w:tc>
          <w:tcPr>
            <w:tcW w:type="dxa" w:w="2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验收方式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单图、批量、历史查询、导出、辅助说明和多轮问答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测试用例与界面操作记录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 GPU 推理与服务器 CPU 推理可用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服务健康接口和实际单图计时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可靠性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异常图像和模型失败不产生伪成功历史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自动化测试与异常样例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安全边界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密钥不写入仓库，医疗结果显示辅助提示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忽略规则和页面提示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本机摄像头、麦克风、扬声器；开发板可选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开发板未实机验收时明确标注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功能需求按使用者角色拆开看更清楚。普通使用者需要的是四件事：导入一张或多张眼底图像、看到分类结果与八类概率、查看并筛选历史判读记录、以及就当前结果向系统提问。系统层面还需要支持批量处理，因为一次筛查往往涉及多张图像；需要历史导出，便于使用者整理归档；需要失败可见，即图像无法处理时要明确告知原因而不是静默跳过，这一点在批量场景下尤其重要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非功能需求的约束主要来自部署环境。服务器配置为两核 CPU、约 1.6 GB 可用内存、无 GPU，这决定了推理必须在 CPU 上完成，且并发与批量规模都要受到限制。响应时间方面，单张图像在 ONNX Runtime 上的推理在百毫秒量级，但模型加载与图像预处理同样计入端到端耗时，因此接口设计上把模型做成单例常驻内存，避免每次请求重新加载权重。可用性方面要求服务异常退出后能自动恢复，这一点由 systemd 的重启策略保证。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应用边界写在这里是为了避免误解。系统不接受视频流或实时采集作为主要输入来源，不提供任何形式的诊断结论，不存储患者姓名、病历号等身份信息，历史记录中保留的只是文件名与判读结果。系统也不对外提供模型再训练接口，训练过程完全在线下完成。这些限制不是功能缺失，而是在医疗相关场景中必须守住的边界，它们同样写进了界面提示与接口返回说明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总体架构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桌面端以 PyQt5 工作台为入口，负责图像导入、摄像头、展示和本机偏好。分类模块加载 YOLO 分类权重，历史模块使用 SQLite 保存分类记录。DeepSeek 接口在配置可用时返回在线说明，未配置时返回本地参考内容。网页端以 FastAPI 提供上传、批量、历史、问答和语音接口，ONNX Runtime 在服务器 CPU 上推理。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层次</w:t>
            </w:r>
          </w:p>
        </w:tc>
        <w:tc>
          <w:tcPr>
            <w:tcW w:type="dxa" w:w="28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组成</w:t>
            </w:r>
          </w:p>
        </w:tc>
        <w:tc>
          <w:tcPr>
            <w:tcW w:type="dxa" w:w="4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责任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交互层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PyQt5 桌面端、响应式网页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图像输入、结果展示、操作反馈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业务层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分类、问答、语音、批量任务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流程编排、异常返回、缓存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SQLite、配置、运行日志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历史、批次、偏好与可追溯记录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推理层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 分类权重、ONNX Runtime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八类概率输出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启动器、systemd、部署包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桌面启动与服务常驻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系统分为四层。最底层是数据与模型层，包含数据集处理脚本、训练产物权重以及导出后的 ONNX 文件。往上是核心能力层，即核心目录下的分类封装、历史存储、大语言模型调用与凭据管理，这一层不依赖任何界面实现。再往上是呈现层，包含桌面端与网页端两套实现，它们共用核心能力层但各自处理交互逻辑。最上层是集成层，包含开发板相关的采集与语音模块，以及用于设备间图像传输的网络脚本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各模块的职责边界比较明确。分类模块负责把图像送入 ONNX 会话并整理出八类概率，历史模块负责 SQLite 中的记录增删查与批量分组，语言模型模块封装远端接口调用，凭据模块管理访问口令与密钥。服务端主程序只做 HTTP 编排：校验请求、调用核心层、返回结果，不承载业务逻辑。这样的划分让桌面端与网页端可以共享同一套分类与存储逻辑，也是两边预测结果能够保持一致的前提。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
          双端一致是这个架构最值得说明的一点。桌面端直接加载 PyTorch 权重，网页端服务端加载 ONNX 权重，两者是不同的运行时，理论上可能给出不同结果。项目为此做了一致性验证：在二十个样本上比较桌面端与服务端的预测类别与概率，类别完全一致，最大概率偏差在百万分之一量级。这个结果说明模型导出过程没有引入显著误差，也让两套界面可以共用同一套业务说明与用户指引。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28000" cy="36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/..">
                      <pic:pic>
                        <pic:nvPicPr>
                          <pic:cNvPr id="0" name="arch_lay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图1 系统总体架构分层设计</w:t>
            </w:r>
          </w:p>
        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数据与控制流程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单图流程为：选择或采集图像，检查格式和尺寸，执行预处理与模型推理，返回类别和概率，成功时保存历史记录，失败时返回原因且不保存成功记录。批量流程为逐项分类，登记批次号，成功项和失败项分别记录，历史页面可按日期、类别和批次筛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辅助建议流程为：分类结果或用户问题进入提示构造，在线服务可用时请求语言模型；不可用时返回本地参考说明。前端将来源和“辅助参考”边界一并展示。朗读优先通过服务端生成自然语音 MP3，并按文本缓存；失败时降级为浏览器本机朗读。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单张图像的处理链路是：用户在界面选择文件，前端校验类型与体积后通过 multipart 表单提交；服务端读取字节流，先做内容类型与大小校验，再交给分类器；分类器将图像缩放并中心裁剪到 512×512，归一化后送入 ONNX 会话，得到八类输出并整理成概率分布；结果连同概率分布、模型信息与批次号写入数据库，同时把原始字节另存到上传目录，最后把结果返回前端。前端渲染概率条，并在用户提问时把当前类别与置信度一并提交给问答接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批量处理在链路前端多了一步拆分。服务器内存不足以支撑一次处理过多图像，因此服务端把批量上限设为十张，前端在提交前按十张一组自动切分，每组生成独立批次号。这样做的好处是单组失败不影响其他组，代价是用户界面上会出现多个批次号，这是内存约束的直接结果而非功能缺陷。每一条记录仍然单独入库，可以单独查看详情、单独删除，删除时对应的留存图像文件也会一并清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
          问答流程与分类流程是分开的。用户提问时，前端携带当前图像判读出的类别与置信度，服务端把这些信息拼进提示词上下文，再调用大语言模型。这样做的原因是没有上下文的提问会得到泛泛而谈的回答，而带上具体类别后，生成的说明能对应到本次判读。语言模型的输出与分类结果在界面上分区域显示，避免使用者把计算结果与文字生成结果混为一谈。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28000" cy="471654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/..">
                      <pic:pic>
                        <pic:nvPicPr>
                          <pic:cNvPr id="0" name="data_control_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0" cy="47165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图2 数据与控制流程</w:t>
            </w:r>
          </w:p>
        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技术选型与接口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1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33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选型依据</w:t>
            </w:r>
          </w:p>
        </w:tc>
        <w:tc>
          <w:tcPr>
            <w:tcW w:type="dxa" w:w="39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实际用途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Python 与 PyQt5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桌面端开发和现有工程基础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桌面工作台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Ultralytics YOLO 分类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训练、验证和导出流程完整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本机模型推理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低内存、适合 2GB 服务器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 CPU 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FastAPI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接口清晰、便于静态网页协作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网页服务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单机演示部署简单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历史与批次记录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Edge TTS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中文自然音色和 MP3 缓存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网页端朗读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核心接口包括 GET /api/health、POST /api/predict、POST /api/predict/batch、GET /api/history、POST /api/chat 和 POST /api/tts。服务端对上传文件类型和大小进行限制，模型不可用时返回 503 状态，而非伪造分类结果。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选型上最关键的三个决定是：分类框架用 Ultralytics YOLO、服务端用 FastAPI、推理运行时用 ONNX Runtime。选 YOLO 分类框架不是因为它是最好的分类模型，而是因为训练配置、数据加载、指标计算与导出工具都是现成的，课程周期内可以把时间花在数据审计和部署验证上。FastAPI 的选择理由是它对 multipart 上传与异步处理的原生支持，以及自动生成的接口文档。ONNX Runtime 则是为部署环境准备的，服务器没有 GPU，它在 CPU 上的推理效率优于直接用 PyTorch 推理，依赖体积也更小，对内存紧张的机器更友好。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持久化采用 SQLite 而不是独立数据库服务，原因是数据量小、写入频率低、且不需要多实例并发访问。SQLite 以单文件形式存在，备份和迁移都只需要复制文件，这对需要长期留存的判读记录来说很实用。历史记录表除基本字段外，还保存完整概率分布的 JSON 文本与模型信息，这样即使日后更换模型，也能回溯某条记录是由哪个权重产生的。本轮迭代还补充了图像留存字段，用于支持历史记录的原图复盘。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服务端共提供十四个 HTTP 接口。认证相关三个：登录、登出与访问状态查询。系统状态一个：健康检查，返回模型加载状态、权重路径、输入尺寸与类别映射。分类相关两个：单图预测与批量预测。问答相关两个：对话与语音合成。配置一个：设置大语言模型密钥。历史相关五个：历史列表查询、按批次查询、批次列表、单条删除，以及单条记录的原图回看。原图回看接口按记录号取出分类时另存的图像，并对文件名做安全处理，防止路径穿越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部署与边界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服务器部署使用 ONNX 模型、requirements-server.txt 和 systemd 服务。服务器端已完成部署与运行；公网域名链路仍应以部署后健康接口和真实页面访问结果为准。开发板功能保留接口说明，但本项目验收时没有开发板，报告中标记为未实机验收。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部署形态是一台阿里云轻量应用服务器，操作系统 Ubuntu 22.04，两核 CPU，约 1.6 GB 可用内存，无 GPU。服务以 uvicorn 运行 FastAPI 应用，由 systemd 托管并设置为异常退出后自动重启。由于内存紧张，部署时额外配置了交换分区，避免批量处理时的内存尖峰导致进程被系统终止。模型以 ONNX 格式随包部署，服务启动时一次性加载到内存并保持常驻，后续请求不再重复加载。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资源限制是这台机器上最需要小心的地方。批量上限设为十张，前端按此切分；单张上传有体积上限；分类器关闭了 ONNX Runtime 的内存池复用，以降低长时间运行下的内存碎片风险。服务还设置了全局异常处理，任何未捕获异常都会被转成结构化的 JSON 错误响应，而不是返回空响应。这一点在实践中很重要，因为空响应会让前端解析失败并给出难以理解的错误提示，使用者无法判断是网络问题还是服务问题。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
          部署后的验证包括三部分。健康检查接口确认模型加载、类别映射与历史库可用；端到端冒烟确认上传、分类、入库与历史查询链路通畅；一致性验证确认服务端与桌面端结果一致。需要如实说明的是，摄像头采集、麦克风语音识别与语音合成这几项依赖具体硬件的功能，尚未在服务器环境完成完整的实机验证，本报告不作通过结论，相关验证留待有硬件条件时补充。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28000" cy="34396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/..">
                      <pic:pic>
                        <pic:nvPicPr>
                          <pic:cNvPr id="0" name="deployment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0" cy="3439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图3 软硬件部署方案</w:t>
            </w:r>
          </w:p>
        </w:t>
      </w:r>
    </w:p>
    <w:p>
      <w:pPr>
        <w:keepNext/>
        <w:p>
          <w:pPr>
            <w:pStyle w:val="Heading1"/>
            <w:keepNext/>
            <w:spacing w:before="200" w:after="100"/>
          </w:pPr>
          <w:r>
            <w:rPr>
              <w:rFonts w:ascii="宋体" w:hAnsi="宋体" w:eastAsia="宋体"/>
              <b/>
              <w:sz w:val="32"/>
            </w:rPr>
            <w:t>6 客户端与服务端界面实现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前五节给出了系统的分层结构、数据与控制流程、接口规范与部署方案。本节进一步给出两套界面的实际形态：桌面客户端基于 PyQt5 实现，面向单机与外接采集设备；服务端基于 FastAPI 提供浏览器访问，面向无客户端的远程使用。两者调用同一套 ONNX 推理结果与同一个历史数据库，界面差异只体现在交互方式，不体现在计算逻辑，因此同一张图像在两端得到的类别与概率一致。</w:t>
          </w:r>
        </w:p>
        <w:p>
          <w:pPr>
            <w:pStyle w:val="Heading2"/>
            <w:keepNext/>
            <w:spacing w:before="160" w:after="80"/>
          </w:pPr>
          <w:r>
            <w:rPr>
              <w:rFonts w:ascii="宋体" w:hAnsi="宋体" w:eastAsia="宋体"/>
              <b/>
              <w:sz w:val="28"/>
            </w:rPr>
            <w:t>6.1 桌面客户端（PyQt5）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桌面客户端以工作区分页组织三类任务：单图分析、批量分析、历史记录。页签切换不会重建数据，分类结果、批量任务状态与历史查询结果在各页之间保持共享，避免使用者在页签之间来回切换时丢失上下文。窗口底部为状态栏，实时显示模型加载、推理进度与异常提示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16350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desktop_main.png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1635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图4 桌面客户端单图分析主界面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单图分析界面分为左右两栏。左栏为图像区，提供本地图像、本机摄像头、开发板摄像头三类图像来源，其中本地图像支持拖拽进入；来源切换由独立页签完成，切换后不影响已加载的推理结果。左栏下方为操作区，依次排列加载模型、加载图像、开始分类、开发板交互、板端语音五个动作，按使用顺序编号，避免初次使用者遗漏前置步骤。右栏上方为分类结果区，显示预测类别、置信度与八类概率；下方为辅助建议与多轮问答两个页签，前者由本地参考库与大模型共同生成，后者支持围绕当前结论继续追问。结果区在未完成分类时明确提示「尚未分类」，并注明概率未经校准、不代表诊断准确率，防止把输出直接当作临床结论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163500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desktop_batch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1635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图5 桌面客户端批量分析页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批量分析页面向一次处理多张图像的场景。工具栏提供添加图像、添加文件夹、移除所选、开始分类、重试失败项、选择已保存批次与导出七项操作；其中「重试失败项」只重跑失败条目而不重复计算已成功条目，「选择已保存批次」用于回看历史批量任务。页面上方为统计行，实时汇总总数、已完成、成功与失败数量；中部为结果表格，逐条列出文件名、预测类别、置信度、处理状态与错误信息；右侧为类别分布柱状图，随处理进度同步更新。批量任务以批次为单位写入历史库，便于事后按批次检索与导出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163500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desktop_history.png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1635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图6 桌面客户端历史记录与统计页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历史记录页提供按日期、批次编号与关键词三种检索方式，检索结果以表格呈现，每条记录包含图像缩略图、预测类别、置信度、分类状态、保存状态、时间与所属批次。表格右侧为类别分布柱状图，汇总当前筛选结果的八类构成，可直接观察样本在各疾病类别上的分布倾斜。页面下方为分页控件与批量操作（删除所选、查看详情、清空、导出）。历史记录与批量任务共用同一张表，因此批量分析产生的条目可在此处回看原始图像与八类概率，实现「分类—复核—导出」的闭环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788800"/>
                <wp:docPr id="7" name="Picture 7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desktop_settings.png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788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图7 桌面客户端运行与网络设置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设置对话框用于配置运行与连接参数，包括服务端地址、模型路径、语音与外设开关等，修改后即时生效且不要求重启。界面显示部分的字体、界面字号与固定图像目录同样在此配置，阅读字号与自动朗读即时保存，窗口尺寸与分栏比例在正常关闭时保存，偏好写入本地配置文件，不随历史库与密钥一起清除。</w:t>
          </w:r>
        </w:p>
        <w:p>
          <w:pPr>
            <w:pStyle w:val="Heading2"/>
            <w:keepNext/>
            <w:spacing w:before="160" w:after="80"/>
          </w:pPr>
          <w:r>
            <w:rPr>
              <w:rFonts w:ascii="宋体" w:hAnsi="宋体" w:eastAsia="宋体"/>
              <b/>
              <w:sz w:val="28"/>
            </w:rPr>
            <w:t>6.2 Web 服务端（FastAPI）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服务端以浏览器为入口，部署于云服务器，使用者无需安装客户端即可完成分类。页面结构与桌面端保持一致，分为单图分析、批量分析、历史统计、系统设置四个部分，同样复用服务端的 ONNX 推理与历史库，因此与桌面端的结果口径一致。服务端通过 /api/health 暴露模型与历史库状态，便于部署后快速确认服务可用。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039016"/>
                <wp:docPr id="8" name="Picture 8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web_single_placeholder.png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0390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图8 Web 服务端单图分析页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单图分析页为默认入口，使用者选择或拖入眼底图像后提交，服务端返回预测类别、置信度与八类概率，并在同一页面给出辅助建议。该页对应服务端 POST /api/predict 接口，图像在服务端完成预处理与推理，浏览器不承担计算，因此低性能设备也能获得与桌面端一致的结果。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039016"/>
                <wp:docPr id="9" name="Picture 9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web_history_placeholder.png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0390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图9 Web 服务端历史统计页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历史统计页分三个区块：分类分布给出各类别占比，类别统计给出逐类的记录数量与置信度概况，记录明细以表格列出最近记录（上限二百条）并可查看单条详情。该页对应服务端 GET /api/history 与统计接口，与桌面端读取同一张历史表，两端记录互相可见。</w:t>
          </w:r>
        </w:p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328000" cy="3039016"/>
                <wp:docPr id="10" name="Picture 10"/>
                <wp:cNvGraphicFramePr>
                  <a:graphicFrameLocks noChangeAspect="1"/>
                </wp:cNvGraphicFramePr>
                <a:graphic>
                  <a:graphicData uri="http://schemas.openxmlformats.org/drawingml/2006/picture/..">
                    <pic:pic>
                      <pic:nvPicPr>
                        <pic:cNvPr id="0" name="ui_web_batch_placeholder.png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0" cy="30390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center"/>
          </w:pPr>
          <w:r>
            <w:rPr>
              <w:rFonts w:ascii="宋体" w:hAnsi="宋体" w:eastAsia="宋体"/>
              <b w:val="0"/>
              <w:sz w:val="21"/>
            </w:rPr>
            <w:t>图10 Web 服务端批量分析与系统设置页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批量分析页支持一次提交多张图像并汇总结果，系统设置页用于查看服务端地址、模型信息与大模型配置状态。两者与桌面端对应功能共用服务端实现，界面仅承担展示与提交职责。</w:t>
          </w:r>
        </w:p>
        <w:p>
          <w:pPr>
            <w:pStyle w:val="Heading2"/>
            <w:keepNext/>
            <w:spacing w:before="160" w:after="80"/>
          </w:pPr>
          <w:r>
            <w:rPr>
              <w:rFonts w:ascii="宋体" w:hAnsi="宋体" w:eastAsia="宋体"/>
              <b/>
              <w:sz w:val="28"/>
            </w:rPr>
            <w:t>6.3 两端的一致性与分工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两端的一致性体现在三处：其一，分类结果由同一套 ONNX 权重与同一份预处理逻辑产生，桌面端与服务端在二十个样本上的预测类别完全一致，单类概率最大偏差约百万分之三；其二，历史记录写入同一个 SQLite 数据库，桌面端产生的记录可在服务端回看，反之亦然；其三，辅助建议的生成逻辑统一，大模型不可用时均降级为本地参考库文本，并在界面上标注来源。</w:t>
          </w:r>
        </w:p>
        <w:p>
          <w:pPr>
            <w:spacing w:line="360" w:lineRule="auto"/>
            <w:ind w:firstLine="420"/>
          </w:pPr>
          <w:r>
            <w:rPr>
              <w:rFonts w:ascii="宋体" w:hAnsi="宋体" w:eastAsia="宋体"/>
              <w:sz w:val="24"/>
            </w:rPr>
            <w:t>两端的分工则依据使用场景划分：桌面端承担本地文件、摄像头与开发板采集，适合有采集硬件与离线需求的场合；服务端承担远程访问与多用户共享，适合演示、答辩与无客户端环境。界面层不重复实现推理逻辑，因而新增功能只需在服务端实现一次，两端即可同时获得，这也是本项目能够以较小代码量维护两套界面的原因。</w:t>
          </w:r>
        </w:p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[11] 张明, 周思睿. 把握挑战和机遇: 人工智能与眼科诊疗[J]. 中华眼底病杂志, 2021, 37(2): 93-97. doi:10.3760/cma.j.cn511434-20210121-00044.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[12] 范家伟, 张如如, 陆萌, 等. 深度学习方法在糖尿病视网膜病变诊断中的应用[J]. 自动化学报, 2021, 47(5): 985-1004. doi:10.16383/j.aas.c190069.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[13] 邹北骥, 张子谦, 朱承璋, 等. 基于残差网络的糖网病自动筛查[J]. 计算机辅助设计与图形学学报, 2019, 31(4): 580-588. doi:10.3724/SP.J.1089.2019.17346.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[14] 孙功鹏, 王晓玲, 等. 应用人工智能识别超广角眼底照相多病种的初步研究[J]. 中华眼底病杂志, 2022, 38(2): 132-138.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[15] 宋若仙, 曹鹏, 赵大哲. 结合域适应学习的糖尿病视网膜病变分级诊断[J]. 中国图象图形学报, 2022, 27(11): 3356-3370.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