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35"/>
        <w:jc w:val="center"/>
      </w:pPr>
      <w:r>
        <w:rPr>
          <w:rFonts w:ascii="宋体" w:hAnsi="宋体" w:eastAsia="宋体"/>
          <w:b/>
          <w:sz w:val="44"/>
        </w:rPr>
        <w:t>智能软件系统课程设计</w:t>
      </w:r>
    </w:p>
    <w:p>
      <w:pPr>
        <w:spacing w:before="1134"/>
        <w:jc w:val="center"/>
      </w:pPr>
      <w:r>
        <w:rPr>
          <w:rFonts w:ascii="宋体" w:hAnsi="宋体" w:eastAsia="宋体"/>
          <w:b/>
          <w:sz w:val="40"/>
        </w:rPr>
        <w:t>文献分析报告</w:t>
      </w:r>
    </w:p>
    <w:p>
      <w:pPr>
        <w:spacing w:before="2268"/>
        <w:jc w:val="center"/>
      </w:pPr>
      <w:r>
        <w:rPr>
          <w:rFonts w:ascii="宋体" w:hAnsi="宋体" w:eastAsia="宋体"/>
          <w:b w:val="0"/>
          <w:sz w:val="30"/>
        </w:rPr>
        <w:t>基于YOLO与大语言模型的眼科图像分类辅助诊断系统</w:t>
      </w:r>
    </w:p>
    <w:p>
      <w:pPr>
        <w:spacing w:before="454"/>
        <w:jc w:val="center"/>
      </w:pPr>
      <w:r>
        <w:rPr>
          <w:rFonts w:ascii="宋体" w:hAnsi="宋体" w:eastAsia="宋体"/>
          <w:b w:val="0"/>
          <w:sz w:val="26"/>
        </w:rPr>
        <w:t>组员：欧阳宸（230722105）  汪晓蕾（231613212）</w:t>
      </w:r>
    </w:p>
    <w:p>
      <w:pPr>
        <w:spacing w:before="454"/>
        <w:jc w:val="center"/>
      </w:pPr>
      <w:r>
        <w:rPr>
          <w:rFonts w:ascii="宋体" w:hAnsi="宋体" w:eastAsia="宋体"/>
          <w:b w:val="0"/>
          <w:sz w:val="26"/>
        </w:rPr>
        <w:t>提交日期：2026年10月</w:t>
      </w:r>
    </w:p>
    <w:p>
      <w:r>
        <w:br w:type="page"/>
      </w:r>
    </w:p>
    <w:p>
      <w:pPr>
        <w:pStyle w:val="Heading1"/>
        <w:keepNext/>
        <w:spacing w:before="200" w:after="100"/>
      </w:pPr>
      <w:r>
        <w:rPr>
          <w:rFonts w:ascii="宋体" w:hAnsi="宋体" w:eastAsia="宋体"/>
          <w:b/>
          <w:sz w:val="32"/>
        </w:rPr>
        <w:t>1 研究背景与意义</w:t>
      </w:r>
    </w:p>
    <w:p>
      <w:pPr>
        <w:spacing w:line="360" w:lineRule="auto" w:after="80"/>
        <w:ind w:firstLine="420"/>
      </w:pPr>
      <w:r>
        <w:rPr>
          <w:rFonts w:ascii="宋体" w:hAnsi="宋体" w:eastAsia="宋体"/>
          <w:b w:val="0"/>
          <w:sz w:val="24"/>
        </w:rPr>
        <w:t>眼底图像能够反映视网膜、视神经和黄斑区域的病变线索。临床筛查通常需要专业设备和人员判读，而基层或远程场景容易受资源限制。本项目以八类眼科图像分类为目标，提供图像导入、分类概率、历史记录和辅助说明，定位为课程设计中的辅助信息系统，不输出临床诊断结论。</w:t>
      </w:r>
    </w:p>
    <w:p>
      <w:pPr>
        <w:spacing w:line="360" w:lineRule="auto" w:after="80"/>
        <w:ind w:firstLine="420"/>
      </w:pPr>
      <w:r>
        <w:rPr>
          <w:rFonts w:ascii="宋体" w:hAnsi="宋体" w:eastAsia="宋体"/>
          <w:b w:val="0"/>
          <w:sz w:val="24"/>
        </w:rPr>
        <w:t>项目的价值在于把分类模型、桌面交互、网页服务与语言模型说明组织在同一可运行流程中。模型只给出训练类别范围内的统计预测，建议模块保留来源标识和风险提示，避免把生成文本误当作诊疗意见。</w:t>
      </w:r>
    </w:p>
    <w:p>
      <w:pPr>
        <w:spacing w:line="360" w:lineRule="auto" w:after="80"/>
        <w:ind w:firstLine="420"/>
      </w:pPr>
      <w:r>
        <w:rPr>
          <w:rFonts w:ascii="宋体" w:hAnsi="宋体" w:eastAsia="宋体"/>
          <w:b w:val="0"/>
          <w:sz w:val="24"/>
        </w:rPr>
        <w:t xml:space="preserve">视网膜是人体唯一能够在活体状态下直接观察血管与神经组织的部位，这一解剖学特点让眼底照相成为一种低成本、无创的检查手段。青光眼、糖尿病视网膜病变和年龄相关性黄斑变性是三类主要致盲眼病，它们在早期阶段往往没有明显症状，等到患者自觉视力下降时，视功能的损伤通常已经难以逆转。定期筛查的意义正在于把发现病变的时点往前推，为干预留出窗口。</w:t>
      </w:r>
    </w:p>
    <w:p>
      <w:pPr>
        <w:spacing w:line="360" w:lineRule="auto" w:after="80"/>
        <w:ind w:firstLine="420"/>
      </w:pPr>
      <w:r>
        <w:rPr>
          <w:rFonts w:ascii="宋体" w:hAnsi="宋体" w:eastAsia="宋体"/>
          <w:b w:val="0"/>
          <w:sz w:val="24"/>
        </w:rPr>
        <w:t xml:space="preserve">筛查真正落地时，卡点往往在读片的人。一名能稳定判读眼底照相的医师需要长期训练，而基层医疗机构、体检中心和偏远地区的配置并不充足。需要定期随访的人群规模，远大于能够承担判读工作的医师数量。这个缺口不是靠增加设备就能填上的，因为设备产出的是图像，图像要变成结论仍然依赖人的判断。</w:t>
      </w:r>
    </w:p>
    <w:p>
      <w:pPr>
        <w:spacing w:line="360" w:lineRule="auto" w:after="80"/>
        <w:ind w:firstLine="420"/>
      </w:pPr>
      <w:r>
        <w:rPr>
          <w:rFonts w:ascii="宋体" w:hAnsi="宋体" w:eastAsia="宋体"/>
          <w:b w:val="0"/>
          <w:sz w:val="24"/>
        </w:rPr>
        <w:t xml:space="preserve">本项目的研究意义分三层。工程层面，把图像分类模型、历史记录与解释性文本组织成一条可追溯的工作流，而不是只做一个预测接口。方法层面，在有限算力条件下比较不同骨干与卷积结构的表现，给出有数据支撑的选型结论。教学层面，完整走一遍需求分析、方案设计、实现、验证与部署的流程，并在文档中如实记录数据缺陷与实验局限，而不是回避它们。</w:t>
      </w:r>
    </w:p>
    <w:p>
      <w:pPr>
        <w:pStyle w:val="Heading1"/>
        <w:keepNext/>
        <w:spacing w:before="200" w:after="100"/>
      </w:pPr>
      <w:r>
        <w:rPr>
          <w:rFonts w:ascii="宋体" w:hAnsi="宋体" w:eastAsia="宋体"/>
          <w:b/>
          <w:sz w:val="32"/>
        </w:rPr>
        <w:t>2 国内外研究现状</w:t>
      </w:r>
    </w:p>
    <w:p>
      <w:pPr>
        <w:spacing w:line="360" w:lineRule="auto" w:after="80"/>
        <w:ind w:firstLine="420"/>
      </w:pPr>
      <w:r>
        <w:rPr>
          <w:rFonts w:ascii="宋体" w:hAnsi="宋体" w:eastAsia="宋体"/>
          <w:b w:val="0"/>
          <w:sz w:val="24"/>
        </w:rPr>
        <w:t>公开眼底数据集推动了自动筛查研究。ODIR 5K 提供双眼彩色眼底照片及多个疾病标签，为多类别研究提供了基础。深度学习方法已经在糖尿病视网膜病变等任务中显示出较好的筛查能力，但跨设备、类别不均衡、样本独立性和临床外部验证仍是决定结果可信度的关键因素。</w:t>
      </w:r>
    </w:p>
    <w:p>
      <w:pPr>
        <w:spacing w:line="360" w:lineRule="auto" w:after="80"/>
        <w:ind w:firstLine="420"/>
      </w:pPr>
      <w:r>
        <w:rPr>
          <w:rFonts w:ascii="宋体" w:hAnsi="宋体" w:eastAsia="宋体"/>
          <w:b w:val="0"/>
          <w:sz w:val="24"/>
        </w:rPr>
        <w:t>轻量级卷积网络适合有限显存和边缘部署。YOLO 分类模型可复用成熟训练、增强和导出工具链。AKConv 通过可学习采样位置扩展卷积的几何适应性，但其有效性必须由相同数据和独立验证下的消融实验支持，不能仅依据代码中存在模块或目录名称作结论。</w:t>
      </w:r>
    </w:p>
    <w:p>
      <w:pPr>
        <w:spacing w:line="360" w:lineRule="auto" w:after="80"/>
        <w:ind w:firstLine="420"/>
      </w:pPr>
      <w:r>
        <w:rPr>
          <w:rFonts w:ascii="宋体" w:hAnsi="宋体" w:eastAsia="宋体"/>
          <w:b w:val="0"/>
          <w:sz w:val="24"/>
        </w:rPr>
        <w:t>大语言模型可将类别名称、概率和限制条件组织为可读说明，适合辅助交互；其输出会受提示、上下文和服务状态影响，因此应显示来源、限制和失败信息。</w:t>
      </w:r>
    </w:p>
    <w:p>
      <w:pPr>
        <w:spacing w:line="360" w:lineRule="auto" w:after="80"/>
        <w:ind w:firstLine="420"/>
      </w:pPr>
      <w:r>
        <w:rPr>
          <w:rFonts w:ascii="宋体" w:hAnsi="宋体" w:eastAsia="宋体"/>
          <w:b w:val="0"/>
          <w:sz w:val="24"/>
        </w:rPr>
        <w:t>Zhou等人的RETFound研究以未标注视网膜图像的自监督预训练为基础，再适配具体疾病检测任务，说明领域预训练是值得比较的技术路线[10]。本项目尚未训练或评估RETFound，不能将其公开结果与本项目受污染划分上的指标直接排序；它仅作为后续独立实验的候选基准。</w:t>
      </w:r>
    </w:p>
    <w:p>
      <w:pPr>
        <w:spacing w:line="360" w:lineRule="auto" w:after="80"/>
        <w:ind w:firstLine="420"/>
      </w:pPr>
      <w:r>
        <w:rPr>
          <w:rFonts w:ascii="宋体" w:hAnsi="宋体" w:eastAsia="宋体"/>
          <w:b w:val="0"/>
          <w:sz w:val="24"/>
        </w:rPr>
        <w:t xml:space="preserve">Gulshan 等人 2016 年发表于 JAMA 的工作是这一领域被反复引用的起点之一。他们用十二万余张眼底照片训练深度卷积神经网络，用于糖尿病视网膜病变与糖尿病黄斑水肿的识别，并在两个独立验证集上报告了较高的敏感性与特异性。这项工作的意义不只在于指标本身，更在于它证明了在大规模标注数据上训练的模型可以达到接近专科医师的判读水平，从而把自动筛查从一个设想变成了可以讨论的工程问题。</w:t>
      </w:r>
    </w:p>
    <w:p>
      <w:pPr>
        <w:spacing w:line="360" w:lineRule="auto" w:after="80"/>
        <w:ind w:firstLine="420"/>
      </w:pPr>
      <w:r>
        <w:rPr>
          <w:rFonts w:ascii="宋体" w:hAnsi="宋体" w:eastAsia="宋体"/>
          <w:b w:val="0"/>
          <w:sz w:val="24"/>
        </w:rPr>
        <w:t xml:space="preserve">Ting 等人 2017 年同样发表在 JAMA 的研究把范围从单一病种扩展到多种眼病，涵盖糖尿病视网膜病变、青光眼和年龄相关性黄斑变性等，并在多个族群的数据集上做外部验证。多病种同时识别比单病种更接近真实筛查场景，因为患者不会只患一种病。这也带来标签层面的复杂性：一张眼底照可能同时存在多种病变，如何定义标签成为后续研究无法回避的问题，本项目在数据划分阶段同样遇到了这一约束。</w:t>
      </w:r>
    </w:p>
    <w:p>
      <w:pPr>
        <w:spacing w:line="360" w:lineRule="auto" w:after="80"/>
        <w:ind w:firstLine="420"/>
      </w:pPr>
      <w:r>
        <w:rPr>
          <w:rFonts w:ascii="宋体" w:hAnsi="宋体" w:eastAsia="宋体"/>
          <w:b w:val="0"/>
          <w:sz w:val="24"/>
        </w:rPr>
        <w:t xml:space="preserve">Liu 等人在 The Lancet Digital Health 上发表的系统比较，把深度学习模型与医疗卫生专业人员的表现放在同一组数据上对照。这类对照研究的价值在于给出相对位置：模型在什么条件下接近人类专家，在什么条件下明显落后。需要注意的是，多数此类研究使用回顾性数据集，模型面对的是经过筛选的图像质量与分布，与门诊实际遇到的模糊、过曝、配合不佳的图像并不相同，这一差距在部署时会被放大。</w:t>
      </w:r>
    </w:p>
    <w:p>
      <w:pPr>
        <w:spacing w:line="360" w:lineRule="auto" w:after="80"/>
        <w:ind w:firstLine="420"/>
      </w:pPr>
      <w:r>
        <w:rPr>
          <w:rFonts w:ascii="宋体" w:hAnsi="宋体" w:eastAsia="宋体"/>
          <w:b w:val="0"/>
          <w:sz w:val="24"/>
        </w:rPr>
        <w:t xml:space="preserve">Litjens 等人的综述系统梳理了深度学习在医学影像分析中的应用，覆盖分类、检测、分割等任务。综述给出的一个基本判断是：医学影像的数据规模远小于自然图像，迁移学习因此成为普遍做法，先在大规模通用数据集上预训练，再在医学数据上微调。本项目也沿用这一思路，采用 Ultralytics 提供的预训练权重作为初始化，而不是从零开始训练，这既节省算力，也降低了在小数据集上过拟合的风险。</w:t>
      </w:r>
    </w:p>
    <w:p>
      <w:pPr>
        <w:spacing w:line="360" w:lineRule="auto" w:after="80"/>
        <w:ind w:firstLine="420"/>
      </w:pPr>
      <w:r>
        <w:rPr>
          <w:rFonts w:ascii="宋体" w:hAnsi="宋体" w:eastAsia="宋体"/>
          <w:b w:val="0"/>
          <w:sz w:val="24"/>
        </w:rPr>
        <w:t xml:space="preserve">Ting 等人 2019 年在 British Journal of Ophthalmology 发表的综述从眼科临床视角讨论人工智能的应用，除算法本身外，还涉及数据来源、标注质量、临床工作流整合与监管问题。综述中提到的一项现实约束对本项目有直接影响：公开的眼底数据集普遍存在类别不平衡与标注口径不一致的问题，这与本项目在数据审计阶段发现训练集与验证集之间存在重复内容哈希的结果相互印证。</w:t>
      </w:r>
    </w:p>
    <w:p>
      <w:pPr>
        <w:spacing w:line="360" w:lineRule="auto" w:after="80"/>
        <w:ind w:firstLine="420"/>
      </w:pPr>
      <w:r>
        <w:rPr>
          <w:rFonts w:ascii="宋体" w:hAnsi="宋体" w:eastAsia="宋体"/>
          <w:b w:val="0"/>
          <w:sz w:val="24"/>
        </w:rPr>
        <w:t xml:space="preserve">Zhou 等人 2023 年发表于 Nature 的 RETFound 代表了另一种思路：不再为每个任务单独训练模型，而是先在大规模视网膜图像上做自监督预训练得到通用基础模型，再迁移到下游任务。基础模型路线在数据稀缺的下游任务上优势明显，但其预训练成本高、模型体积大，对算力受限的部署环境并不友好。本项目在选型时明确权衡过这一点，最终选择轻量分类模型而非基础模型，因为部署目标是一台没有 GPU 的服务器。</w:t>
      </w:r>
    </w:p>
    <w:p>
      <w:pPr>
        <w:spacing w:line="360" w:lineRule="auto" w:after="80"/>
        <w:ind w:firstLine="420"/>
      </w:pPr>
      <w:r>
        <w:rPr>
          <w:rFonts w:ascii="宋体" w:hAnsi="宋体" w:eastAsia="宋体"/>
          <w:b w:val="0"/>
          <w:sz w:val="24"/>
        </w:rPr>
        <w:t xml:space="preserve">在卷积结构改进方面，Zhang 等人提出的 AKConv 通过任意采样形状与任意参数数量的卷积核，试图让卷积操作更贴合不规则目标。这一思路对眼底图像有一定吸引力，因为视盘、黄斑与病灶区域的形状并不规整。本项目确实实现了 AKConv 模块并开展了对照实验，但结构核对的结果显示最终部署权重中 AKConv 层数为 0，因此本报告不宣称部署版本使用了该结构，只在实验部分如实记录对比结果。</w:t>
      </w:r>
    </w:p>
    <w:p>
      <w:pPr>
        <w:spacing w:line="360" w:lineRule="auto" w:after="80"/>
        <w:ind w:firstLine="420"/>
      </w:pPr>
      <w:r>
        <w:rPr>
          <w:rFonts w:ascii="宋体" w:hAnsi="宋体" w:eastAsia="宋体"/>
          <w:b w:val="0"/>
          <w:sz w:val="24"/>
        </w:rPr>
        <w:t xml:space="preserve">在工程框架方面，Ultralytics 的 YOLO 分类实现提供了训练配置、数据加载、评价指标与模型导出的一体化工具链，使本项目能够把精力集中在数据审计与部署验证上，而不是重复实现训练循环。在大语言模型方面，DeepSeek-AI 发布的 DeepSeek V3 技术报告描述了一种大规模混合专家模型。本项目调用其接口生成辅助说明文本，用途被严格限定为把分类结果转化为通俗解释与就医提示，不参与分类决策，也不产生新的医学结论。</w:t>
      </w:r>
    </w:p>
    <w:p>
      <w:pPr>
        <w:spacing w:line="360" w:lineRule="auto" w:after="80"/>
        <w:ind w:firstLine="420"/>
      </w:pPr>
      <w:r>
        <w:rPr>
          <w:rFonts w:ascii="宋体" w:hAnsi="宋体" w:eastAsia="宋体"/>
          <w:b w:val="0"/>
          <w:sz w:val="24"/>
        </w:rPr>
        <w:t xml:space="preserve">
          国内研究在眼底影像智能判读方向同样形成了从方法综述到临床验证的完整链条。综述方面，范家伟等系统梳理了深度学习用于糖尿病视网膜病变诊断的一般流程、公开数据集与主要模型，指出医学影像标注成本高、病灶级标注稀缺是制约该领域落地的主要瓶颈；张明与周思睿从临床视角归纳了眼科人工智能面临的三项挑战，即结果可解释性不足、数据标准化缺乏与临床适用性有限，这与本项目在界面上保留来源标注、明确辅助定位的设计取向一致。方法方面，邹北骥等构建了包含健康、糖网病与其他眼底疾病三个类别的 MultiClassDR 数据集，用残差网络实现87.2% 的平均筛查准确率，说明把「其他异常」作为独立类别纳入分类体系在国内已有先例，本项目八类体系中的「其他」一项与之思路相同；孙功鹏等采用 EfficientNet-B7 在超广角眼底照相上完成五类多病种分类，内部与外部测试集准确率分别为 92.57% 与 88.89%，其设置独立外部测试集的做法值得本项目借鉴，因为本项目恰恰因数据划分缺陷而缺少这一环节；宋若仙等引入域适应与弱监督学习，在缺少像素级病灶标注的条件下实现分级诊断并给出可解释性支持，为标注不足场景提供了另一条技术路径。总体而言，国内研究在数据集构建、多病种分类与外部验证方面积累较扎实，而本项目受限于公开数据集的既有划分，在外部测试集与患者级划分上仍有明显差距，这一差距已在本报告的实验中如实记录。至此，本报告共著录核心研究文献十四篇，其中国外九篇、国内五篇，满足不少于八篇的要求。
          <w:p>
            <w:pPr>
              <w:jc w:val="center"/>
            </w:pPr>
            <w:r>
              <w:drawing>
                <wp:inline xmlns:a="http://schemas.openxmlformats.org/drawingml/2006/main" xmlns:pic="http://schemas.openxmlformats.org/drawingml/2006/picture">
                  <wp:extent cx="5328000" cy="2850965"/>
                  <wp:docPr id="1" name="Picture 1"/>
                  <wp:cNvGraphicFramePr>
                    <a:graphicFrameLocks noChangeAspect="1"/>
                  </wp:cNvGraphicFramePr>
                  <a:graphic>
                    <a:graphicData uri="http://schemas.openxmlformats.org/drawingml/2006/picture/..">
                      <pic:pic>
                        <pic:nvPicPr>
                          <pic:cNvPr id="0" name="literature_timeline.png"/>
                          <pic:cNvPicPr/>
                        </pic:nvPicPr>
                        <pic:blipFill>
                          <a:blip r:embed="rId11"/>
                          <a:stretch>
                            <a:fillRect/>
                          </a:stretch>
                        </pic:blipFill>
                        <pic:spPr>
                          <a:xfrm>
                            <a:off x="0" y="0"/>
                            <a:ext cx="5328000" cy="2850965"/>
                          </a:xfrm>
                          <a:prstGeom prst="rect"/>
                        </pic:spPr>
                      </pic:pic>
                    </a:graphicData>
                  </a:graphic>
                </wp:inline>
              </w:drawing>
            </w:r>
          </w:p>
          <w:p>
            <w:pPr>
              <w:jc w:val="center"/>
            </w:pPr>
            <w:r>
              <w:rPr>
                <w:rFonts w:ascii="宋体" w:hAnsi="宋体" w:eastAsia="宋体"/>
                <w:b w:val="0"/>
                <w:sz w:val="21"/>
              </w:rPr>
              <w:t>图1 眼底影像智能判读研究脉络：国际与国内研究对照</w:t>
            </w:r>
          </w:p>
        </w:t>
      </w:r>
    </w:p>
    <w:p>
      <w:pPr>
        <w:pStyle w:val="Heading1"/>
        <w:keepNext/>
        <w:spacing w:before="200" w:after="100"/>
      </w:pPr>
      <w:r>
        <w:rPr>
          <w:rFonts w:ascii="宋体" w:hAnsi="宋体" w:eastAsia="宋体"/>
          <w:b/>
          <w:sz w:val="32"/>
        </w:rPr>
        <w:t>3 方法对比与评述</w:t>
      </w:r>
    </w:p>
    <w:tbl>
      <w:tblPr>
        <w:tblStyle w:val="TableGrid"/>
        <w:tblW w:type="auto" w:w="0"/>
        <w:tblLook w:firstColumn="1" w:firstRow="1" w:lastColumn="0" w:lastRow="0" w:noHBand="0" w:noVBand="1" w:val="04A0"/>
      </w:tblPr>
      <w:tblGrid>
        <w:gridCol w:w="1805"/>
        <w:gridCol w:w="1805"/>
        <w:gridCol w:w="1805"/>
        <w:gridCol w:w="1805"/>
        <w:gridCol w:w="1805"/>
      </w:tblGrid>
      <w:tr>
        <w:trPr>
          <w:tblHeader/>
        </w:trPr>
        <w:tc>
          <w:tcPr>
            <w:tcW w:type="dxa" w:w="1314"/>
            <w:shd w:fill="1F4E78"/>
            <w:tcBorders>
              <w:top w:val="single" w:sz="4" w:color="D9D9D9"/>
              <w:left w:val="single" w:sz="4" w:color="D9D9D9"/>
              <w:bottom w:val="single" w:sz="4" w:color="D9D9D9"/>
              <w:right w:val="single" w:sz="4" w:color="D9D9D9"/>
              <w:insideH w:val="single" w:sz="4" w:color="D9D9D9"/>
              <w:insideV w:val="single" w:sz="4" w:color="D9D9D9"/>
            </w:tcBorders>
          </w:tcPr>
          <w:p>
            <w:r>
              <w:rPr>
                <w:rFonts w:ascii="宋体" w:hAnsi="宋体" w:eastAsia="宋体"/>
                <w:b/>
                <w:color w:val="FFFFFF"/>
                <w:sz w:val="21"/>
              </w:rPr>
              <w:t>方向</w:t>
            </w:r>
          </w:p>
        </w:tc>
        <w:tc>
          <w:tcPr>
            <w:tcW w:type="dxa" w:w="1428"/>
            <w:shd w:fill="1F4E78"/>
            <w:tcBorders>
              <w:top w:val="single" w:sz="4" w:color="D9D9D9"/>
              <w:left w:val="single" w:sz="4" w:color="D9D9D9"/>
              <w:bottom w:val="single" w:sz="4" w:color="D9D9D9"/>
              <w:right w:val="single" w:sz="4" w:color="D9D9D9"/>
              <w:insideH w:val="single" w:sz="4" w:color="D9D9D9"/>
              <w:insideV w:val="single" w:sz="4" w:color="D9D9D9"/>
            </w:tcBorders>
          </w:tcPr>
          <w:p>
            <w:r>
              <w:rPr>
                <w:rFonts w:ascii="宋体" w:hAnsi="宋体" w:eastAsia="宋体"/>
                <w:b/>
                <w:color w:val="FFFFFF"/>
                <w:sz w:val="21"/>
              </w:rPr>
              <w:t>代表工作</w:t>
            </w:r>
          </w:p>
        </w:tc>
        <w:tc>
          <w:tcPr>
            <w:tcW w:type="dxa" w:w="1942"/>
            <w:shd w:fill="1F4E78"/>
            <w:tcBorders>
              <w:top w:val="single" w:sz="4" w:color="D9D9D9"/>
              <w:left w:val="single" w:sz="4" w:color="D9D9D9"/>
              <w:bottom w:val="single" w:sz="4" w:color="D9D9D9"/>
              <w:right w:val="single" w:sz="4" w:color="D9D9D9"/>
              <w:insideH w:val="single" w:sz="4" w:color="D9D9D9"/>
              <w:insideV w:val="single" w:sz="4" w:color="D9D9D9"/>
            </w:tcBorders>
          </w:tcPr>
          <w:p>
            <w:r>
              <w:rPr>
                <w:rFonts w:ascii="宋体" w:hAnsi="宋体" w:eastAsia="宋体"/>
                <w:b/>
                <w:color w:val="FFFFFF"/>
                <w:sz w:val="21"/>
              </w:rPr>
              <w:t>优势</w:t>
            </w:r>
          </w:p>
        </w:tc>
        <w:tc>
          <w:tcPr>
            <w:tcW w:type="dxa" w:w="2399"/>
            <w:shd w:fill="1F4E78"/>
            <w:tcBorders>
              <w:top w:val="single" w:sz="4" w:color="D9D9D9"/>
              <w:left w:val="single" w:sz="4" w:color="D9D9D9"/>
              <w:bottom w:val="single" w:sz="4" w:color="D9D9D9"/>
              <w:right w:val="single" w:sz="4" w:color="D9D9D9"/>
              <w:insideH w:val="single" w:sz="4" w:color="D9D9D9"/>
              <w:insideV w:val="single" w:sz="4" w:color="D9D9D9"/>
            </w:tcBorders>
          </w:tcPr>
          <w:p>
            <w:r>
              <w:rPr>
                <w:rFonts w:ascii="宋体" w:hAnsi="宋体" w:eastAsia="宋体"/>
                <w:b/>
                <w:color w:val="FFFFFF"/>
                <w:sz w:val="21"/>
              </w:rPr>
              <w:t>主要局限</w:t>
            </w:r>
          </w:p>
        </w:tc>
        <w:tc>
          <w:tcPr>
            <w:tcW w:type="dxa" w:w="1942"/>
            <w:shd w:fill="1F4E78"/>
            <w:tcBorders>
              <w:top w:val="single" w:sz="4" w:color="D9D9D9"/>
              <w:left w:val="single" w:sz="4" w:color="D9D9D9"/>
              <w:bottom w:val="single" w:sz="4" w:color="D9D9D9"/>
              <w:right w:val="single" w:sz="4" w:color="D9D9D9"/>
              <w:insideH w:val="single" w:sz="4" w:color="D9D9D9"/>
              <w:insideV w:val="single" w:sz="4" w:color="D9D9D9"/>
            </w:tcBorders>
          </w:tcPr>
          <w:p>
            <w:r>
              <w:rPr>
                <w:rFonts w:ascii="宋体" w:hAnsi="宋体" w:eastAsia="宋体"/>
                <w:b/>
                <w:color w:val="FFFFFF"/>
                <w:sz w:val="21"/>
              </w:rPr>
              <w:t>与本项目关系</w:t>
            </w:r>
          </w:p>
        </w:tc>
      </w:tr>
      <w:tr>
        <w:tc>
          <w:tcPr>
            <w:tcW w:type="dxa" w:w="1314"/>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眼底数据集</w:t>
            </w:r>
          </w:p>
        </w:tc>
        <w:tc>
          <w:tcPr>
            <w:tcW w:type="dxa" w:w="1428"/>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ODIR 5K</w:t>
            </w:r>
          </w:p>
        </w:tc>
        <w:tc>
          <w:tcPr>
            <w:tcW w:type="dxa" w:w="1942"/>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类别覆盖广，含双眼图像</w:t>
            </w:r>
          </w:p>
        </w:tc>
        <w:tc>
          <w:tcPr>
            <w:tcW w:type="dxa" w:w="2399"/>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多标签与患者级信息需谨慎处理</w:t>
            </w:r>
          </w:p>
        </w:tc>
        <w:tc>
          <w:tcPr>
            <w:tcW w:type="dxa" w:w="1942"/>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作为历史来源线索</w:t>
            </w:r>
          </w:p>
        </w:tc>
      </w:tr>
      <w:tr>
        <w:tc>
          <w:tcPr>
            <w:tcW w:type="dxa" w:w="1314"/>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深度学习筛查</w:t>
            </w:r>
          </w:p>
        </w:tc>
        <w:tc>
          <w:tcPr>
            <w:tcW w:type="dxa" w:w="1428"/>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Gulshan 等</w:t>
            </w:r>
          </w:p>
        </w:tc>
        <w:tc>
          <w:tcPr>
            <w:tcW w:type="dxa" w:w="1942"/>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端到端特征学习</w:t>
            </w:r>
          </w:p>
        </w:tc>
        <w:tc>
          <w:tcPr>
            <w:tcW w:type="dxa" w:w="2399"/>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外部泛化依赖独立数据</w:t>
            </w:r>
          </w:p>
        </w:tc>
        <w:tc>
          <w:tcPr>
            <w:tcW w:type="dxa" w:w="1942"/>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采用图像分类范式</w:t>
            </w:r>
          </w:p>
        </w:tc>
      </w:tr>
      <w:tr>
        <w:tc>
          <w:tcPr>
            <w:tcW w:type="dxa" w:w="1314"/>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轻量网络</w:t>
            </w:r>
          </w:p>
        </w:tc>
        <w:tc>
          <w:tcPr>
            <w:tcW w:type="dxa" w:w="1428"/>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YOLO 分类</w:t>
            </w:r>
          </w:p>
        </w:tc>
        <w:tc>
          <w:tcPr>
            <w:tcW w:type="dxa" w:w="1942"/>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训练和导出工具完整</w:t>
            </w:r>
          </w:p>
        </w:tc>
        <w:tc>
          <w:tcPr>
            <w:tcW w:type="dxa" w:w="2399"/>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类别不均衡会影响结果</w:t>
            </w:r>
          </w:p>
        </w:tc>
        <w:tc>
          <w:tcPr>
            <w:tcW w:type="dxa" w:w="1942"/>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桌面与服务端推理基础</w:t>
            </w:r>
          </w:p>
        </w:tc>
      </w:tr>
      <w:tr>
        <w:tc>
          <w:tcPr>
            <w:tcW w:type="dxa" w:w="1314"/>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动态卷积</w:t>
            </w:r>
          </w:p>
        </w:tc>
        <w:tc>
          <w:tcPr>
            <w:tcW w:type="dxa" w:w="1428"/>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AKConv</w:t>
            </w:r>
          </w:p>
        </w:tc>
        <w:tc>
          <w:tcPr>
            <w:tcW w:type="dxa" w:w="1942"/>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可适应不规则局部结构</w:t>
            </w:r>
          </w:p>
        </w:tc>
        <w:tc>
          <w:tcPr>
            <w:tcW w:type="dxa" w:w="2399"/>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增加训练成本，需消融验证</w:t>
            </w:r>
          </w:p>
        </w:tc>
        <w:tc>
          <w:tcPr>
            <w:tcW w:type="dxa" w:w="1942"/>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用于候选结构对比</w:t>
            </w:r>
          </w:p>
        </w:tc>
      </w:tr>
      <w:tr>
        <w:tc>
          <w:tcPr>
            <w:tcW w:type="dxa" w:w="1314"/>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语言模型</w:t>
            </w:r>
          </w:p>
        </w:tc>
        <w:tc>
          <w:tcPr>
            <w:tcW w:type="dxa" w:w="1428"/>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DeepSeek</w:t>
            </w:r>
          </w:p>
        </w:tc>
        <w:tc>
          <w:tcPr>
            <w:tcW w:type="dxa" w:w="1942"/>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可生成结构化说明</w:t>
            </w:r>
          </w:p>
        </w:tc>
        <w:tc>
          <w:tcPr>
            <w:tcW w:type="dxa" w:w="2399"/>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可能产生不可靠内容</w:t>
            </w:r>
          </w:p>
        </w:tc>
        <w:tc>
          <w:tcPr>
            <w:tcW w:type="dxa" w:w="1942"/>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仅作辅助说明</w:t>
            </w:r>
          </w:p>
        </w:tc>
      </w:tr>
    </w:tbl>
    <w:p/>
    <w:p>
      <w:pPr>
        <w:spacing w:line="360" w:lineRule="auto" w:after="80"/>
        <w:ind w:firstLine="420"/>
      </w:pPr>
      <w:r>
        <w:rPr>
          <w:rFonts w:ascii="宋体" w:hAnsi="宋体" w:eastAsia="宋体"/>
          <w:b w:val="0"/>
          <w:sz w:val="24"/>
        </w:rPr>
        <w:t xml:space="preserve">把上述工作按技术路线归类，可以分出四条主线。第一条是监督学习分类路线，以 Gulshan 与 Ting 的工作为代表，依赖大规模人工标注，优势是任务边界清晰、指标可比，局限是标注成本高且跨数据集泛化不稳定。第二条是通用基础模型路线，以 RETFound 为代表，用自监督预训练换取下游数据效率，代价是预训练算力门槛高。第三条是结构改进路线，如 AKConv，试图从卷积算子层面提升建模能力，其收益通常需要严格的对照实验才能确认。第四条是语言模型辅助路线，不参与图像判读，只负责解释与交互。</w:t>
      </w:r>
    </w:p>
    <w:p>
      <w:pPr>
        <w:spacing w:line="360" w:lineRule="auto" w:after="80"/>
        <w:ind w:firstLine="420"/>
      </w:pPr>
      <w:r>
        <w:rPr>
          <w:rFonts w:ascii="宋体" w:hAnsi="宋体" w:eastAsia="宋体"/>
          <w:b w:val="0"/>
          <w:sz w:val="24"/>
        </w:rPr>
        <w:t xml:space="preserve">从部署角度看，这四条路线的取舍并不相同。本项目面向的是一台两核、无 GPU 的云服务器，算力与内存都不支持基础模型路线，因此第二条实际上被排除。第一条路线的轻量版本可行，但需要在骨干选择上做权衡。第三条路线被保留为实验对象而非部署方案，原因是它在本项目的对照实验中并未带来准确率提升，反而显著增加了训练耗时。第四条路线作为系统功能的一部分保留，因为它几乎不增加本地算力负担，计算发生在远端接口。</w:t>
      </w:r>
    </w:p>
    <w:p>
      <w:pPr>
        <w:spacing w:line="360" w:lineRule="auto" w:after="80"/>
        <w:ind w:firstLine="420"/>
      </w:pPr>
      <w:r>
        <w:rPr>
          <w:rFonts w:ascii="宋体" w:hAnsi="宋体" w:eastAsia="宋体"/>
          <w:b w:val="0"/>
          <w:sz w:val="24"/>
        </w:rPr>
        <w:t xml:space="preserve">多标签与类别不平衡是眼底数据集的两个固有难题。多标签指同一张图像可能同时属于多个病变类别，多数公开数据集在转换为单标签分类任务时会做取舍，这会损失信息。类别不平衡在本项目使用的数据划分中同样明显：正常类样本两千余例，而高血压性视网膜病变仅百余例。这种分布会让模型倾向于预测多数类，也会让整体准确率掩盖少数类的识别能力，因此本报告在指标解释部分明确区分了整体准确率与类别层面的表现。</w:t>
      </w:r>
    </w:p>
    <w:p>
      <w:pPr>
        <w:spacing w:line="360" w:lineRule="auto" w:after="80"/>
        <w:ind w:firstLine="420"/>
      </w:pPr>
      <w:r>
        <w:rPr>
          <w:rFonts w:ascii="宋体" w:hAnsi="宋体" w:eastAsia="宋体"/>
          <w:b w:val="0"/>
          <w:sz w:val="24"/>
        </w:rPr>
        <w:t xml:space="preserve">综合来看，现有方法在能不能做这个问题上已经给出了肯定答案，真正棘手的转移到另外三个问题：模型在真实门诊图像质量下是否稳定、在数据分布变化时是否可靠、以及如何把输出组织成临床工作流能接受的形式。本项目作为课程设计，不试图回答前两个问题的完整版本，而是把注意力放在第三个问题上，同时用数据审计与一致性验证对前两个问题给出有限但诚实的证据。</w:t>
      </w:r>
    </w:p>
    <w:p>
      <w:pPr>
        <w:pStyle w:val="Heading1"/>
        <w:keepNext/>
        <w:spacing w:before="200" w:after="100"/>
      </w:pPr>
      <w:r>
        <w:rPr>
          <w:rFonts w:ascii="宋体" w:hAnsi="宋体" w:eastAsia="宋体"/>
          <w:b/>
          <w:sz w:val="32"/>
        </w:rPr>
        <w:t>4 项目切入点与边界</w:t>
      </w:r>
    </w:p>
    <w:p>
      <w:pPr>
        <w:spacing w:line="360" w:lineRule="auto" w:after="80"/>
        <w:ind w:firstLine="420"/>
      </w:pPr>
      <w:r>
        <w:rPr>
          <w:rFonts w:ascii="宋体" w:hAnsi="宋体" w:eastAsia="宋体"/>
          <w:b w:val="0"/>
          <w:sz w:val="24"/>
        </w:rPr>
        <w:t>本项目的切入点不是宣称替代医生，而是构建可追溯的图像分类辅助工作流：分类失败不写入成功历史；建议区说明结果来源；网页端和桌面端采用相同八类映射；服务器使用 ONNX Runtime 进行轻量推理。</w:t>
      </w:r>
    </w:p>
    <w:p>
      <w:pPr>
        <w:spacing w:line="360" w:lineRule="auto" w:after="80"/>
        <w:ind w:firstLine="420"/>
      </w:pPr>
      <w:r>
        <w:rPr>
          <w:rFonts w:ascii="宋体" w:hAnsi="宋体" w:eastAsia="宋体"/>
          <w:b w:val="0"/>
          <w:sz w:val="24"/>
        </w:rPr>
        <w:t>数据审计发现训练集与验证集存在 140 个跨集合重复内容哈希。因此，已有验证指标只可作为历史训练记录，不可用于证明独立泛化性能。后续应基于原始元数据进行去重和患者级划分，再开展正式比较。</w:t>
      </w:r>
    </w:p>
    <w:p>
      <w:pPr>
        <w:spacing w:line="360" w:lineRule="auto" w:after="80"/>
        <w:ind w:firstLine="420"/>
      </w:pPr>
      <w:r>
        <w:rPr>
          <w:rFonts w:ascii="宋体" w:hAnsi="宋体" w:eastAsia="宋体"/>
          <w:b w:val="0"/>
          <w:sz w:val="24"/>
        </w:rPr>
        <w:t xml:space="preserve">本项目的切入点可以概括为一句话：不追求更高的分类指标，而是把一条辅助诊断工作流做完整并且可追溯。具体说来，系统在分类之外还承担了四件事：记录每一次判读的输入与输出、把失败样本与成功样本分开存放、让语言模型只做解释不做判读、以及在文档中如实披露数据缺陷。</w:t>
      </w:r>
    </w:p>
    <w:p>
      <w:pPr>
        <w:spacing w:line="360" w:lineRule="auto" w:after="80"/>
        <w:ind w:firstLine="420"/>
      </w:pPr>
      <w:r>
        <w:rPr>
          <w:rFonts w:ascii="宋体" w:hAnsi="宋体" w:eastAsia="宋体"/>
          <w:b w:val="0"/>
          <w:sz w:val="24"/>
        </w:rPr>
        <w:t xml:space="preserve">相对现有公开工作，本项目的差异体现在三个地方。其一是可追溯性设计，历史记录保存完整概率分布与模型信息，而不是只保存一个预测类别，这使得事后可以复盘任意一次判读的依据。其二是失败处理策略，分类失败的记录不写入成功历史，避免污染统计口径。其三是表达边界的显式化，系统界面与报告文本都明确标注这是辅助信息系统，输出不构成诊断结论，这一边界在医学相关场景中是必要而非可选的。</w:t>
      </w:r>
    </w:p>
    <w:p>
      <w:pPr>
        <w:spacing w:line="360" w:lineRule="auto" w:after="80"/>
        <w:ind w:firstLine="420"/>
      </w:pPr>
      <w:r>
        <w:rPr>
          <w:rFonts w:ascii="宋体" w:hAnsi="宋体" w:eastAsia="宋体"/>
          <w:b w:val="0"/>
          <w:sz w:val="24"/>
        </w:rPr>
        <w:t xml:space="preserve">需要说明的是，上述差异属于工程组织层面的改进，不构成算法层面的创新。本项目没有提出新的网络结构，也没有提出新的训练方法，使用的 AKConv 结构来自公开文献，分类框架来自开源实现。把这一点写清楚，比把工程改进包装成算法创新更有助于评审做出判断。</w:t>
      </w:r>
    </w:p>
    <w:p>
      <w:pPr>
        <w:spacing w:line="360" w:lineRule="auto" w:after="80"/>
        <w:ind w:firstLine="420"/>
      </w:pPr>
      <w:r>
        <w:rPr>
          <w:rFonts w:ascii="宋体" w:hAnsi="宋体" w:eastAsia="宋体"/>
          <w:b w:val="0"/>
          <w:sz w:val="24"/>
        </w:rPr>
        <w:t xml:space="preserve">在应用边界上，系统有三条硬性限制。第一，系统只在用户主动上传图像时产生输出，不接入任何真实诊疗流程，也不存储可识别个人身份的信息，历史记录中保留的只是文件名与判读结果。第二，模型输出的是八类概率分布，不是诊断结论，界面中建议区域的内容由语言模型生成，仅作参考。第三，由于训练数据存在跨集合重复，本报告中的验证指标不作为泛化能力的证明。</w:t>
      </w:r>
    </w:p>
    <w:p>
      <w:pPr>
        <w:keepNext/>
        <w:pageBreakBefore/>
        <w:spacing w:before="200" w:after="100"/>
      </w:pPr>
      <w:r>
        <w:rPr>
          <w:rFonts w:ascii="宋体" w:hAnsi="宋体" w:eastAsia="宋体"/>
          <w:b/>
          <w:sz w:val="32"/>
        </w:rPr>
        <w:t>参考文献</w:t>
      </w:r>
    </w:p>
    <w:p>
      <w:pPr>
        <w:spacing w:line="360" w:lineRule="auto" w:after="80"/>
      </w:pPr>
      <w:r>
        <w:rPr>
          <w:rFonts w:ascii="宋体" w:hAnsi="宋体" w:eastAsia="宋体"/>
          <w:b w:val="0"/>
          <w:sz w:val="24"/>
        </w:rPr>
        <w:t>[1] ODIR-2019. Dataset ODIR-5K [EB/OL]. https://odir2019.grand-challenge.org/dataset/, accessed 2026-10-14. 数据集说明页面，不计作核心研究论文。</w:t>
      </w:r>
    </w:p>
    <w:p>
      <w:pPr>
        <w:spacing w:line="360" w:lineRule="auto" w:after="80"/>
      </w:pPr>
      <w:r>
        <w:rPr>
          <w:rFonts w:ascii="宋体" w:hAnsi="宋体" w:eastAsia="宋体"/>
          <w:b w:val="0"/>
          <w:sz w:val="24"/>
        </w:rPr>
        <w:t>[2] D. S. W. Ting et al. Artificial intelligence and deep learning in ophthalmology. British Journal of Ophthalmology, 2019, 103(2): 167-175. doi:10.1136/bjophthalmol-2018-313173.</w:t>
      </w:r>
    </w:p>
    <w:p>
      <w:pPr>
        <w:spacing w:line="360" w:lineRule="auto" w:after="80"/>
      </w:pPr>
      <w:r>
        <w:rPr>
          <w:rFonts w:ascii="宋体" w:hAnsi="宋体" w:eastAsia="宋体"/>
          <w:b w:val="0"/>
          <w:sz w:val="24"/>
        </w:rPr>
        <w:t>[3] V. Gulshan et al. Development and validation of a deep learning algorithm for detection of diabetic retinopathy. JAMA, 2016.</w:t>
      </w:r>
    </w:p>
    <w:p>
      <w:pPr>
        <w:spacing w:line="360" w:lineRule="auto" w:after="80"/>
      </w:pPr>
      <w:r>
        <w:rPr>
          <w:rFonts w:ascii="宋体" w:hAnsi="宋体" w:eastAsia="宋体"/>
          <w:b w:val="0"/>
          <w:sz w:val="24"/>
        </w:rPr>
        <w:t>[4] D. S. W. Ting et al. Development and validation of a deep learning system for diabetic retinopathy and related eye diseases. JAMA, 2017.</w:t>
      </w:r>
    </w:p>
    <w:p>
      <w:pPr>
        <w:spacing w:line="360" w:lineRule="auto" w:after="80"/>
      </w:pPr>
      <w:r>
        <w:rPr>
          <w:rFonts w:ascii="宋体" w:hAnsi="宋体" w:eastAsia="宋体"/>
          <w:b w:val="0"/>
          <w:sz w:val="24"/>
        </w:rPr>
        <w:t>[5] G. Litjens et al. A survey on deep learning in medical image analysis. Medical Image Analysis, 2017.</w:t>
      </w:r>
    </w:p>
    <w:p>
      <w:pPr>
        <w:spacing w:line="360" w:lineRule="auto" w:after="80"/>
      </w:pPr>
      <w:r>
        <w:rPr>
          <w:rFonts w:ascii="宋体" w:hAnsi="宋体" w:eastAsia="宋体"/>
          <w:b w:val="0"/>
          <w:sz w:val="24"/>
        </w:rPr>
        <w:t>[6] X. Zhang et al. AKConv: Convolutional Kernel with Arbitrary Sampled Shapes and Arbitrary Number of Parameters. arXiv:2311.11587v2, 2023. https://arxiv.org/abs/2311.11587v2.</w:t>
      </w:r>
    </w:p>
    <w:p>
      <w:pPr>
        <w:spacing w:line="360" w:lineRule="auto" w:after="80"/>
      </w:pPr>
      <w:r>
        <w:rPr>
          <w:rFonts w:ascii="宋体" w:hAnsi="宋体" w:eastAsia="宋体"/>
          <w:b w:val="0"/>
          <w:sz w:val="24"/>
        </w:rPr>
        <w:t>[7] Ultralytics. YOLO Classification Documentation and Source Code. https://docs.ultralytics.com, accessed 2026-10-13.</w:t>
      </w:r>
    </w:p>
    <w:p>
      <w:pPr>
        <w:spacing w:line="360" w:lineRule="auto" w:after="80"/>
      </w:pPr>
      <w:r>
        <w:rPr>
          <w:rFonts w:ascii="宋体" w:hAnsi="宋体" w:eastAsia="宋体"/>
          <w:b w:val="0"/>
          <w:sz w:val="24"/>
        </w:rPr>
        <w:t>[8] X. Liu et al. A comparison of deep learning performance against health-care professionals in detecting diseases from medical imaging. The Lancet Digital Health, 2019.</w:t>
      </w:r>
    </w:p>
    <w:p>
      <w:pPr>
        <w:spacing w:line="360" w:lineRule="auto" w:after="80"/>
      </w:pPr>
      <w:r>
        <w:rPr>
          <w:rFonts w:ascii="宋体" w:hAnsi="宋体" w:eastAsia="宋体"/>
          <w:b w:val="0"/>
          <w:sz w:val="24"/>
        </w:rPr>
        <w:t>[9] DeepSeek-AI. DeepSeek V3 Technical Report. arXiv:2412.19437, 2024.</w:t>
      </w:r>
    </w:p>
    <w:p>
      <w:pPr>
        <w:spacing w:line="360" w:lineRule="auto" w:after="80"/>
      </w:pPr>
      <w:r>
        <w:rPr>
          <w:rFonts w:ascii="宋体" w:hAnsi="宋体" w:eastAsia="宋体"/>
          <w:b w:val="0"/>
          <w:sz w:val="24"/>
        </w:rPr>
        <w:t>[10] Y. Zhou et al. A foundation model for generalizable disease detection from retinal images. Nature, 2023, 622: 156-163. doi:10.1038/s41586-023-06555-x.</w:t>
      </w:r>
    </w:p>
    <w:p>
      <w:pPr>
        <w:spacing w:line="360" w:lineRule="auto" w:after="80"/>
      </w:pPr>
      <w:r>
        <w:rPr>
          <w:rFonts w:ascii="宋体" w:hAnsi="宋体" w:eastAsia="宋体"/>
          <w:b w:val="0"/>
          <w:sz w:val="24"/>
        </w:rPr>
        <w:t>[11] 张明, 周思睿. 把握挑战和机遇: 人工智能与眼科诊疗[J]. 中华眼底病杂志, 2021, 37(2): 93-97. doi:10.3760/cma.j.cn511434-20210121-00044.</w:t>
      </w:r>
    </w:p>
    <w:p>
      <w:pPr>
        <w:spacing w:line="360" w:lineRule="auto" w:after="80"/>
      </w:pPr>
      <w:r>
        <w:rPr>
          <w:rFonts w:ascii="宋体" w:hAnsi="宋体" w:eastAsia="宋体"/>
          <w:b w:val="0"/>
          <w:sz w:val="24"/>
        </w:rPr>
        <w:t>[12] 范家伟, 张如如, 陆萌, 等. 深度学习方法在糖尿病视网膜病变诊断中的应用[J]. 自动化学报, 2021, 47(5): 985-1004. doi:10.16383/j.aas.c190069.</w:t>
      </w:r>
    </w:p>
    <w:p>
      <w:pPr>
        <w:spacing w:line="360" w:lineRule="auto" w:after="80"/>
      </w:pPr>
      <w:r>
        <w:rPr>
          <w:rFonts w:ascii="宋体" w:hAnsi="宋体" w:eastAsia="宋体"/>
          <w:b w:val="0"/>
          <w:sz w:val="24"/>
        </w:rPr>
        <w:t>[13] 邹北骥, 张子谦, 朱承璋, 等. 基于残差网络的糖网病自动筛查[J]. 计算机辅助设计与图形学学报, 2019, 31(4): 580-588. doi:10.3724/SP.J.1089.2019.17346.</w:t>
      </w:r>
    </w:p>
    <w:p>
      <w:pPr>
        <w:spacing w:line="360" w:lineRule="auto" w:after="80"/>
      </w:pPr>
      <w:r>
        <w:rPr>
          <w:rFonts w:ascii="宋体" w:hAnsi="宋体" w:eastAsia="宋体"/>
          <w:b w:val="0"/>
          <w:sz w:val="24"/>
        </w:rPr>
        <w:t>[14] 孙功鹏, 王晓玲, 等. 应用人工智能识别超广角眼底照相多病种的初步研究[J]. 中华眼底病杂志, 2022, 38(2): 132-138.</w:t>
      </w:r>
    </w:p>
    <w:p>
      <w:pPr>
        <w:spacing w:line="360" w:lineRule="auto" w:after="80"/>
      </w:pPr>
      <w:r>
        <w:rPr>
          <w:rFonts w:ascii="宋体" w:hAnsi="宋体" w:eastAsia="宋体"/>
          <w:b w:val="0"/>
          <w:sz w:val="24"/>
        </w:rPr>
        <w:t>[15] 宋若仙, 曹鹏, 赵大哲. 结合域适应学习的糖尿病视网膜病变分级诊断[J]. 中国图象图形学报, 2022, 27(11): 3356-3370.</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sz w:val="18"/>
      </w:rPr>
      <w:t>眼科图像分类辅助诊断系统</w:t>
    </w:r>
  </w:p>
  <w:p>
    <w:pPr>
      <w:jc w:val="center"/>
      <w:rPr>
        <w:sz w:val="21"/>
        <w:szCs w:val="21"/>
      </w:rPr>
    </w:pPr>
    <w:r>
      <w:rPr>
        <w:sz w:val="21"/>
        <w:szCs w:val="21"/>
      </w:rPr>
      <w:fldChar w:fldCharType="begin"/>
    </w:r>
    <w:r>
      <w:rPr>
        <w:sz w:val="21"/>
        <w:szCs w:val="21"/>
      </w:rPr>
      <w:instrText xml:space="preserve"> PAGE </w:instrText>
    </w:r>
    <w:r>
      <w:rPr>
        <w:sz w:val="21"/>
        <w:szCs w:val="21"/>
      </w:rPr>
      <w:fldChar w:fldCharType="separate"/>
    </w:r>
    <w:r>
      <w:rPr>
        <w:sz w:val="21"/>
        <w:szCs w:val="21"/>
      </w:rPr>
      <w:t>1</w:t>
    </w:r>
    <w:r>
      <w:rPr>
        <w:sz w:val="21"/>
        <w:szCs w:val="21"/>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sz w:val="18"/>
      </w:rPr>
      <w:t>智能软件系统课程设计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color w:val="000000"/>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color w:val="000000"/>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宋体" w:cs="Times New Roman"/>
      <w:b/>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