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35"/>
        <w:jc w:val="center"/>
      </w:pPr>
      <w:r>
        <w:rPr>
          <w:rFonts w:ascii="宋体" w:hAnsi="宋体" w:eastAsia="宋体"/>
          <w:b/>
          <w:sz w:val="44"/>
        </w:rPr>
        <w:t>智能软件系统课程设计</w:t>
      </w:r>
    </w:p>
    <w:p>
      <w:pPr>
        <w:spacing w:before="1134"/>
        <w:jc w:val="center"/>
      </w:pPr>
      <w:r>
        <w:rPr>
          <w:rFonts w:ascii="宋体" w:hAnsi="宋体" w:eastAsia="宋体"/>
          <w:b/>
          <w:sz w:val="40"/>
        </w:rPr>
        <w:t>技术方案设计报告</w:t>
      </w:r>
    </w:p>
    <w:p>
      <w:pPr>
        <w:spacing w:before="2268"/>
        <w:jc w:val="center"/>
      </w:pPr>
      <w:r>
        <w:rPr>
          <w:rFonts w:ascii="宋体" w:hAnsi="宋体" w:eastAsia="宋体"/>
          <w:b w:val="0"/>
          <w:sz w:val="30"/>
        </w:rPr>
        <w:t>基于YOLO与大语言模型的眼科图像分类辅助诊断系统</w:t>
      </w:r>
    </w:p>
    <w:p>
      <w:pPr>
        <w:spacing w:before="454"/>
        <w:jc w:val="center"/>
      </w:pPr>
      <w:r>
        <w:rPr>
          <w:rFonts w:ascii="宋体" w:hAnsi="宋体" w:eastAsia="宋体"/>
          <w:b w:val="0"/>
          <w:sz w:val="26"/>
        </w:rPr>
        <w:t>组员：欧阳宸（230722105）  汪晓蕾（231613212）</w:t>
      </w:r>
    </w:p>
    <w:p>
      <w:pPr>
        <w:spacing w:before="454"/>
        <w:jc w:val="center"/>
      </w:pPr>
      <w:r>
        <w:rPr>
          <w:rFonts w:ascii="宋体" w:hAnsi="宋体" w:eastAsia="宋体"/>
          <w:b w:val="0"/>
          <w:sz w:val="26"/>
        </w:rPr>
        <w:t>提交日期：2026年10月</w:t>
      </w:r>
    </w:p>
    <w:p>
      <w:r>
        <w:br w:type="page"/>
      </w:r>
    </w:p>
    <w:p>
      <w:pPr>
        <w:spacing w:before="240" w:after="240"/>
        <w:jc w:val="center"/>
      </w:pPr>
      <w:r>
        <w:rPr>
          <w:rFonts w:ascii="宋体" w:hAnsi="宋体" w:eastAsia="宋体"/>
          <b/>
          <w:sz w:val="32"/>
        </w:rPr>
        <w:t>目录</w:t>
      </w:r>
    </w:p>
    <w:p>
      <w:pPr>
        <w:spacing w:line="360" w:lineRule="auto"/>
      </w:pPr>
      <w:fldSimple w:instr=" TOC \o &quot;1-3&quot; \h \z \u ">
        <w:r>
          <w:rPr>
            <w:rFonts w:ascii="宋体" w:hAnsi="宋体" w:eastAsia="宋体"/>
            <w:sz w:val="24"/>
          </w:rPr>
          <w:t>（在 Word 中按 Ctrl+A 后按 F9 可刷新目录）</w:t>
        </w:r>
      </w:fldSimple>
    </w:p>
    <w:p>
      <w:r>
        <w:br w:type="page"/>
      </w:r>
    </w:p>
    <w:p>
      <w:pPr>
        <w:pStyle w:val="Heading1"/>
        <w:keepNext/>
        <w:spacing w:before="200" w:after="100"/>
      </w:pPr>
      <w:r>
        <w:rPr>
          <w:rFonts w:ascii="宋体" w:hAnsi="宋体" w:eastAsia="宋体"/>
          <w:b/>
          <w:sz w:val="32"/>
        </w:rPr>
        <w:t>1 需求分析</w:t>
      </w:r>
    </w:p>
    <w:p>
      <w:pPr>
        <w:spacing w:line="360" w:lineRule="auto" w:after="80"/>
        <w:ind w:firstLine="420"/>
      </w:pPr>
      <w:r>
        <w:rPr>
          <w:rFonts w:ascii="宋体" w:hAnsi="宋体" w:eastAsia="宋体"/>
          <w:b w:val="0"/>
          <w:sz w:val="24"/>
        </w:rPr>
        <w:t>用户需要能够导入单张或批量眼底图像，获得八类分类概率并保存可查询记录；需要在图像无效、模型未加载、接口不可用时看到明确原因。教学演示还需要摄像头采集、语音输入、朗读、辅助说明和网页服务入口。</w:t>
      </w:r>
    </w:p>
    <w:tbl>
      <w:tblPr>
        <w:tblStyle w:val="TableGrid"/>
        <w:tblW w:type="auto" w:w="0"/>
        <w:tblLook w:firstColumn="1" w:firstRow="1" w:lastColumn="0" w:lastRow="0" w:noHBand="0" w:noVBand="1" w:val="04A0"/>
      </w:tblPr>
      <w:tblGrid>
        <w:gridCol w:w="3009"/>
        <w:gridCol w:w="3009"/>
        <w:gridCol w:w="3009"/>
      </w:tblGrid>
      <w:tr>
        <w:trPr>
          <w:tblHeader/>
        </w:trPr>
        <w:tc>
          <w:tcPr>
            <w:tcW w:type="dxa" w:w="1257"/>
            <w:shd w:fill="1F4E78"/>
            <w:tcBorders>
              <w:top w:val="single" w:sz="4" w:color="D9D9D9"/>
              <w:left w:val="single" w:sz="4" w:color="D9D9D9"/>
              <w:bottom w:val="single" w:sz="4" w:color="D9D9D9"/>
              <w:right w:val="single" w:sz="4" w:color="D9D9D9"/>
              <w:insideH w:val="single" w:sz="4" w:color="D9D9D9"/>
              <w:insideV w:val="single" w:sz="4" w:color="D9D9D9"/>
            </w:tcBorders>
          </w:tcPr>
          <w:p>
            <w:r>
              <w:rPr>
                <w:rFonts w:ascii="宋体" w:hAnsi="宋体" w:eastAsia="宋体"/>
                <w:b/>
                <w:color w:val="FFFFFF"/>
                <w:sz w:val="21"/>
              </w:rPr>
              <w:t>类别</w:t>
            </w:r>
          </w:p>
        </w:tc>
        <w:tc>
          <w:tcPr>
            <w:tcW w:type="dxa" w:w="4855"/>
            <w:shd w:fill="1F4E78"/>
            <w:tcBorders>
              <w:top w:val="single" w:sz="4" w:color="D9D9D9"/>
              <w:left w:val="single" w:sz="4" w:color="D9D9D9"/>
              <w:bottom w:val="single" w:sz="4" w:color="D9D9D9"/>
              <w:right w:val="single" w:sz="4" w:color="D9D9D9"/>
              <w:insideH w:val="single" w:sz="4" w:color="D9D9D9"/>
              <w:insideV w:val="single" w:sz="4" w:color="D9D9D9"/>
            </w:tcBorders>
          </w:tcPr>
          <w:p>
            <w:r>
              <w:rPr>
                <w:rFonts w:ascii="宋体" w:hAnsi="宋体" w:eastAsia="宋体"/>
                <w:b/>
                <w:color w:val="FFFFFF"/>
                <w:sz w:val="21"/>
              </w:rPr>
              <w:t>需求</w:t>
            </w:r>
          </w:p>
        </w:tc>
        <w:tc>
          <w:tcPr>
            <w:tcW w:type="dxa" w:w="2913"/>
            <w:shd w:fill="1F4E78"/>
            <w:tcBorders>
              <w:top w:val="single" w:sz="4" w:color="D9D9D9"/>
              <w:left w:val="single" w:sz="4" w:color="D9D9D9"/>
              <w:bottom w:val="single" w:sz="4" w:color="D9D9D9"/>
              <w:right w:val="single" w:sz="4" w:color="D9D9D9"/>
              <w:insideH w:val="single" w:sz="4" w:color="D9D9D9"/>
              <w:insideV w:val="single" w:sz="4" w:color="D9D9D9"/>
            </w:tcBorders>
          </w:tcPr>
          <w:p>
            <w:r>
              <w:rPr>
                <w:rFonts w:ascii="宋体" w:hAnsi="宋体" w:eastAsia="宋体"/>
                <w:b/>
                <w:color w:val="FFFFFF"/>
                <w:sz w:val="21"/>
              </w:rPr>
              <w:t>验收方式</w:t>
            </w:r>
          </w:p>
        </w:tc>
      </w:tr>
      <w:tr>
        <w:tc>
          <w:tcPr>
            <w:tcW w:type="dxa" w:w="1257"/>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功能</w:t>
            </w:r>
          </w:p>
        </w:tc>
        <w:tc>
          <w:tcPr>
            <w:tcW w:type="dxa" w:w="4855"/>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单图、批量、历史查询、导出、辅助说明和多轮问答</w:t>
            </w:r>
          </w:p>
        </w:tc>
        <w:tc>
          <w:tcPr>
            <w:tcW w:type="dxa" w:w="2913"/>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测试用例与界面操作记录</w:t>
            </w:r>
          </w:p>
        </w:tc>
      </w:tr>
      <w:tr>
        <w:tc>
          <w:tcPr>
            <w:tcW w:type="dxa" w:w="1257"/>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性能</w:t>
            </w:r>
          </w:p>
        </w:tc>
        <w:tc>
          <w:tcPr>
            <w:tcW w:type="dxa" w:w="4855"/>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本机 GPU 推理与服务器 CPU 推理可用</w:t>
            </w:r>
          </w:p>
        </w:tc>
        <w:tc>
          <w:tcPr>
            <w:tcW w:type="dxa" w:w="2913"/>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服务健康接口和实际单图计时</w:t>
            </w:r>
          </w:p>
        </w:tc>
      </w:tr>
      <w:tr>
        <w:tc>
          <w:tcPr>
            <w:tcW w:type="dxa" w:w="1257"/>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可靠性</w:t>
            </w:r>
          </w:p>
        </w:tc>
        <w:tc>
          <w:tcPr>
            <w:tcW w:type="dxa" w:w="4855"/>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异常图像和模型失败不产生伪成功历史</w:t>
            </w:r>
          </w:p>
        </w:tc>
        <w:tc>
          <w:tcPr>
            <w:tcW w:type="dxa" w:w="2913"/>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自动化测试与异常样例</w:t>
            </w:r>
          </w:p>
        </w:tc>
      </w:tr>
      <w:tr>
        <w:tc>
          <w:tcPr>
            <w:tcW w:type="dxa" w:w="1257"/>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安全边界</w:t>
            </w:r>
          </w:p>
        </w:tc>
        <w:tc>
          <w:tcPr>
            <w:tcW w:type="dxa" w:w="4855"/>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密钥不写入仓库，医疗结果显示辅助提示</w:t>
            </w:r>
          </w:p>
        </w:tc>
        <w:tc>
          <w:tcPr>
            <w:tcW w:type="dxa" w:w="2913"/>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忽略规则和页面提示</w:t>
            </w:r>
          </w:p>
        </w:tc>
      </w:tr>
      <w:tr>
        <w:tc>
          <w:tcPr>
            <w:tcW w:type="dxa" w:w="1257"/>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硬件</w:t>
            </w:r>
          </w:p>
        </w:tc>
        <w:tc>
          <w:tcPr>
            <w:tcW w:type="dxa" w:w="4855"/>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本机摄像头、麦克风、扬声器；开发板可选</w:t>
            </w:r>
          </w:p>
        </w:tc>
        <w:tc>
          <w:tcPr>
            <w:tcW w:type="dxa" w:w="2913"/>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开发板未实机验收时明确标注</w:t>
            </w:r>
          </w:p>
        </w:tc>
      </w:tr>
    </w:tbl>
    <w:p/>
    <w:p>
      <w:pPr>
        <w:spacing w:line="360" w:lineRule="auto" w:after="80"/>
        <w:ind w:firstLine="420"/>
      </w:pPr>
      <w:r>
        <w:rPr>
          <w:rFonts w:ascii="宋体" w:hAnsi="宋体" w:eastAsia="宋体"/>
          <w:b w:val="0"/>
          <w:sz w:val="24"/>
        </w:rPr>
        <w:t xml:space="preserve">功能需求按使用者角色拆开看更清楚。普通使用者需要的是四件事：导入一张或多张眼底图像、看到分类结果与八类概率、查看并筛选历史判读记录、以及就当前结果向系统提问。系统层面还需要支持批量处理，因为一次筛查往往涉及多张图像；需要历史导出，便于使用者整理归档；需要失败可见，即图像无法处理时要明确告知原因而不是静默跳过，这一点在批量场景下尤其重要。</w:t>
      </w:r>
    </w:p>
    <w:p>
      <w:pPr>
        <w:spacing w:line="360" w:lineRule="auto" w:after="80"/>
        <w:ind w:firstLine="420"/>
      </w:pPr>
      <w:r>
        <w:rPr>
          <w:rFonts w:ascii="宋体" w:hAnsi="宋体" w:eastAsia="宋体"/>
          <w:b w:val="0"/>
          <w:sz w:val="24"/>
        </w:rPr>
        <w:t xml:space="preserve">非功能需求的约束主要来自部署环境。服务器配置为两核 CPU、约 1.6 GB 可用内存、无 GPU，这决定了推理必须在 CPU 上完成，且并发与批量规模都要受到限制。响应时间方面，单张图像在 ONNX Runtime 上的推理在百毫秒量级，但模型加载与图像预处理同样计入端到端耗时，因此接口设计上把模型做成单例常驻内存，避免每次请求重新加载权重。可用性方面要求服务异常退出后能自动恢复，这一点由 systemd 的重启策略保证。</w:t>
      </w:r>
    </w:p>
    <w:p>
      <w:pPr>
        <w:spacing w:line="360" w:lineRule="auto" w:after="80"/>
        <w:ind w:firstLine="420"/>
      </w:pPr>
      <w:r>
        <w:rPr>
          <w:rFonts w:ascii="宋体" w:hAnsi="宋体" w:eastAsia="宋体"/>
          <w:b w:val="0"/>
          <w:sz w:val="24"/>
        </w:rPr>
        <w:t xml:space="preserve">应用边界写在这里是为了避免误解。系统不接受视频流或实时采集作为主要输入来源，不提供任何形式的诊断结论，不存储患者姓名、病历号等身份信息，历史记录中保留的只是文件名与判读结果。系统也不对外提供模型再训练接口，训练过程完全在线下完成。这些限制不是功能缺失，而是在医疗相关场景中必须守住的边界，它们同样写进了界面提示与接口返回说明。</w:t>
      </w:r>
    </w:p>
    <w:p>
      <w:pPr>
        <w:pStyle w:val="Heading1"/>
        <w:keepNext/>
        <w:spacing w:before="200" w:after="100"/>
      </w:pPr>
      <w:r>
        <w:rPr>
          <w:rFonts w:ascii="宋体" w:hAnsi="宋体" w:eastAsia="宋体"/>
          <w:b/>
          <w:sz w:val="32"/>
        </w:rPr>
        <w:t>2 总体架构</w:t>
      </w:r>
    </w:p>
    <w:p>
      <w:pPr>
        <w:spacing w:line="360" w:lineRule="auto" w:after="80"/>
        <w:ind w:firstLine="420"/>
      </w:pPr>
      <w:r>
        <w:rPr>
          <w:rFonts w:ascii="宋体" w:hAnsi="宋体" w:eastAsia="宋体"/>
          <w:b w:val="0"/>
          <w:sz w:val="24"/>
        </w:rPr>
        <w:t>桌面端以 PyQt5 工作台为入口，负责图像导入、摄像头、展示和本机偏好。分类模块加载 YOLO 分类权重，历史模块使用 SQLite 保存分类记录。DeepSeek 接口在配置可用时返回在线说明，未配置时返回本地参考内容。网页端以 FastAPI 提供上传、批量、历史、问答和语音接口，ONNX Runtime 在服务器 CPU 上推理。</w:t>
      </w:r>
    </w:p>
    <w:tbl>
      <w:tblPr>
        <w:tblStyle w:val="TableGrid"/>
        <w:tblW w:type="auto" w:w="0"/>
        <w:tblLook w:firstColumn="1" w:firstRow="1" w:lastColumn="0" w:lastRow="0" w:noHBand="0" w:noVBand="1" w:val="04A0"/>
      </w:tblPr>
      <w:tblGrid>
        <w:gridCol w:w="3009"/>
        <w:gridCol w:w="3009"/>
        <w:gridCol w:w="3009"/>
      </w:tblGrid>
      <w:tr>
        <w:trPr>
          <w:tblHeader/>
        </w:trPr>
        <w:tc>
          <w:tcPr>
            <w:tcW w:type="dxa" w:w="1257"/>
            <w:shd w:fill="1F4E78"/>
            <w:tcBorders>
              <w:top w:val="single" w:sz="4" w:color="D9D9D9"/>
              <w:left w:val="single" w:sz="4" w:color="D9D9D9"/>
              <w:bottom w:val="single" w:sz="4" w:color="D9D9D9"/>
              <w:right w:val="single" w:sz="4" w:color="D9D9D9"/>
              <w:insideH w:val="single" w:sz="4" w:color="D9D9D9"/>
              <w:insideV w:val="single" w:sz="4" w:color="D9D9D9"/>
            </w:tcBorders>
          </w:tcPr>
          <w:p>
            <w:r>
              <w:rPr>
                <w:rFonts w:ascii="宋体" w:hAnsi="宋体" w:eastAsia="宋体"/>
                <w:b/>
                <w:color w:val="FFFFFF"/>
                <w:sz w:val="21"/>
              </w:rPr>
              <w:t>层次</w:t>
            </w:r>
          </w:p>
        </w:tc>
        <w:tc>
          <w:tcPr>
            <w:tcW w:type="dxa" w:w="2856"/>
            <w:shd w:fill="1F4E78"/>
            <w:tcBorders>
              <w:top w:val="single" w:sz="4" w:color="D9D9D9"/>
              <w:left w:val="single" w:sz="4" w:color="D9D9D9"/>
              <w:bottom w:val="single" w:sz="4" w:color="D9D9D9"/>
              <w:right w:val="single" w:sz="4" w:color="D9D9D9"/>
              <w:insideH w:val="single" w:sz="4" w:color="D9D9D9"/>
              <w:insideV w:val="single" w:sz="4" w:color="D9D9D9"/>
            </w:tcBorders>
          </w:tcPr>
          <w:p>
            <w:r>
              <w:rPr>
                <w:rFonts w:ascii="宋体" w:hAnsi="宋体" w:eastAsia="宋体"/>
                <w:b/>
                <w:color w:val="FFFFFF"/>
                <w:sz w:val="21"/>
              </w:rPr>
              <w:t>组成</w:t>
            </w:r>
          </w:p>
        </w:tc>
        <w:tc>
          <w:tcPr>
            <w:tcW w:type="dxa" w:w="4913"/>
            <w:shd w:fill="1F4E78"/>
            <w:tcBorders>
              <w:top w:val="single" w:sz="4" w:color="D9D9D9"/>
              <w:left w:val="single" w:sz="4" w:color="D9D9D9"/>
              <w:bottom w:val="single" w:sz="4" w:color="D9D9D9"/>
              <w:right w:val="single" w:sz="4" w:color="D9D9D9"/>
              <w:insideH w:val="single" w:sz="4" w:color="D9D9D9"/>
              <w:insideV w:val="single" w:sz="4" w:color="D9D9D9"/>
            </w:tcBorders>
          </w:tcPr>
          <w:p>
            <w:r>
              <w:rPr>
                <w:rFonts w:ascii="宋体" w:hAnsi="宋体" w:eastAsia="宋体"/>
                <w:b/>
                <w:color w:val="FFFFFF"/>
                <w:sz w:val="21"/>
              </w:rPr>
              <w:t>责任</w:t>
            </w:r>
          </w:p>
        </w:tc>
      </w:tr>
      <w:tr>
        <w:tc>
          <w:tcPr>
            <w:tcW w:type="dxa" w:w="1257"/>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交互层</w:t>
            </w:r>
          </w:p>
        </w:tc>
        <w:tc>
          <w:tcPr>
            <w:tcW w:type="dxa" w:w="2856"/>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PyQt5 桌面端、响应式网页</w:t>
            </w:r>
          </w:p>
        </w:tc>
        <w:tc>
          <w:tcPr>
            <w:tcW w:type="dxa" w:w="4913"/>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图像输入、结果展示、操作反馈</w:t>
            </w:r>
          </w:p>
        </w:tc>
      </w:tr>
      <w:tr>
        <w:tc>
          <w:tcPr>
            <w:tcW w:type="dxa" w:w="1257"/>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业务层</w:t>
            </w:r>
          </w:p>
        </w:tc>
        <w:tc>
          <w:tcPr>
            <w:tcW w:type="dxa" w:w="2856"/>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分类、问答、语音、批量任务</w:t>
            </w:r>
          </w:p>
        </w:tc>
        <w:tc>
          <w:tcPr>
            <w:tcW w:type="dxa" w:w="4913"/>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流程编排、异常返回、缓存</w:t>
            </w:r>
          </w:p>
        </w:tc>
      </w:tr>
      <w:tr>
        <w:tc>
          <w:tcPr>
            <w:tcW w:type="dxa" w:w="1257"/>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数据层</w:t>
            </w:r>
          </w:p>
        </w:tc>
        <w:tc>
          <w:tcPr>
            <w:tcW w:type="dxa" w:w="2856"/>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SQLite、配置、运行日志</w:t>
            </w:r>
          </w:p>
        </w:tc>
        <w:tc>
          <w:tcPr>
            <w:tcW w:type="dxa" w:w="4913"/>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历史、批次、偏好与可追溯记录</w:t>
            </w:r>
          </w:p>
        </w:tc>
      </w:tr>
      <w:tr>
        <w:tc>
          <w:tcPr>
            <w:tcW w:type="dxa" w:w="1257"/>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推理层</w:t>
            </w:r>
          </w:p>
        </w:tc>
        <w:tc>
          <w:tcPr>
            <w:tcW w:type="dxa" w:w="2856"/>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YOLO 分类权重、ONNX Runtime</w:t>
            </w:r>
          </w:p>
        </w:tc>
        <w:tc>
          <w:tcPr>
            <w:tcW w:type="dxa" w:w="4913"/>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八类概率输出</w:t>
            </w:r>
          </w:p>
        </w:tc>
      </w:tr>
      <w:tr>
        <w:tc>
          <w:tcPr>
            <w:tcW w:type="dxa" w:w="1257"/>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部署层</w:t>
            </w:r>
          </w:p>
        </w:tc>
        <w:tc>
          <w:tcPr>
            <w:tcW w:type="dxa" w:w="2856"/>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启动器、systemd、部署包</w:t>
            </w:r>
          </w:p>
        </w:tc>
        <w:tc>
          <w:tcPr>
            <w:tcW w:type="dxa" w:w="4913"/>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桌面启动与服务常驻</w:t>
            </w:r>
          </w:p>
        </w:tc>
      </w:tr>
    </w:tbl>
    <w:p/>
    <w:p>
      <w:pPr>
        <w:spacing w:line="360" w:lineRule="auto" w:after="80"/>
        <w:ind w:firstLine="420"/>
      </w:pPr>
      <w:r>
        <w:rPr>
          <w:rFonts w:ascii="宋体" w:hAnsi="宋体" w:eastAsia="宋体"/>
          <w:b w:val="0"/>
          <w:sz w:val="24"/>
        </w:rPr>
        <w:t xml:space="preserve">系统分为四层。最底层是数据与模型层，包含数据集处理脚本、训练产物权重以及导出后的 ONNX 文件。往上是核心能力层，即核心目录下的分类封装、历史存储、大语言模型调用与凭据管理，这一层不依赖任何界面实现。再往上是呈现层，包含桌面端与网页端两套实现，它们共用核心能力层但各自处理交互逻辑。最上层是集成层，包含开发板相关的采集与语音模块，以及用于设备间图像传输的网络脚本。</w:t>
      </w:r>
    </w:p>
    <w:p>
      <w:pPr>
        <w:spacing w:line="360" w:lineRule="auto" w:after="80"/>
        <w:ind w:firstLine="420"/>
      </w:pPr>
      <w:r>
        <w:rPr>
          <w:rFonts w:ascii="宋体" w:hAnsi="宋体" w:eastAsia="宋体"/>
          <w:b w:val="0"/>
          <w:sz w:val="24"/>
        </w:rPr>
        <w:t xml:space="preserve">各模块的职责边界比较明确。分类模块负责把图像送入 ONNX 会话并整理出八类概率，历史模块负责 SQLite 中的记录增删查与批量分组，语言模型模块封装远端接口调用，凭据模块管理访问口令与密钥。服务端主程序只做 HTTP 编排：校验请求、调用核心层、返回结果，不承载业务逻辑。这样的划分让桌面端与网页端可以共享同一套分类与存储逻辑，也是两边预测结果能够保持一致的前提。</w:t>
      </w:r>
    </w:p>
    <w:p>
      <w:pPr>
        <w:spacing w:line="360" w:lineRule="auto" w:after="80"/>
        <w:ind w:firstLine="420"/>
      </w:pPr>
      <w:r>
        <w:rPr>
          <w:rFonts w:ascii="宋体" w:hAnsi="宋体" w:eastAsia="宋体"/>
          <w:b w:val="0"/>
          <w:sz w:val="24"/>
        </w:rPr>
        <w:t xml:space="preserve">
          双端一致是这个架构最值得说明的一点。桌面端直接加载 PyTorch 权重，网页端服务端加载 ONNX 权重，两者是不同的运行时，理论上可能给出不同结果。项目为此做了一致性验证：在二十个样本上比较桌面端与服务端的预测类别与概率，类别完全一致，最大概率偏差在百万分之一量级。这个结果说明模型导出过程没有引入显著误差，也让两套界面可以共用同一套业务说明与用户指引。
          <w:p>
            <w:pPr>
              <w:keepNext/>
              <w:spacing w:before="120" w:after="60"/>
              <w:jc w:val="center"/>
            </w:pPr>
            <w:r>
              <w:drawing>
                <wp:inline xmlns:a="http://schemas.openxmlformats.org/drawingml/2006/main" xmlns:pic="http://schemas.openxmlformats.org/drawingml/2006/picture">
                  <wp:extent cx="5734000" cy="3874324"/>
                  <wp:docPr id="1" name="Picture 1"/>
                  <wp:cNvGraphicFramePr>
                    <a:graphicFrameLocks noChangeAspect="1"/>
                  </wp:cNvGraphicFramePr>
                  <a:graphic>
                    <a:graphicData uri="http://schemas.openxmlformats.org/drawingml/2006/picture/..">
                      <pic:pic>
                        <pic:nvPicPr>
                          <pic:cNvPr id="0" name="arch_layers.png"/>
                          <pic:cNvPicPr/>
                        </pic:nvPicPr>
                        <pic:blipFill>
                          <a:blip r:embed="rId11"/>
                          <a:stretch>
                            <a:fillRect/>
                          </a:stretch>
                        </pic:blipFill>
                        <pic:spPr>
                          <a:xfrm>
                            <a:off x="0" y="0"/>
                            <a:ext cx="5734000" cy="3874324"/>
                          </a:xfrm>
                          <a:prstGeom prst="rect"/>
                        </pic:spPr>
                      </pic:pic>
                    </a:graphicData>
                  </a:graphic>
                </wp:inline>
              </w:drawing>
            </w:r>
          </w:p>
          <w:p>
            <w:pPr>
              <w:spacing w:before="60" w:after="180"/>
              <w:jc w:val="center"/>
            </w:pPr>
            <w:r>
              <w:rPr>
                <w:rFonts w:ascii="宋体" w:hAnsi="宋体" w:eastAsia="宋体"/>
                <w:b w:val="0"/>
                <w:sz w:val="21"/>
              </w:rPr>
              <w:t>图1 系统总体架构分层设计</w:t>
            </w:r>
          </w:p>
        </w:t>
      </w:r>
    </w:p>
    <w:p>
      <w:pPr>
        <w:pStyle w:val="Heading1"/>
        <w:keepNext/>
        <w:spacing w:before="200" w:after="100"/>
      </w:pPr>
      <w:r>
        <w:rPr>
          <w:rFonts w:ascii="宋体" w:hAnsi="宋体" w:eastAsia="宋体"/>
          <w:b/>
          <w:sz w:val="32"/>
        </w:rPr>
        <w:t>3 数据与控制流程</w:t>
      </w:r>
    </w:p>
    <w:p>
      <w:pPr>
        <w:spacing w:line="360" w:lineRule="auto" w:after="80"/>
        <w:ind w:firstLine="420"/>
      </w:pPr>
      <w:r>
        <w:rPr>
          <w:rFonts w:ascii="宋体" w:hAnsi="宋体" w:eastAsia="宋体"/>
          <w:b w:val="0"/>
          <w:sz w:val="24"/>
        </w:rPr>
        <w:t>单图流程为：选择或采集图像，检查格式和尺寸，执行预处理与模型推理，返回类别和概率，成功时保存历史记录，失败时返回原因且不保存成功记录。批量流程为逐项分类，登记批次号，成功项和失败项分别记录，历史页面可按日期、类别和批次筛选。</w:t>
      </w:r>
    </w:p>
    <w:p>
      <w:pPr>
        <w:spacing w:line="360" w:lineRule="auto" w:after="80"/>
        <w:ind w:firstLine="420"/>
      </w:pPr>
      <w:r>
        <w:rPr>
          <w:rFonts w:ascii="宋体" w:hAnsi="宋体" w:eastAsia="宋体"/>
          <w:b w:val="0"/>
          <w:sz w:val="24"/>
        </w:rPr>
        <w:t>辅助建议流程为：分类结果或用户问题进入提示构造，在线服务可用时请求语言模型；不可用时返回本地参考说明。前端将来源和“辅助参考”边界一并展示。朗读优先通过服务端生成自然语音 MP3，并按文本缓存；失败时降级为浏览器本机朗读。</w:t>
      </w:r>
    </w:p>
    <w:p>
      <w:pPr>
        <w:spacing w:line="360" w:lineRule="auto" w:after="80"/>
        <w:ind w:firstLine="420"/>
      </w:pPr>
      <w:r>
        <w:rPr>
          <w:rFonts w:ascii="宋体" w:hAnsi="宋体" w:eastAsia="宋体"/>
          <w:b w:val="0"/>
          <w:sz w:val="24"/>
        </w:rPr>
        <w:t xml:space="preserve">单张图像的处理链路是：用户在界面选择文件，前端校验类型与体积后通过 multipart 表单提交；服务端读取字节流，先做内容类型与大小校验，再交给分类器；分类器将图像缩放并中心裁剪到 512×512，归一化后送入 ONNX 会话，得到八类输出并整理成概率分布；结果连同概率分布、模型信息与批次号写入数据库，同时把原始字节另存到上传目录，最后把结果返回前端。前端渲染概率条，并在用户提问时把当前类别与置信度一并提交给问答接口。</w:t>
      </w:r>
    </w:p>
    <w:p>
      <w:pPr>
        <w:spacing w:line="360" w:lineRule="auto" w:after="80"/>
        <w:ind w:firstLine="420"/>
      </w:pPr>
      <w:r>
        <w:rPr>
          <w:rFonts w:ascii="宋体" w:hAnsi="宋体" w:eastAsia="宋体"/>
          <w:b w:val="0"/>
          <w:sz w:val="24"/>
        </w:rPr>
        <w:t xml:space="preserve">批量处理在链路前端多了一步拆分。服务器内存不足以支撑一次处理过多图像，因此服务端把批量上限设为十张，前端在提交前按十张一组自动切分，每组生成独立批次号。这样做的好处是单组失败不影响其他组，代价是用户界面上会出现多个批次号，这是内存约束的直接结果而非功能缺陷。每一条记录仍然单独入库，可以单独查看详情、单独删除，删除时对应的留存图像文件也会一并清理。</w:t>
      </w:r>
    </w:p>
    <w:p>
      <w:pPr>
        <w:spacing w:line="360" w:lineRule="auto" w:after="80"/>
        <w:ind w:firstLine="420"/>
      </w:pPr>
      <w:r>
        <w:rPr>
          <w:rFonts w:ascii="宋体" w:hAnsi="宋体" w:eastAsia="宋体"/>
          <w:b w:val="0"/>
          <w:sz w:val="24"/>
        </w:rPr>
        <w:t xml:space="preserve">
          问答流程与分类流程是分开的。用户提问时，前端携带当前图像判读出的类别与置信度，服务端把这些信息拼进提示词上下文，再调用大语言模型。这样做的原因是没有上下文的提问会得到泛泛而谈的回答，而带上具体类别后，生成的说明能对应到本次判读。语言模型的输出与分类结果在界面上分区域显示，避免使用者把计算结果与文字生成结果混为一谈。
          <w:p>
            <w:pPr>
              <w:keepNext/>
              <w:spacing w:before="120" w:after="60"/>
              <w:jc w:val="center"/>
            </w:pPr>
            <w:r>
              <w:drawing>
                <wp:inline xmlns:a="http://schemas.openxmlformats.org/drawingml/2006/main" xmlns:pic="http://schemas.openxmlformats.org/drawingml/2006/picture">
                  <wp:extent cx="5734000" cy="5075955"/>
                  <wp:docPr id="2" name="Picture 2"/>
                  <wp:cNvGraphicFramePr>
                    <a:graphicFrameLocks noChangeAspect="1"/>
                  </wp:cNvGraphicFramePr>
                  <a:graphic>
                    <a:graphicData uri="http://schemas.openxmlformats.org/drawingml/2006/picture/..">
                      <pic:pic>
                        <pic:nvPicPr>
                          <pic:cNvPr id="0" name="data_control_flow.png"/>
                          <pic:cNvPicPr/>
                        </pic:nvPicPr>
                        <pic:blipFill>
                          <a:blip r:embed="rId12"/>
                          <a:stretch>
                            <a:fillRect/>
                          </a:stretch>
                        </pic:blipFill>
                        <pic:spPr>
                          <a:xfrm>
                            <a:off x="0" y="0"/>
                            <a:ext cx="5734000" cy="5075955"/>
                          </a:xfrm>
                          <a:prstGeom prst="rect"/>
                        </pic:spPr>
                      </pic:pic>
                    </a:graphicData>
                  </a:graphic>
                </wp:inline>
              </w:drawing>
            </w:r>
          </w:p>
          <w:p>
            <w:pPr>
              <w:spacing w:before="60" w:after="180"/>
              <w:jc w:val="center"/>
            </w:pPr>
            <w:r>
              <w:rPr>
                <w:rFonts w:ascii="宋体" w:hAnsi="宋体" w:eastAsia="宋体"/>
                <w:b w:val="0"/>
                <w:sz w:val="21"/>
              </w:rPr>
              <w:t>图2 数据与控制流程</w:t>
            </w:r>
          </w:p>
        </w:t>
      </w:r>
    </w:p>
    <w:p>
      <w:pPr>
        <w:pStyle w:val="Heading1"/>
        <w:keepNext/>
        <w:spacing w:before="200" w:after="100"/>
      </w:pPr>
      <w:r>
        <w:rPr>
          <w:rFonts w:ascii="宋体" w:hAnsi="宋体" w:eastAsia="宋体"/>
          <w:b/>
          <w:sz w:val="32"/>
        </w:rPr>
        <w:t>4 技术选型与接口</w:t>
      </w:r>
    </w:p>
    <w:tbl>
      <w:tblPr>
        <w:tblStyle w:val="TableGrid"/>
        <w:tblW w:type="auto" w:w="0"/>
        <w:tblLook w:firstColumn="1" w:firstRow="1" w:lastColumn="0" w:lastRow="0" w:noHBand="0" w:noVBand="1" w:val="04A0"/>
      </w:tblPr>
      <w:tblGrid>
        <w:gridCol w:w="3009"/>
        <w:gridCol w:w="3009"/>
        <w:gridCol w:w="3009"/>
      </w:tblGrid>
      <w:tr>
        <w:trPr>
          <w:tblHeader/>
        </w:trPr>
        <w:tc>
          <w:tcPr>
            <w:tcW w:type="dxa" w:w="1714"/>
            <w:shd w:fill="1F4E78"/>
            <w:tcBorders>
              <w:top w:val="single" w:sz="4" w:color="D9D9D9"/>
              <w:left w:val="single" w:sz="4" w:color="D9D9D9"/>
              <w:bottom w:val="single" w:sz="4" w:color="D9D9D9"/>
              <w:right w:val="single" w:sz="4" w:color="D9D9D9"/>
              <w:insideH w:val="single" w:sz="4" w:color="D9D9D9"/>
              <w:insideV w:val="single" w:sz="4" w:color="D9D9D9"/>
            </w:tcBorders>
          </w:tcPr>
          <w:p>
            <w:r>
              <w:rPr>
                <w:rFonts w:ascii="宋体" w:hAnsi="宋体" w:eastAsia="宋体"/>
                <w:b/>
                <w:color w:val="FFFFFF"/>
                <w:sz w:val="21"/>
              </w:rPr>
              <w:t>技术</w:t>
            </w:r>
          </w:p>
        </w:tc>
        <w:tc>
          <w:tcPr>
            <w:tcW w:type="dxa" w:w="3313"/>
            <w:shd w:fill="1F4E78"/>
            <w:tcBorders>
              <w:top w:val="single" w:sz="4" w:color="D9D9D9"/>
              <w:left w:val="single" w:sz="4" w:color="D9D9D9"/>
              <w:bottom w:val="single" w:sz="4" w:color="D9D9D9"/>
              <w:right w:val="single" w:sz="4" w:color="D9D9D9"/>
              <w:insideH w:val="single" w:sz="4" w:color="D9D9D9"/>
              <w:insideV w:val="single" w:sz="4" w:color="D9D9D9"/>
            </w:tcBorders>
          </w:tcPr>
          <w:p>
            <w:r>
              <w:rPr>
                <w:rFonts w:ascii="宋体" w:hAnsi="宋体" w:eastAsia="宋体"/>
                <w:b/>
                <w:color w:val="FFFFFF"/>
                <w:sz w:val="21"/>
              </w:rPr>
              <w:t>选型依据</w:t>
            </w:r>
          </w:p>
        </w:tc>
        <w:tc>
          <w:tcPr>
            <w:tcW w:type="dxa" w:w="3999"/>
            <w:shd w:fill="1F4E78"/>
            <w:tcBorders>
              <w:top w:val="single" w:sz="4" w:color="D9D9D9"/>
              <w:left w:val="single" w:sz="4" w:color="D9D9D9"/>
              <w:bottom w:val="single" w:sz="4" w:color="D9D9D9"/>
              <w:right w:val="single" w:sz="4" w:color="D9D9D9"/>
              <w:insideH w:val="single" w:sz="4" w:color="D9D9D9"/>
              <w:insideV w:val="single" w:sz="4" w:color="D9D9D9"/>
            </w:tcBorders>
          </w:tcPr>
          <w:p>
            <w:r>
              <w:rPr>
                <w:rFonts w:ascii="宋体" w:hAnsi="宋体" w:eastAsia="宋体"/>
                <w:b/>
                <w:color w:val="FFFFFF"/>
                <w:sz w:val="21"/>
              </w:rPr>
              <w:t>实际用途</w:t>
            </w:r>
          </w:p>
        </w:tc>
      </w:tr>
      <w:tr>
        <w:tc>
          <w:tcPr>
            <w:tcW w:type="dxa" w:w="1714"/>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Python 与 PyQt5</w:t>
            </w:r>
          </w:p>
        </w:tc>
        <w:tc>
          <w:tcPr>
            <w:tcW w:type="dxa" w:w="3313"/>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桌面端开发和现有工程基础</w:t>
            </w:r>
          </w:p>
        </w:tc>
        <w:tc>
          <w:tcPr>
            <w:tcW w:type="dxa" w:w="3999"/>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桌面工作台</w:t>
            </w:r>
          </w:p>
        </w:tc>
      </w:tr>
      <w:tr>
        <w:tc>
          <w:tcPr>
            <w:tcW w:type="dxa" w:w="1714"/>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Ultralytics YOLO 分类</w:t>
            </w:r>
          </w:p>
        </w:tc>
        <w:tc>
          <w:tcPr>
            <w:tcW w:type="dxa" w:w="3313"/>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训练、验证和导出流程完整</w:t>
            </w:r>
          </w:p>
        </w:tc>
        <w:tc>
          <w:tcPr>
            <w:tcW w:type="dxa" w:w="3999"/>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本机模型推理</w:t>
            </w:r>
          </w:p>
        </w:tc>
      </w:tr>
      <w:tr>
        <w:tc>
          <w:tcPr>
            <w:tcW w:type="dxa" w:w="1714"/>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ONNX Runtime</w:t>
            </w:r>
          </w:p>
        </w:tc>
        <w:tc>
          <w:tcPr>
            <w:tcW w:type="dxa" w:w="3313"/>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低内存、适合 2GB 服务器</w:t>
            </w:r>
          </w:p>
        </w:tc>
        <w:tc>
          <w:tcPr>
            <w:tcW w:type="dxa" w:w="3999"/>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服务端 CPU 推理</w:t>
            </w:r>
          </w:p>
        </w:tc>
      </w:tr>
      <w:tr>
        <w:tc>
          <w:tcPr>
            <w:tcW w:type="dxa" w:w="1714"/>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FastAPI</w:t>
            </w:r>
          </w:p>
        </w:tc>
        <w:tc>
          <w:tcPr>
            <w:tcW w:type="dxa" w:w="3313"/>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接口清晰、便于静态网页协作</w:t>
            </w:r>
          </w:p>
        </w:tc>
        <w:tc>
          <w:tcPr>
            <w:tcW w:type="dxa" w:w="3999"/>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网页服务</w:t>
            </w:r>
          </w:p>
        </w:tc>
      </w:tr>
      <w:tr>
        <w:tc>
          <w:tcPr>
            <w:tcW w:type="dxa" w:w="1714"/>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SQLite</w:t>
            </w:r>
          </w:p>
        </w:tc>
        <w:tc>
          <w:tcPr>
            <w:tcW w:type="dxa" w:w="3313"/>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单机演示部署简单</w:t>
            </w:r>
          </w:p>
        </w:tc>
        <w:tc>
          <w:tcPr>
            <w:tcW w:type="dxa" w:w="3999"/>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历史与批次记录</w:t>
            </w:r>
          </w:p>
        </w:tc>
      </w:tr>
      <w:tr>
        <w:tc>
          <w:tcPr>
            <w:tcW w:type="dxa" w:w="1714"/>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Edge TTS</w:t>
            </w:r>
          </w:p>
        </w:tc>
        <w:tc>
          <w:tcPr>
            <w:tcW w:type="dxa" w:w="3313"/>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中文自然音色和 MP3 缓存</w:t>
            </w:r>
          </w:p>
        </w:tc>
        <w:tc>
          <w:tcPr>
            <w:tcW w:type="dxa" w:w="3999"/>
            <w:tcBorders>
              <w:top w:val="single" w:sz="4" w:color="D9D9D9"/>
              <w:left w:val="single" w:sz="4" w:color="D9D9D9"/>
              <w:bottom w:val="single" w:sz="4" w:color="D9D9D9"/>
              <w:right w:val="single" w:sz="4" w:color="D9D9D9"/>
              <w:insideH w:val="single" w:sz="4" w:color="D9D9D9"/>
              <w:insideV w:val="single" w:sz="4" w:color="D9D9D9"/>
            </w:tcBorders>
          </w:tcPr>
          <w:p>
            <w:pPr>
              <w:spacing w:line="300" w:lineRule="auto"/>
            </w:pPr>
            <w:r>
              <w:rPr>
                <w:rFonts w:ascii="宋体" w:hAnsi="宋体" w:eastAsia="宋体"/>
                <w:b w:val="0"/>
                <w:sz w:val="21"/>
              </w:rPr>
              <w:t>网页端朗读</w:t>
            </w:r>
          </w:p>
        </w:tc>
      </w:tr>
    </w:tbl>
    <w:p/>
    <w:p>
      <w:pPr>
        <w:spacing w:line="360" w:lineRule="auto" w:after="80"/>
        <w:ind w:firstLine="420"/>
      </w:pPr>
      <w:r>
        <w:rPr>
          <w:rFonts w:ascii="宋体" w:hAnsi="宋体" w:eastAsia="宋体"/>
          <w:b w:val="0"/>
          <w:sz w:val="24"/>
        </w:rPr>
        <w:t>核心接口包括 GET /api/health、POST /api/predict、POST /api/predict/batch、GET /api/history、POST /api/chat 和 POST /api/tts。服务端对上传文件类型和大小进行限制，模型不可用时返回 503 状态，而非伪造分类结果。</w:t>
      </w:r>
    </w:p>
    <w:p>
      <w:pPr>
        <w:spacing w:line="360" w:lineRule="auto" w:after="80"/>
        <w:ind w:firstLine="420"/>
      </w:pPr>
      <w:r>
        <w:rPr>
          <w:rFonts w:ascii="宋体" w:hAnsi="宋体" w:eastAsia="宋体"/>
          <w:b w:val="0"/>
          <w:sz w:val="24"/>
        </w:rPr>
        <w:t xml:space="preserve">选型上最关键的三个决定是：分类框架用 Ultralytics YOLO、服务端用 FastAPI、推理运行时用 ONNX Runtime。选 YOLO 分类框架不是因为它是最好的分类模型，而是因为训练配置、数据加载、指标计算与导出工具都是现成的，课程周期内可以把时间花在数据审计和部署验证上。FastAPI 的选择理由是它对 multipart 上传与异步处理的原生支持，以及自动生成的接口文档。ONNX Runtime 则是为部署环境准备的，服务器没有 GPU，它在 CPU 上的推理效率优于直接用 PyTorch 推理，依赖体积也更小，对内存紧张的机器更友好。</w:t>
      </w:r>
    </w:p>
    <w:p>
      <w:pPr>
        <w:spacing w:line="360" w:lineRule="auto" w:after="80"/>
        <w:ind w:firstLine="420"/>
      </w:pPr>
      <w:r>
        <w:rPr>
          <w:rFonts w:ascii="宋体" w:hAnsi="宋体" w:eastAsia="宋体"/>
          <w:b w:val="0"/>
          <w:sz w:val="24"/>
        </w:rPr>
        <w:t xml:space="preserve">持久化采用 SQLite 而不是独立数据库服务，原因是数据量小、写入频率低、且不需要多实例并发访问。SQLite 以单文件形式存在，备份和迁移都只需要复制文件，这对需要长期留存的判读记录来说很实用。历史记录表除基本字段外，还保存完整概率分布的 JSON 文本与模型信息，这样即使日后更换模型，也能回溯某条记录是由哪个权重产生的。本轮迭代还补充了图像留存字段，用于支持历史记录的原图复盘。</w:t>
      </w:r>
    </w:p>
    <w:p>
      <w:pPr>
        <w:spacing w:line="360" w:lineRule="auto" w:after="80"/>
        <w:ind w:firstLine="420"/>
      </w:pPr>
      <w:r>
        <w:rPr>
          <w:rFonts w:ascii="宋体" w:hAnsi="宋体" w:eastAsia="宋体"/>
          <w:b w:val="0"/>
          <w:sz w:val="24"/>
        </w:rPr>
        <w:t xml:space="preserve">服务端共提供十四个 HTTP 接口。认证相关三个：登录、登出与访问状态查询。系统状态一个：健康检查，返回模型加载状态、权重路径、输入尺寸与类别映射。分类相关两个：单图预测与批量预测。问答相关两个：对话与语音合成。配置一个：设置大语言模型密钥。历史相关五个：历史列表查询、按批次查询、批次列表、单条删除，以及单条记录的原图回看。原图回看接口按记录号取出分类时另存的图像，并对文件名做安全处理，防止路径穿越。</w:t>
      </w:r>
    </w:p>
    <w:p>
      <w:pPr>
        <w:pStyle w:val="Heading1"/>
        <w:keepNext/>
        <w:spacing w:before="200" w:after="100"/>
      </w:pPr>
      <w:r>
        <w:rPr>
          <w:rFonts w:ascii="宋体" w:hAnsi="宋体" w:eastAsia="宋体"/>
          <w:b/>
          <w:sz w:val="32"/>
        </w:rPr>
        <w:t>5 部署与边界</w:t>
      </w:r>
    </w:p>
    <w:p>
      <w:pPr>
        <w:spacing w:line="360" w:lineRule="auto" w:after="80"/>
        <w:ind w:firstLine="420"/>
      </w:pPr>
      <w:r>
        <w:rPr>
          <w:rFonts w:ascii="宋体" w:hAnsi="宋体" w:eastAsia="宋体"/>
          <w:b w:val="0"/>
          <w:sz w:val="24"/>
        </w:rPr>
        <w:t>服务器部署使用 ONNX 模型、requirements-server.txt 和 systemd 服务。服务器端已完成部署与运行；公网域名链路仍应以部署后健康接口和真实页面访问结果为准。开发板功能保留接口说明，但本项目验收时没有开发板，报告中标记为未实机验收。</w:t>
      </w:r>
    </w:p>
    <w:p>
      <w:pPr>
        <w:spacing w:line="360" w:lineRule="auto" w:after="80"/>
        <w:ind w:firstLine="420"/>
      </w:pPr>
      <w:r>
        <w:rPr>
          <w:rFonts w:ascii="宋体" w:hAnsi="宋体" w:eastAsia="宋体"/>
          <w:b w:val="0"/>
          <w:sz w:val="24"/>
        </w:rPr>
        <w:t xml:space="preserve">部署形态是一台阿里云轻量应用服务器，操作系统 Ubuntu 22.04，两核 CPU，约 1.6 GB 可用内存，无 GPU。服务以 uvicorn 运行 FastAPI 应用，由 systemd 托管并设置为异常退出后自动重启。由于内存紧张，部署时额外配置了交换分区，避免批量处理时的内存尖峰导致进程被系统终止。模型以 ONNX 格式随包部署，服务启动时一次性加载到内存并保持常驻，后续请求不再重复加载。</w:t>
      </w:r>
    </w:p>
    <w:p>
      <w:pPr>
        <w:spacing w:line="360" w:lineRule="auto" w:after="80"/>
        <w:ind w:firstLine="420"/>
      </w:pPr>
      <w:r>
        <w:rPr>
          <w:rFonts w:ascii="宋体" w:hAnsi="宋体" w:eastAsia="宋体"/>
          <w:b w:val="0"/>
          <w:sz w:val="24"/>
        </w:rPr>
        <w:t xml:space="preserve">资源限制是这台机器上最需要小心的地方。批量上限设为十张，前端按此切分；单张上传有体积上限；分类器关闭了 ONNX Runtime 的内存池复用，以降低长时间运行下的内存碎片风险。服务还设置了全局异常处理，任何未捕获异常都会被转成结构化的 JSON 错误响应，而不是返回空响应。这一点在实践中很重要，因为空响应会让前端解析失败并给出难以理解的错误提示，使用者无法判断是网络问题还是服务问题。</w:t>
      </w:r>
    </w:p>
    <w:p>
      <w:pPr>
        <w:spacing w:line="360" w:lineRule="auto" w:after="80"/>
        <w:ind w:firstLine="420"/>
      </w:pPr>
      <w:r>
        <w:rPr>
          <w:rFonts w:ascii="宋体" w:hAnsi="宋体" w:eastAsia="宋体"/>
          <w:b w:val="0"/>
          <w:sz w:val="24"/>
        </w:rPr>
        <w:t xml:space="preserve">
          部署后的验证包括三部分。健康检查接口确认模型加载、类别映射与历史库可用；端到端冒烟确认上传、分类、入库与历史查询链路通畅；一致性验证确认服务端与桌面端结果一致。需要如实说明的是，摄像头采集、麦克风语音识别与语音合成这几项依赖具体硬件的功能，尚未在服务器环境完成完整的实机验证，本报告不作通过结论，相关验证留待有硬件条件时补充。
          <w:p>
            <w:pPr>
              <w:keepNext/>
              <w:spacing w:before="120" w:after="60"/>
              <w:jc w:val="center"/>
            </w:pPr>
            <w:r>
              <w:drawing>
                <wp:inline xmlns:a="http://schemas.openxmlformats.org/drawingml/2006/main" xmlns:pic="http://schemas.openxmlformats.org/drawingml/2006/picture">
                  <wp:extent cx="5734000" cy="3701728"/>
                  <wp:docPr id="3" name="Picture 3"/>
                  <wp:cNvGraphicFramePr>
                    <a:graphicFrameLocks noChangeAspect="1"/>
                  </wp:cNvGraphicFramePr>
                  <a:graphic>
                    <a:graphicData uri="http://schemas.openxmlformats.org/drawingml/2006/picture/..">
                      <pic:pic>
                        <pic:nvPicPr>
                          <pic:cNvPr id="0" name="deployment_topology.png"/>
                          <pic:cNvPicPr/>
                        </pic:nvPicPr>
                        <pic:blipFill>
                          <a:blip r:embed="rId13"/>
                          <a:stretch>
                            <a:fillRect/>
                          </a:stretch>
                        </pic:blipFill>
                        <pic:spPr>
                          <a:xfrm>
                            <a:off x="0" y="0"/>
                            <a:ext cx="5734000" cy="3701728"/>
                          </a:xfrm>
                          <a:prstGeom prst="rect"/>
                        </pic:spPr>
                      </pic:pic>
                    </a:graphicData>
                  </a:graphic>
                </wp:inline>
              </w:drawing>
            </w:r>
          </w:p>
          <w:p>
            <w:pPr>
              <w:spacing w:before="60" w:after="180"/>
              <w:jc w:val="center"/>
            </w:pPr>
            <w:r>
              <w:rPr>
                <w:rFonts w:ascii="宋体" w:hAnsi="宋体" w:eastAsia="宋体"/>
                <w:b w:val="0"/>
                <w:sz w:val="21"/>
              </w:rPr>
              <w:t>图3 软硬件部署方案</w:t>
            </w:r>
          </w:p>
        </w:t>
      </w:r>
    </w:p>
    <w:p>
      <w:pPr>
        <w:keepNext/>
        <w:p>
          <w:pPr>
            <w:pStyle w:val="Heading1"/>
            <w:keepNext/>
            <w:spacing w:before="200" w:after="100"/>
          </w:pPr>
          <w:r>
            <w:rPr>
              <w:rFonts w:ascii="宋体" w:hAnsi="宋体" w:eastAsia="宋体"/>
              <b/>
              <w:sz w:val="32"/>
            </w:rPr>
            <w:t>6 客户端与服务端界面实现</w:t>
          </w:r>
        </w:p>
        <w:p>
          <w:pPr>
            <w:spacing w:line="360" w:lineRule="auto"/>
            <w:ind w:firstLine="420"/>
          </w:pPr>
          <w:r>
            <w:rPr>
              <w:rFonts w:ascii="宋体" w:hAnsi="宋体" w:eastAsia="宋体"/>
              <w:sz w:val="24"/>
            </w:rPr>
            <w:t>前五节给出了系统的分层结构、数据与控制流程、接口规范与部署方案。本节进一步给出两套界面的实际形态：桌面客户端基于 PyQt5 实现，面向单机与外接采集设备；服务端基于 FastAPI 提供浏览器访问，面向无客户端的远程使用。两者调用同一套 ONNX 推理结果与同一个历史数据库，界面差异只体现在交互方式，不体现在计算逻辑，因此同一张图像在两端得到的类别与概率一致。</w:t>
          </w:r>
        </w:p>
        <w:p>
          <w:pPr>
            <w:pStyle w:val="Heading2"/>
            <w:keepNext/>
            <w:spacing w:before="160" w:after="80"/>
          </w:pPr>
          <w:r>
            <w:rPr>
              <w:rFonts w:ascii="宋体" w:hAnsi="宋体" w:eastAsia="宋体"/>
              <b/>
              <w:sz w:val="28"/>
            </w:rPr>
            <w:t>6.1 桌面客户端（PyQt5）</w:t>
          </w:r>
        </w:p>
        <w:p>
          <w:pPr>
            <w:spacing w:line="360" w:lineRule="auto"/>
            <w:ind w:firstLine="420"/>
          </w:pPr>
          <w:r>
            <w:rPr>
              <w:rFonts w:ascii="宋体" w:hAnsi="宋体" w:eastAsia="宋体"/>
              <w:sz w:val="24"/>
            </w:rPr>
            <w:t>桌面客户端以工作区分页组织三类任务：单图分析、批量分析、历史记录。页签切换不会重建数据，分类结果、批量任务状态与历史查询结果在各页之间保持共享，避免使用者在页签之间来回切换时丢失上下文。窗口底部为状态栏，实时显示模型加载、推理进度与异常提示。</w:t>
          </w:r>
        </w:p>
        <w:p>
          <w:pPr>
            <w:keepNext/>
            <w:spacing w:before="120" w:after="60"/>
            <w:jc w:val="center"/>
          </w:pPr>
          <w:r>
            <w:drawing>
              <wp:inline xmlns:a="http://schemas.openxmlformats.org/drawingml/2006/main" xmlns:pic="http://schemas.openxmlformats.org/drawingml/2006/picture">
                <wp:extent cx="5734000" cy="3082025"/>
                <wp:docPr id="11" name="Picture 11"/>
                <wp:cNvGraphicFramePr>
                  <a:graphicFrameLocks noChangeAspect="1"/>
                </wp:cNvGraphicFramePr>
                <a:graphic>
                  <a:graphicData uri="http://schemas.openxmlformats.org/drawingml/2006/picture/..">
                    <pic:pic>
                      <pic:nvPicPr>
                        <pic:cNvPr id="0" name="shot.png"/>
                        <pic:cNvPicPr/>
                      </pic:nvPicPr>
                      <pic:blipFill>
                        <a:blip r:embed="rId14"/>
                        <a:stretch>
                          <a:fillRect/>
                        </a:stretch>
                      </pic:blipFill>
                      <pic:spPr>
                        <a:xfrm>
                          <a:off x="0" y="0"/>
                          <a:ext cx="5734000" cy="3082025"/>
                        </a:xfrm>
                        <a:prstGeom prst="rect"/>
                      </pic:spPr>
                    </pic:pic>
                  </a:graphicData>
                </a:graphic>
              </wp:inline>
            </w:drawing>
          </w:r>
        </w:p>
        <w:p>
          <w:pPr>
            <w:spacing w:before="60" w:after="180"/>
            <w:jc w:val="center"/>
          </w:pPr>
          <w:r>
            <w:rPr>
              <w:rFonts w:ascii="宋体" w:hAnsi="宋体" w:eastAsia="宋体"/>
              <b w:val="0"/>
              <w:sz w:val="21"/>
            </w:rPr>
            <w:t>图4 桌面客户端主界面初始状态</w:t>
          </w:r>
        </w:p>
        <w:p>
          <w:pPr>
            <w:spacing w:line="360" w:lineRule="auto"/>
            <w:ind w:firstLine="420"/>
          </w:pPr>
          <w:r>
            <w:rPr>
              <w:rFonts w:ascii="宋体" w:hAnsi="宋体" w:eastAsia="宋体"/>
              <w:sz w:val="24"/>
            </w:rPr>
            <w:t>如图4所示，启动后界面处于模型加载状态，右上角给出加载提示，状态栏注明当前权重文件名、推理设备与局域网地址。左栏「图像与操作」提供本地图像、本机摄像头、开发板摄像头三类来源，未选择图像时以拖拽提示替代空白区域；右栏在完成分类前显示「尚未分类」，并列出从导入图像到查看建议的四步操作顺序，同时注明概率未经校准、不代表诊断准确率。首次使用者不需要查阅文档即可按提示完成一次完整分类。</w:t>
          </w:r>
        </w:p>
        <w:p>
          <w:pPr>
            <w:keepNext/>
            <w:spacing w:before="120" w:after="60"/>
            <w:jc w:val="center"/>
          </w:pPr>
          <w:r>
            <w:drawing>
              <wp:inline xmlns:a="http://schemas.openxmlformats.org/drawingml/2006/main" xmlns:pic="http://schemas.openxmlformats.org/drawingml/2006/picture">
                <wp:extent cx="5734000" cy="3082025"/>
                <wp:docPr id="12" name="Picture 12"/>
                <wp:cNvGraphicFramePr>
                  <a:graphicFrameLocks noChangeAspect="1"/>
                </wp:cNvGraphicFramePr>
                <a:graphic>
                  <a:graphicData uri="http://schemas.openxmlformats.org/drawingml/2006/picture/..">
                    <pic:pic>
                      <pic:nvPicPr>
                        <pic:cNvPr id="0" name="shot.png"/>
                        <pic:cNvPicPr/>
                      </pic:nvPicPr>
                      <pic:blipFill>
                        <a:blip r:embed="rId15"/>
                        <a:stretch>
                          <a:fillRect/>
                        </a:stretch>
                      </pic:blipFill>
                      <pic:spPr>
                        <a:xfrm>
                          <a:off x="0" y="0"/>
                          <a:ext cx="5734000" cy="3082025"/>
                        </a:xfrm>
                        <a:prstGeom prst="rect"/>
                      </pic:spPr>
                    </pic:pic>
                  </a:graphicData>
                </a:graphic>
              </wp:inline>
            </w:drawing>
          </w:r>
        </w:p>
        <w:p>
          <w:pPr>
            <w:spacing w:before="60" w:after="180"/>
            <w:jc w:val="center"/>
          </w:pPr>
          <w:r>
            <w:rPr>
              <w:rFonts w:ascii="宋体" w:hAnsi="宋体" w:eastAsia="宋体"/>
              <b w:val="0"/>
              <w:sz w:val="21"/>
            </w:rPr>
            <w:t>图5 桌面客户端单图分析结果与八类概率</w:t>
          </w:r>
        </w:p>
        <w:p>
          <w:pPr>
            <w:spacing w:line="360" w:lineRule="auto"/>
            <w:ind w:firstLine="420"/>
          </w:pPr>
          <w:r>
            <w:rPr>
              <w:rFonts w:ascii="宋体" w:hAnsi="宋体" w:eastAsia="宋体"/>
              <w:sz w:val="24"/>
            </w:rPr>
            <w:t>如图5所示，单图分析界面分为左右两栏。左栏为图像区，图像来源由独立页签切换，切换后不影响已加载的推理结果，其中本地图像支持拖拽进入；左栏下方为操作区，按使用顺序排列加载模型、加载图像、开始分类、开发板交互、板端语音五个动作，避免遗漏前置步骤。完成一次分类后，右栏给出预测类别、置信度与本次推理耗时，八类概率按数值由高到低排列并配以横向条，既能看出最高类别的把握程度，也能看出其余类别的相对高低，便于判断该样本是否处于类别边界、是否需要人工复核。示例中图像被判为正常，模型概率为 85.1%，同为视网膜病变的糖尿病视网膜病变为 14.6%，其余类别均低于 1%。</w:t>
          </w:r>
        </w:p>
        <w:p>
          <w:pPr>
            <w:keepNext/>
            <w:spacing w:before="120" w:after="60"/>
            <w:jc w:val="center"/>
          </w:pPr>
          <w:r>
            <w:drawing>
              <wp:inline xmlns:a="http://schemas.openxmlformats.org/drawingml/2006/main" xmlns:pic="http://schemas.openxmlformats.org/drawingml/2006/picture">
                <wp:extent cx="5734000" cy="3082025"/>
                <wp:docPr id="13" name="Picture 13"/>
                <wp:cNvGraphicFramePr>
                  <a:graphicFrameLocks noChangeAspect="1"/>
                </wp:cNvGraphicFramePr>
                <a:graphic>
                  <a:graphicData uri="http://schemas.openxmlformats.org/drawingml/2006/picture/..">
                    <pic:pic>
                      <pic:nvPicPr>
                        <pic:cNvPr id="0" name="shot.png"/>
                        <pic:cNvPicPr/>
                      </pic:nvPicPr>
                      <pic:blipFill>
                        <a:blip r:embed="rId16"/>
                        <a:stretch>
                          <a:fillRect/>
                        </a:stretch>
                      </pic:blipFill>
                      <pic:spPr>
                        <a:xfrm>
                          <a:off x="0" y="0"/>
                          <a:ext cx="5734000" cy="3082025"/>
                        </a:xfrm>
                        <a:prstGeom prst="rect"/>
                      </pic:spPr>
                    </pic:pic>
                  </a:graphicData>
                </a:graphic>
              </wp:inline>
            </w:drawing>
          </w:r>
        </w:p>
        <w:p>
          <w:pPr>
            <w:spacing w:before="60" w:after="180"/>
            <w:jc w:val="center"/>
          </w:pPr>
          <w:r>
            <w:rPr>
              <w:rFonts w:ascii="宋体" w:hAnsi="宋体" w:eastAsia="宋体"/>
              <b w:val="0"/>
              <w:sz w:val="21"/>
            </w:rPr>
            <w:t>图6 桌面客户端生成辅助建议</w:t>
          </w:r>
        </w:p>
        <w:p>
          <w:pPr>
            <w:spacing w:line="360" w:lineRule="auto"/>
            <w:ind w:firstLine="420"/>
          </w:pPr>
          <w:r>
            <w:rPr>
              <w:rFonts w:ascii="宋体" w:hAnsi="宋体" w:eastAsia="宋体"/>
              <w:sz w:val="24"/>
            </w:rPr>
            <w:t>如图6所示，辅助建议页签由服务端大模型依据当前分类结果生成，内容包括预测类别与模型输出概率的复述、对结果含义的解释以及适用范围的说明。示例结果中，大模型明确指出该概率是模型对图像类别的把握程度，不等于眼睛一定健康，并列出三条局限：模型只做图像分类、不做诊断；概率不是疾病风险；单张图像无法覆盖全部眼病。回答末尾再次提示以医生面诊为准。当大模型未配置或不可用时，该页签降级为本地静态参考文本并标注来源，界面功能不因网络或密钥状态而失效。</w:t>
          </w:r>
        </w:p>
        <w:p>
          <w:pPr>
            <w:keepNext/>
            <w:spacing w:before="120" w:after="60"/>
            <w:jc w:val="center"/>
          </w:pPr>
          <w:r>
            <w:drawing>
              <wp:inline xmlns:a="http://schemas.openxmlformats.org/drawingml/2006/main" xmlns:pic="http://schemas.openxmlformats.org/drawingml/2006/picture">
                <wp:extent cx="5734000" cy="3082025"/>
                <wp:docPr id="14" name="Picture 14"/>
                <wp:cNvGraphicFramePr>
                  <a:graphicFrameLocks noChangeAspect="1"/>
                </wp:cNvGraphicFramePr>
                <a:graphic>
                  <a:graphicData uri="http://schemas.openxmlformats.org/drawingml/2006/picture/..">
                    <pic:pic>
                      <pic:nvPicPr>
                        <pic:cNvPr id="0" name="shot.png"/>
                        <pic:cNvPicPr/>
                      </pic:nvPicPr>
                      <pic:blipFill>
                        <a:blip r:embed="rId17"/>
                        <a:stretch>
                          <a:fillRect/>
                        </a:stretch>
                      </pic:blipFill>
                      <pic:spPr>
                        <a:xfrm>
                          <a:off x="0" y="0"/>
                          <a:ext cx="5734000" cy="3082025"/>
                        </a:xfrm>
                        <a:prstGeom prst="rect"/>
                      </pic:spPr>
                    </pic:pic>
                  </a:graphicData>
                </a:graphic>
              </wp:inline>
            </w:drawing>
          </w:r>
        </w:p>
        <w:p>
          <w:pPr>
            <w:spacing w:before="60" w:after="180"/>
            <w:jc w:val="center"/>
          </w:pPr>
          <w:r>
            <w:rPr>
              <w:rFonts w:ascii="宋体" w:hAnsi="宋体" w:eastAsia="宋体"/>
              <b w:val="0"/>
              <w:sz w:val="21"/>
            </w:rPr>
            <w:t>图7 桌面客户端多轮问答</w:t>
          </w:r>
        </w:p>
        <w:p>
          <w:pPr>
            <w:spacing w:line="360" w:lineRule="auto"/>
            <w:ind w:firstLine="420"/>
          </w:pPr>
          <w:r>
            <w:rPr>
              <w:rFonts w:ascii="宋体" w:hAnsi="宋体" w:eastAsia="宋体"/>
              <w:sz w:val="24"/>
            </w:rPr>
            <w:t>如图7所示，多轮问答页签在分类结果的基础上接受追问，提问与回答按轮次排列，回答同样由服务端大模型生成，并附带当前预测类别与概率作为上下文。示例中使用者询问应当如何治疗，回复按先就医确诊、不要自行长期使用眼药水、由医生决定用药三条给出建议，并注明这只是模型的辅助说明、不能替代诊断。回答下方提供复刻、朗读、停止与导出文本四个操作，朗读沿用当前朗读语速与音色设置，导出文本便于把问答内容与分类结果一并留存备查。</w:t>
          </w:r>
        </w:p>
        <w:p>
          <w:pPr>
            <w:keepNext/>
            <w:spacing w:before="120" w:after="60"/>
            <w:jc w:val="center"/>
          </w:pPr>
          <w:r>
            <w:drawing>
              <wp:inline xmlns:a="http://schemas.openxmlformats.org/drawingml/2006/main" xmlns:pic="http://schemas.openxmlformats.org/drawingml/2006/picture">
                <wp:extent cx="5734000" cy="3082025"/>
                <wp:docPr id="15" name="Picture 15"/>
                <wp:cNvGraphicFramePr>
                  <a:graphicFrameLocks noChangeAspect="1"/>
                </wp:cNvGraphicFramePr>
                <a:graphic>
                  <a:graphicData uri="http://schemas.openxmlformats.org/drawingml/2006/picture/..">
                    <pic:pic>
                      <pic:nvPicPr>
                        <pic:cNvPr id="0" name="shot.png"/>
                        <pic:cNvPicPr/>
                      </pic:nvPicPr>
                      <pic:blipFill>
                        <a:blip r:embed="rId21"/>
                        <a:stretch>
                          <a:fillRect/>
                        </a:stretch>
                      </pic:blipFill>
                      <pic:spPr>
                        <a:xfrm>
                          <a:off x="0" y="0"/>
                          <a:ext cx="5734000" cy="3082025"/>
                        </a:xfrm>
                        <a:prstGeom prst="rect"/>
                      </pic:spPr>
                    </pic:pic>
                  </a:graphicData>
                </a:graphic>
              </wp:inline>
            </w:drawing>
          </w:r>
        </w:p>
        <w:p>
          <w:pPr>
            <w:spacing w:before="60" w:after="180"/>
            <w:jc w:val="center"/>
          </w:pPr>
          <w:r>
            <w:rPr>
              <w:rFonts w:ascii="宋体" w:hAnsi="宋体" w:eastAsia="宋体"/>
              <b w:val="0"/>
              <w:sz w:val="21"/>
            </w:rPr>
            <w:t>图8 桌面客户端批量分析</w:t>
          </w:r>
        </w:p>
        <w:p>
          <w:pPr>
            <w:spacing w:line="360" w:lineRule="auto"/>
            <w:ind w:firstLine="420"/>
          </w:pPr>
          <w:r>
            <w:rPr>
              <w:rFonts w:ascii="宋体" w:hAnsi="宋体" w:eastAsia="宋体"/>
              <w:sz w:val="24"/>
            </w:rPr>
            <w:t>如图8所示，批量分析页面向一次处理多张图像的场景。工具栏提供添加图像、添加文件夹、移除所选、开始分类、重试失败项、选择已保存批次与导出七项操作；其中「重试失败项」只重跑失败条目而不重复计算已成功条目，「选择已保存批次」用于回看历史批量任务。页面上方为统计行，实时汇总总数、已完成、成功与失败数量；中部为结果表格，逐条列出文件名、预测类别、置信度、分类状态与所属批次；右侧为类别分布柱状图，随处理进度同步更新。</w:t>
          </w:r>
        </w:p>
        <w:p>
          <w:pPr>
            <w:spacing w:line="360" w:lineRule="auto"/>
            <w:ind w:firstLine="420"/>
          </w:pPr>
          <w:r>
            <w:rPr>
              <w:rFonts w:ascii="宋体" w:hAnsi="宋体" w:eastAsia="宋体"/>
              <w:sz w:val="24"/>
            </w:rPr>
            <w:t>以一千一百六十三张图像的批次为例，统计行显示分类成功一千一百六十三张、失败零张、待处理零张，累计推理耗时 27.09 秒，平均单张约二十三毫秒；类别分布为正常 538 张（46.3%）、糖尿病视网膜病变 252 张（21.7%）、其他 90 张（7.7%）、高血压性视网膜病变 70 张（6.0%）、青光眼 69 张（5.9%）、白内障 63 张（5.4%）。批次号在任务开始时生成并随每条记录写入历史库，既用于按批次检索，也用于区分多次批量任务产生的同名文件。</w:t>
          </w:r>
        </w:p>
        <w:p>
          <w:pPr>
            <w:keepNext/>
            <w:spacing w:before="120" w:after="60"/>
            <w:jc w:val="center"/>
          </w:pPr>
          <w:r>
            <w:drawing>
              <wp:inline xmlns:a="http://schemas.openxmlformats.org/drawingml/2006/main" xmlns:pic="http://schemas.openxmlformats.org/drawingml/2006/picture">
                <wp:extent cx="5734000" cy="3082025"/>
                <wp:docPr id="16" name="Picture 16"/>
                <wp:cNvGraphicFramePr>
                  <a:graphicFrameLocks noChangeAspect="1"/>
                </wp:cNvGraphicFramePr>
                <a:graphic>
                  <a:graphicData uri="http://schemas.openxmlformats.org/drawingml/2006/picture/..">
                    <pic:pic>
                      <pic:nvPicPr>
                        <pic:cNvPr id="0" name="shot.png"/>
                        <pic:cNvPicPr/>
                      </pic:nvPicPr>
                      <pic:blipFill>
                        <a:blip r:embed="rId22"/>
                        <a:stretch>
                          <a:fillRect/>
                        </a:stretch>
                      </pic:blipFill>
                      <pic:spPr>
                        <a:xfrm>
                          <a:off x="0" y="0"/>
                          <a:ext cx="5734000" cy="3082025"/>
                        </a:xfrm>
                        <a:prstGeom prst="rect"/>
                      </pic:spPr>
                    </pic:pic>
                  </a:graphicData>
                </a:graphic>
              </wp:inline>
            </w:drawing>
          </w:r>
        </w:p>
        <w:p>
          <w:pPr>
            <w:spacing w:before="60" w:after="180"/>
            <w:jc w:val="center"/>
          </w:pPr>
          <w:r>
            <w:rPr>
              <w:rFonts w:ascii="宋体" w:hAnsi="宋体" w:eastAsia="宋体"/>
              <b w:val="0"/>
              <w:sz w:val="21"/>
            </w:rPr>
            <w:t>图9 桌面客户端历史记录与类别分布</w:t>
          </w:r>
        </w:p>
        <w:p>
          <w:pPr>
            <w:spacing w:line="360" w:lineRule="auto"/>
            <w:ind w:firstLine="420"/>
          </w:pPr>
          <w:r>
            <w:rPr>
              <w:rFonts w:ascii="宋体" w:hAnsi="宋体" w:eastAsia="宋体"/>
              <w:sz w:val="24"/>
            </w:rPr>
            <w:t>如图9所示，历史记录页提供按日期、批次编号与关键词三种检索方式，检索结果以表格呈现，每条记录包含图像缩略图、预测类别、置信度、分类状态、保存状态、时间与所属批次。表格右侧为类别分布柱状图，汇总当前筛选结果的八类构成，可直接观察样本在各疾病类别上的分布倾斜。页面下方为分页控件与批量操作（删除所选、查看详情、清空、导出）。历史记录与批量任务共用同一张表，因此批量分析产生的条目可在此处回看原始图像与八类概率，实现「分类—复核—导出」的闭环。</w:t>
          </w:r>
        </w:p>
        <w:p>
          <w:pPr>
            <w:spacing w:line="360" w:lineRule="auto"/>
            <w:ind w:firstLine="420"/>
          </w:pPr>
          <w:r>
            <w:rPr>
              <w:rFonts w:ascii="宋体" w:hAnsi="宋体" w:eastAsia="宋体"/>
              <w:sz w:val="24"/>
            </w:rPr>
            <w:t>界面顶部的日期区间、批次编号与关键词三个条件可组合使用，右侧下拉框按类别过滤。示例中按十月十三日至十月十五日筛选得到一万一千六百四十三条记录，柱状图即时给出该范围内的类别构成，其中正常 3607 条、糖尿病视网膜病变 2771 条、黄斑变性 1634 条、青光眼 1164 条。图表与导出结果共用同一份筛选条件，二者口径一致，避免出现界面统计与导出文件相互矛盾的情况。</w:t>
          </w:r>
        </w:p>
        <w:p>
          <w:pPr>
            <w:keepNext/>
            <w:spacing w:before="120" w:after="60"/>
            <w:jc w:val="center"/>
          </w:pPr>
          <w:r>
            <w:drawing>
              <wp:inline xmlns:a="http://schemas.openxmlformats.org/drawingml/2006/main" xmlns:pic="http://schemas.openxmlformats.org/drawingml/2006/picture">
                <wp:extent cx="5734000" cy="3082025"/>
                <wp:docPr id="17" name="Picture 17"/>
                <wp:cNvGraphicFramePr>
                  <a:graphicFrameLocks noChangeAspect="1"/>
                </wp:cNvGraphicFramePr>
                <a:graphic>
                  <a:graphicData uri="http://schemas.openxmlformats.org/drawingml/2006/picture/..">
                    <pic:pic>
                      <pic:nvPicPr>
                        <pic:cNvPr id="0" name="shot.png"/>
                        <pic:cNvPicPr/>
                      </pic:nvPicPr>
                      <pic:blipFill>
                        <a:blip r:embed="rId23"/>
                        <a:stretch>
                          <a:fillRect/>
                        </a:stretch>
                      </pic:blipFill>
                      <pic:spPr>
                        <a:xfrm>
                          <a:off x="0" y="0"/>
                          <a:ext cx="5734000" cy="3082025"/>
                        </a:xfrm>
                        <a:prstGeom prst="rect"/>
                      </pic:spPr>
                    </pic:pic>
                  </a:graphicData>
                </a:graphic>
              </wp:inline>
            </w:drawing>
          </w:r>
        </w:p>
        <w:p>
          <w:pPr>
            <w:spacing w:before="60" w:after="180"/>
            <w:jc w:val="center"/>
          </w:pPr>
          <w:r>
            <w:rPr>
              <w:rFonts w:ascii="宋体" w:hAnsi="宋体" w:eastAsia="宋体"/>
              <b w:val="0"/>
              <w:sz w:val="21"/>
            </w:rPr>
            <w:t>图10 桌面客户端历史记录导出</w:t>
          </w:r>
        </w:p>
        <w:p>
          <w:pPr>
            <w:spacing w:line="360" w:lineRule="auto"/>
            <w:ind w:firstLine="420"/>
          </w:pPr>
          <w:r>
            <w:rPr>
              <w:rFonts w:ascii="宋体" w:hAnsi="宋体" w:eastAsia="宋体"/>
              <w:sz w:val="24"/>
            </w:rPr>
            <w:t>如图10所示，导出操作以批次目录为单位落盘，完成后弹窗给出完整路径，目录内包含 daily.png 与 distribution.png 两张分布图、distribution.pdf 与 report.pdf 两份报告、results.csv 逐条明细、statistics.csv 分类统计以及 scope.json 筛选条件。把筛选条件一并写出，是为了事后复核时能够确认这批记录当时的检索范围，而不仅仅看到统计结果。示例中一次导出涉及一千八百零三条记录。</w:t>
          </w:r>
        </w:p>
        <w:p>
          <w:pPr>
            <w:keepNext/>
            <w:spacing w:before="120" w:after="60"/>
            <w:jc w:val="center"/>
          </w:pPr>
          <w:r>
            <w:drawing>
              <wp:inline xmlns:a="http://schemas.openxmlformats.org/drawingml/2006/main" xmlns:pic="http://schemas.openxmlformats.org/drawingml/2006/picture">
                <wp:extent cx="5734000" cy="3082025"/>
                <wp:docPr id="18" name="Picture 18"/>
                <wp:cNvGraphicFramePr>
                  <a:graphicFrameLocks noChangeAspect="1"/>
                </wp:cNvGraphicFramePr>
                <a:graphic>
                  <a:graphicData uri="http://schemas.openxmlformats.org/drawingml/2006/picture/..">
                    <pic:pic>
                      <pic:nvPicPr>
                        <pic:cNvPr id="0" name="shot.png"/>
                        <pic:cNvPicPr/>
                      </pic:nvPicPr>
                      <pic:blipFill>
                        <a:blip r:embed="rId24"/>
                        <a:stretch>
                          <a:fillRect/>
                        </a:stretch>
                      </pic:blipFill>
                      <pic:spPr>
                        <a:xfrm>
                          <a:off x="0" y="0"/>
                          <a:ext cx="5734000" cy="3082025"/>
                        </a:xfrm>
                        <a:prstGeom prst="rect"/>
                      </pic:spPr>
                    </pic:pic>
                  </a:graphicData>
                </a:graphic>
              </wp:inline>
            </w:drawing>
          </w:r>
        </w:p>
        <w:p>
          <w:pPr>
            <w:spacing w:before="60" w:after="180"/>
            <w:jc w:val="center"/>
          </w:pPr>
          <w:r>
            <w:rPr>
              <w:rFonts w:ascii="宋体" w:hAnsi="宋体" w:eastAsia="宋体"/>
              <b w:val="0"/>
              <w:sz w:val="21"/>
            </w:rPr>
            <w:t>图11 桌面客户端运行与网络设置</w:t>
          </w:r>
        </w:p>
        <w:p>
          <w:pPr>
            <w:keepNext/>
            <w:spacing w:before="120" w:after="60"/>
            <w:jc w:val="center"/>
          </w:pPr>
          <w:r>
            <w:drawing>
              <wp:inline xmlns:a="http://schemas.openxmlformats.org/drawingml/2006/main" xmlns:pic="http://schemas.openxmlformats.org/drawingml/2006/picture">
                <wp:extent cx="5734000" cy="3082025"/>
                <wp:docPr id="19" name="Picture 19"/>
                <wp:cNvGraphicFramePr>
                  <a:graphicFrameLocks noChangeAspect="1"/>
                </wp:cNvGraphicFramePr>
                <a:graphic>
                  <a:graphicData uri="http://schemas.openxmlformats.org/drawingml/2006/picture/..">
                    <pic:pic>
                      <pic:nvPicPr>
                        <pic:cNvPr id="0" name="shot.png"/>
                        <pic:cNvPicPr/>
                      </pic:nvPicPr>
                      <pic:blipFill>
                        <a:blip r:embed="rId25"/>
                        <a:stretch>
                          <a:fillRect/>
                        </a:stretch>
                      </pic:blipFill>
                      <pic:spPr>
                        <a:xfrm>
                          <a:off x="0" y="0"/>
                          <a:ext cx="5734000" cy="3082025"/>
                        </a:xfrm>
                        <a:prstGeom prst="rect"/>
                      </pic:spPr>
                    </pic:pic>
                  </a:graphicData>
                </a:graphic>
              </wp:inline>
            </w:drawing>
          </w:r>
        </w:p>
        <w:p>
          <w:pPr>
            <w:spacing w:before="60" w:after="180"/>
            <w:jc w:val="center"/>
          </w:pPr>
          <w:r>
            <w:rPr>
              <w:rFonts w:ascii="宋体" w:hAnsi="宋体" w:eastAsia="宋体"/>
              <b w:val="0"/>
              <w:sz w:val="21"/>
            </w:rPr>
            <w:t>图12 桌面客户端云端 AI 设置</w:t>
          </w:r>
        </w:p>
        <w:p>
          <w:pPr>
            <w:spacing w:line="360" w:lineRule="auto"/>
            <w:ind w:firstLine="420"/>
          </w:pPr>
          <w:r>
            <w:rPr>
              <w:rFonts w:ascii="宋体" w:hAnsi="宋体" w:eastAsia="宋体"/>
              <w:sz w:val="24"/>
            </w:rPr>
            <w:t>如图11与图12所示，设置对话框按界面显示、云端 AI、语音与外设、运行与网络四组组织。运行与网络组用于配置采集与通信参数：自动识别当前活动的局域网网卡并列出候选，显示本机局域网 IPv4 地址，填写开发板地址与摄像头、分类、命令三个端口，并可将当前配置保存到项目配置文件、重启后生效；环境变量 EYE_MODEL_PATH 等优先于文件配置。云端 AI 组用于填写并保存大模型密钥，密钥以掩码显示，保存后即时生效且不写入历史库，另提供连通性测试按钮，返回结果直接显示在对话框底部，便于在演示前确认在线问答是否可用。界面显示组的字体、界面字号与固定图像目录同样在此配置，阅读字号与自动朗读即时保存，窗口尺寸与分栏比例在正常关闭时保存，偏好写入本地配置文件，不随历史库与密钥一起清除。</w:t>
          </w:r>
        </w:p>
        <w:p>
          <w:pPr>
            <w:pStyle w:val="Heading2"/>
            <w:keepNext/>
            <w:spacing w:before="160" w:after="80"/>
          </w:pPr>
          <w:r>
            <w:rPr>
              <w:rFonts w:ascii="宋体" w:hAnsi="宋体" w:eastAsia="宋体"/>
              <b/>
              <w:sz w:val="28"/>
            </w:rPr>
            <w:t>6.2 Web 服务端（FastAPI）</w:t>
          </w:r>
        </w:p>
        <w:p>
          <w:pPr>
            <w:spacing w:line="360" w:lineRule="auto"/>
            <w:ind w:firstLine="420"/>
          </w:pPr>
          <w:r>
            <w:rPr>
              <w:rFonts w:ascii="宋体" w:hAnsi="宋体" w:eastAsia="宋体"/>
              <w:sz w:val="24"/>
            </w:rPr>
            <w:t>服务端以浏览器为入口，部署于云服务器，使用者无需安装客户端即可完成分类。页面结构与桌面端保持一致，分为单图分析、批量分析、历史统计、系统设置四个部分，同样复用服务端的 ONNX 推理与历史库，因此与桌面端的结果口径一致。服务端通过 /api/health 暴露模型与历史库状态，便于部署后快速确认服务可用。</w:t>
          </w:r>
        </w:p>
        <w:p>
          <w:pPr>
            <w:keepNext/>
            <w:spacing w:before="120" w:after="60"/>
            <w:jc w:val="center"/>
          </w:pPr>
          <w:r>
            <w:drawing>
              <wp:inline xmlns:a="http://schemas.openxmlformats.org/drawingml/2006/main" xmlns:pic="http://schemas.openxmlformats.org/drawingml/2006/picture">
                <wp:extent cx="5734000" cy="3082025"/>
                <wp:docPr id="20" name="Picture 20"/>
                <wp:cNvGraphicFramePr>
                  <a:graphicFrameLocks noChangeAspect="1"/>
                </wp:cNvGraphicFramePr>
                <a:graphic>
                  <a:graphicData uri="http://schemas.openxmlformats.org/drawingml/2006/picture/..">
                    <pic:pic>
                      <pic:nvPicPr>
                        <pic:cNvPr id="0" name="shot.png"/>
                        <pic:cNvPicPr/>
                      </pic:nvPicPr>
                      <pic:blipFill>
                        <a:blip r:embed="rId18"/>
                        <a:stretch>
                          <a:fillRect/>
                        </a:stretch>
                      </pic:blipFill>
                      <pic:spPr>
                        <a:xfrm>
                          <a:off x="0" y="0"/>
                          <a:ext cx="5734000" cy="3082025"/>
                        </a:xfrm>
                        <a:prstGeom prst="rect"/>
                      </pic:spPr>
                    </pic:pic>
                  </a:graphicData>
                </a:graphic>
              </wp:inline>
            </w:drawing>
          </w:r>
        </w:p>
        <w:p>
          <w:pPr>
            <w:spacing w:before="60" w:after="180"/>
            <w:jc w:val="center"/>
          </w:pPr>
          <w:r>
            <w:rPr>
              <w:rFonts w:ascii="宋体" w:hAnsi="宋体" w:eastAsia="宋体"/>
              <b w:val="0"/>
              <w:sz w:val="21"/>
            </w:rPr>
            <w:t>图13 Web 服务端首页与单图分析入口</w:t>
          </w:r>
        </w:p>
        <w:p>
          <w:pPr>
            <w:spacing w:line="360" w:lineRule="auto"/>
            <w:ind w:firstLine="420"/>
          </w:pPr>
          <w:r>
            <w:rPr>
              <w:rFonts w:ascii="宋体" w:hAnsi="宋体" w:eastAsia="宋体"/>
              <w:sz w:val="24"/>
            </w:rPr>
            <w:t>如图13所示，首页即单图分析页，顶部为四个功能页签与模型状态标识，状态标识区分模型是否就绪、当前推理设备，并提供接口文档入口。页面中部与桌面端一致地分为图像与操作、分类结果两栏，同样支持拖拽或粘贴导入图像，未分类时给出四步操作指引与概率免责说明。页脚固定显示推理引擎版本、输入尺寸、权重文件名、当前缩放比例、页面版本号与备案号，其中备案号按监管要求以链接形式给出。把版本与权重信息放在页脚，是为了在演示或验收时能够直接从界面确认当前运行的是哪一版权重，而不必登录服务器查询。</w:t>
          </w:r>
        </w:p>
        <w:p>
          <w:pPr>
            <w:keepNext/>
            <w:spacing w:before="120" w:after="60"/>
            <w:jc w:val="center"/>
          </w:pPr>
          <w:r>
            <w:drawing>
              <wp:inline xmlns:a="http://schemas.openxmlformats.org/drawingml/2006/main" xmlns:pic="http://schemas.openxmlformats.org/drawingml/2006/picture">
                <wp:extent cx="5734000" cy="3082025"/>
                <wp:docPr id="21" name="Picture 21"/>
                <wp:cNvGraphicFramePr>
                  <a:graphicFrameLocks noChangeAspect="1"/>
                </wp:cNvGraphicFramePr>
                <a:graphic>
                  <a:graphicData uri="http://schemas.openxmlformats.org/drawingml/2006/picture/..">
                    <pic:pic>
                      <pic:nvPicPr>
                        <pic:cNvPr id="0" name="shot.png"/>
                        <pic:cNvPicPr/>
                      </pic:nvPicPr>
                      <pic:blipFill>
                        <a:blip r:embed="rId19"/>
                        <a:stretch>
                          <a:fillRect/>
                        </a:stretch>
                      </pic:blipFill>
                      <pic:spPr>
                        <a:xfrm>
                          <a:off x="0" y="0"/>
                          <a:ext cx="5734000" cy="3082025"/>
                        </a:xfrm>
                        <a:prstGeom prst="rect"/>
                      </pic:spPr>
                    </pic:pic>
                  </a:graphicData>
                </a:graphic>
              </wp:inline>
            </w:drawing>
          </w:r>
        </w:p>
        <w:p>
          <w:pPr>
            <w:spacing w:before="60" w:after="180"/>
            <w:jc w:val="center"/>
          </w:pPr>
          <w:r>
            <w:rPr>
              <w:rFonts w:ascii="宋体" w:hAnsi="宋体" w:eastAsia="宋体"/>
              <b w:val="0"/>
              <w:sz w:val="21"/>
            </w:rPr>
            <w:t>图14 Web 服务端单图分类结果</w:t>
          </w:r>
        </w:p>
        <w:p>
          <w:pPr>
            <w:spacing w:line="360" w:lineRule="auto"/>
            <w:ind w:firstLine="420"/>
          </w:pPr>
          <w:r>
            <w:rPr>
              <w:rFonts w:ascii="宋体" w:hAnsi="宋体" w:eastAsia="宋体"/>
              <w:sz w:val="24"/>
            </w:rPr>
            <w:t>如图14所示，单图分析页为默认入口，使用者选择或拖入眼底图像后提交，服务端返回预测类别、置信度与八类概率，并在同一页面给出辅助建议。该页对应服务端 POST /api/predict 接口，图像在服务端完成预处理与推理，浏览器不承担计算，因此低性能设备也能获得与桌面端一致的结果。示例中图像被判为高血压性视网膜病变，模型概率 73.1%，其余类别依次为正常 12.7%、青光眼 7.2%、糖尿病视网膜病变 5.1%、白内障 1.5%、其他 0.4%，黄斑变性与近视性黄斑病变为 0.0%；推理在服务器 CPU 上完成，本次耗时 0.23 秒。</w:t>
          </w:r>
        </w:p>
        <w:p>
          <w:pPr>
            <w:keepNext/>
            <w:spacing w:before="120" w:after="60"/>
            <w:jc w:val="center"/>
          </w:pPr>
          <w:r>
            <w:drawing>
              <wp:inline xmlns:a="http://schemas.openxmlformats.org/drawingml/2006/main" xmlns:pic="http://schemas.openxmlformats.org/drawingml/2006/picture">
                <wp:extent cx="5734000" cy="3082025"/>
                <wp:docPr id="22" name="Picture 22"/>
                <wp:cNvGraphicFramePr>
                  <a:graphicFrameLocks noChangeAspect="1"/>
                </wp:cNvGraphicFramePr>
                <a:graphic>
                  <a:graphicData uri="http://schemas.openxmlformats.org/drawingml/2006/picture/..">
                    <pic:pic>
                      <pic:nvPicPr>
                        <pic:cNvPr id="0" name="shot.png"/>
                        <pic:cNvPicPr/>
                      </pic:nvPicPr>
                      <pic:blipFill>
                        <a:blip r:embed="rId26"/>
                        <a:stretch>
                          <a:fillRect/>
                        </a:stretch>
                      </pic:blipFill>
                      <pic:spPr>
                        <a:xfrm>
                          <a:off x="0" y="0"/>
                          <a:ext cx="5734000" cy="3082025"/>
                        </a:xfrm>
                        <a:prstGeom prst="rect"/>
                      </pic:spPr>
                    </pic:pic>
                  </a:graphicData>
                </a:graphic>
              </wp:inline>
            </w:drawing>
          </w:r>
        </w:p>
        <w:p>
          <w:pPr>
            <w:spacing w:before="60" w:after="180"/>
            <w:jc w:val="center"/>
          </w:pPr>
          <w:r>
            <w:rPr>
              <w:rFonts w:ascii="宋体" w:hAnsi="宋体" w:eastAsia="宋体"/>
              <b w:val="0"/>
              <w:sz w:val="21"/>
            </w:rPr>
            <w:t>图15 Web 服务端辅助建议</w:t>
          </w:r>
        </w:p>
        <w:p>
          <w:pPr>
            <w:keepNext/>
            <w:spacing w:before="120" w:after="60"/>
            <w:jc w:val="center"/>
          </w:pPr>
          <w:r>
            <w:drawing>
              <wp:inline xmlns:a="http://schemas.openxmlformats.org/drawingml/2006/main" xmlns:pic="http://schemas.openxmlformats.org/drawingml/2006/picture">
                <wp:extent cx="5734000" cy="3082025"/>
                <wp:docPr id="23" name="Picture 23"/>
                <wp:cNvGraphicFramePr>
                  <a:graphicFrameLocks noChangeAspect="1"/>
                </wp:cNvGraphicFramePr>
                <a:graphic>
                  <a:graphicData uri="http://schemas.openxmlformats.org/drawingml/2006/picture/..">
                    <pic:pic>
                      <pic:nvPicPr>
                        <pic:cNvPr id="0" name="shot.png"/>
                        <pic:cNvPicPr/>
                      </pic:nvPicPr>
                      <pic:blipFill>
                        <a:blip r:embed="rId27"/>
                        <a:stretch>
                          <a:fillRect/>
                        </a:stretch>
                      </pic:blipFill>
                      <pic:spPr>
                        <a:xfrm>
                          <a:off x="0" y="0"/>
                          <a:ext cx="5734000" cy="3082025"/>
                        </a:xfrm>
                        <a:prstGeom prst="rect"/>
                      </pic:spPr>
                    </pic:pic>
                  </a:graphicData>
                </a:graphic>
              </wp:inline>
            </w:drawing>
          </w:r>
        </w:p>
        <w:p>
          <w:pPr>
            <w:spacing w:before="60" w:after="180"/>
            <w:jc w:val="center"/>
          </w:pPr>
          <w:r>
            <w:rPr>
              <w:rFonts w:ascii="宋体" w:hAnsi="宋体" w:eastAsia="宋体"/>
              <b w:val="0"/>
              <w:sz w:val="21"/>
            </w:rPr>
            <w:t>图16 Web 服务端多轮问答与语音输入</w:t>
          </w:r>
        </w:p>
        <w:p>
          <w:pPr>
            <w:spacing w:line="360" w:lineRule="auto"/>
            <w:ind w:firstLine="420"/>
          </w:pPr>
          <w:r>
            <w:rPr>
              <w:rFonts w:ascii="宋体" w:hAnsi="宋体" w:eastAsia="宋体"/>
              <w:sz w:val="24"/>
            </w:rPr>
            <w:t>如图15与图16所示，辅助建议与多轮问答共用服务端的 POST /api/chat 接口，回复前标注来源模型。辅助建议给出预测类别、模型输出概率与适用范围说明；多轮问答在对话区内按轮次排列提问与回答，并在回答上方以醒目样式提示该结果不能用于确诊、需由专业医生复核。输入区支持回车发送、Shift 与回车换行以及语音输入，语音输入在浏览器授予麦克风权限时可用；朗读调用服务端 POST /api/tts 生成自然音色音频并缓存，浏览器自带的语音合成仅在服务端音频不可用时作为降级方案。</w:t>
          </w:r>
        </w:p>
        <w:p>
          <w:pPr>
            <w:spacing w:line="360" w:lineRule="auto"/>
            <w:ind w:firstLine="420"/>
          </w:pPr>
          <w:r>
            <w:rPr>
              <w:rFonts w:ascii="宋体" w:hAnsi="宋体" w:eastAsia="宋体"/>
              <w:sz w:val="24"/>
            </w:rPr>
            <w:t>批量分析页支持一次提交多张图像并汇总结果，提交后返回批次号，页面按批次筛选并可以导出完整包；系统设置页用于查看模型信息、服务信息与接口清单，并可配置在线问答与大模型密钥。设置页把权重路径、推理引擎版本、执行提供者、输入尺寸、类别数、历史库路径、在线问答状态以及全部接口及其用途集中列出，使部署后的自检不必依赖命令行。示例中该页显示权重为服务器本地的 best512.onnx、推理引擎为 onnxruntime 1.23.2、执行提供者为 CPUExecutionProvider、输入尺寸为 512×512，接口清单覆盖健康检查、单图分类、批量分类、批次列表、批次明细、辅助问答、语音合成、历史查询、记录删除与口令校验共十一项。</w:t>
          </w:r>
        </w:p>
        <w:p>
          <w:pPr>
            <w:keepNext/>
            <w:spacing w:before="120" w:after="60"/>
            <w:jc w:val="center"/>
          </w:pPr>
          <w:r>
            <w:drawing>
              <wp:inline xmlns:a="http://schemas.openxmlformats.org/drawingml/2006/main" xmlns:pic="http://schemas.openxmlformats.org/drawingml/2006/picture">
                <wp:extent cx="5734000" cy="3082025"/>
                <wp:docPr id="24" name="Picture 24"/>
                <wp:cNvGraphicFramePr>
                  <a:graphicFrameLocks noChangeAspect="1"/>
                </wp:cNvGraphicFramePr>
                <a:graphic>
                  <a:graphicData uri="http://schemas.openxmlformats.org/drawingml/2006/picture/..">
                    <pic:pic>
                      <pic:nvPicPr>
                        <pic:cNvPr id="0" name="shot.png"/>
                        <pic:cNvPicPr/>
                      </pic:nvPicPr>
                      <pic:blipFill>
                        <a:blip r:embed="rId20"/>
                        <a:stretch>
                          <a:fillRect/>
                        </a:stretch>
                      </pic:blipFill>
                      <pic:spPr>
                        <a:xfrm>
                          <a:off x="0" y="0"/>
                          <a:ext cx="5734000" cy="3082025"/>
                        </a:xfrm>
                        <a:prstGeom prst="rect"/>
                      </pic:spPr>
                    </pic:pic>
                  </a:graphicData>
                </a:graphic>
              </wp:inline>
            </w:drawing>
          </w:r>
        </w:p>
        <w:p>
          <w:pPr>
            <w:spacing w:before="60" w:after="180"/>
            <w:jc w:val="center"/>
          </w:pPr>
          <w:r>
            <w:rPr>
              <w:rFonts w:ascii="宋体" w:hAnsi="宋体" w:eastAsia="宋体"/>
              <b w:val="0"/>
              <w:sz w:val="21"/>
            </w:rPr>
            <w:t>图17 Web 服务端系统设置与语音能力</w:t>
          </w:r>
        </w:p>
        <w:p>
          <w:pPr>
            <w:spacing w:line="360" w:lineRule="auto"/>
            <w:ind w:firstLine="420"/>
          </w:pPr>
          <w:r>
            <w:rPr>
              <w:rFonts w:ascii="宋体" w:hAnsi="宋体" w:eastAsia="宋体"/>
              <w:sz w:val="24"/>
            </w:rPr>
            <w:t>如图17所示，系统设置页同时管理界面偏好与语音能力。界面偏好保存在浏览器本地，包括界面字号、阅读字号、朗读语速与朗读语言，并提供生成建议或 AI 回复后自动朗读的开关；语音能力区显示语音输入与语音朗读的可用状态、服务端语音包数量与识别语言，示例环境中共有 329 个语音包、含中文 17 个。偏好只写入本机浏览器存储、不上传服务器，因此在共用设备上不会互相覆盖；语音包由服务端生成并缓存，相同内容重复朗读时可直接复用，网络语音不可用时自动改用本机朗读。</w:t>
          </w:r>
        </w:p>
        <w:p>
          <w:pPr>
            <w:pStyle w:val="Heading2"/>
            <w:keepNext/>
            <w:spacing w:before="160" w:after="80"/>
          </w:pPr>
          <w:r>
            <w:rPr>
              <w:rFonts w:ascii="宋体" w:hAnsi="宋体" w:eastAsia="宋体"/>
              <b/>
              <w:sz w:val="28"/>
            </w:rPr>
            <w:t>6.3 两端的一致性与分工</w:t>
          </w:r>
        </w:p>
        <w:p>
          <w:pPr>
            <w:spacing w:line="360" w:lineRule="auto"/>
            <w:ind w:firstLine="420"/>
          </w:pPr>
          <w:r>
            <w:rPr>
              <w:rFonts w:ascii="宋体" w:hAnsi="宋体" w:eastAsia="宋体"/>
              <w:sz w:val="24"/>
            </w:rPr>
            <w:t>两端的一致性体现在三处：其一，分类结果由同一套 ONNX 权重与同一份预处理逻辑产生，桌面端与服务端在二十个样本上的预测类别完全一致，单类概率最大偏差约百万分之三；其二，历史记录写入同一个 SQLite 数据库，桌面端产生的记录可在服务端回看，反之亦然；其三，辅助建议的生成逻辑统一，大模型不可用时均降级为本地参考库文本，并在界面上标注来源。</w:t>
          </w:r>
        </w:p>
        <w:p>
          <w:pPr>
            <w:spacing w:line="360" w:lineRule="auto"/>
            <w:ind w:firstLine="420"/>
          </w:pPr>
          <w:r>
            <w:rPr>
              <w:rFonts w:ascii="宋体" w:hAnsi="宋体" w:eastAsia="宋体"/>
              <w:sz w:val="24"/>
            </w:rPr>
            <w:t>两端的分工则依据使用场景划分：桌面端承担本地文件、摄像头与开发板采集，适合有采集硬件与离线需求的场合；服务端承担远程访问与多用户共享，适合演示、答辩与无客户端环境。界面层不重复实现推理逻辑，因而新增功能只需在服务端实现一次，两端即可同时获得，这也是本项目能够以较小代码量维护两套界面的原因。</w:t>
          </w:r>
        </w:p>
        <w:pageBreakBefore/>
        <w:spacing w:before="200" w:after="100"/>
      </w:pPr>
      <w:r>
        <w:rPr>
          <w:rFonts w:ascii="宋体" w:hAnsi="宋体" w:eastAsia="宋体"/>
          <w:b/>
          <w:sz w:val="32"/>
        </w:rPr>
        <w:t>参考文献</w:t>
      </w:r>
    </w:p>
    <w:p>
      <w:pPr>
        <w:spacing w:line="360" w:lineRule="auto" w:after="80"/>
      </w:pPr>
      <w:r>
        <w:rPr>
          <w:rFonts w:ascii="宋体" w:hAnsi="宋体" w:eastAsia="宋体"/>
          <w:b w:val="0"/>
          <w:sz w:val="24"/>
        </w:rPr>
        <w:t>[1] ODIR-2019. Dataset ODIR-5K [EB/OL]. https://odir2019.grand-challenge.org/dataset/, accessed 2026-10-14. 数据集说明页面，不计作核心研究论文。</w:t>
      </w:r>
    </w:p>
    <w:p>
      <w:pPr>
        <w:spacing w:line="360" w:lineRule="auto" w:after="80"/>
      </w:pPr>
      <w:r>
        <w:rPr>
          <w:rFonts w:ascii="宋体" w:hAnsi="宋体" w:eastAsia="宋体"/>
          <w:b w:val="0"/>
          <w:sz w:val="24"/>
        </w:rPr>
        <w:t>[2] D. S. W. Ting et al. Artificial intelligence and deep learning in ophthalmology. British Journal of Ophthalmology, 2019, 103(2): 167-175. doi:10.1136/bjophthalmol-2018-313173.</w:t>
      </w:r>
    </w:p>
    <w:p>
      <w:pPr>
        <w:spacing w:line="360" w:lineRule="auto" w:after="80"/>
      </w:pPr>
      <w:r>
        <w:rPr>
          <w:rFonts w:ascii="宋体" w:hAnsi="宋体" w:eastAsia="宋体"/>
          <w:b w:val="0"/>
          <w:sz w:val="24"/>
        </w:rPr>
        <w:t>[3] V. Gulshan et al. Development and validation of a deep learning algorithm for detection of diabetic retinopathy. JAMA, 2016.</w:t>
      </w:r>
    </w:p>
    <w:p>
      <w:pPr>
        <w:spacing w:line="360" w:lineRule="auto" w:after="80"/>
      </w:pPr>
      <w:r>
        <w:rPr>
          <w:rFonts w:ascii="宋体" w:hAnsi="宋体" w:eastAsia="宋体"/>
          <w:b w:val="0"/>
          <w:sz w:val="24"/>
        </w:rPr>
        <w:t>[4] D. S. W. Ting et al. Development and validation of a deep learning system for diabetic retinopathy and related eye diseases. JAMA, 2017.</w:t>
      </w:r>
    </w:p>
    <w:p>
      <w:pPr>
        <w:spacing w:line="360" w:lineRule="auto" w:after="80"/>
      </w:pPr>
      <w:r>
        <w:rPr>
          <w:rFonts w:ascii="宋体" w:hAnsi="宋体" w:eastAsia="宋体"/>
          <w:b w:val="0"/>
          <w:sz w:val="24"/>
        </w:rPr>
        <w:t>[5] G. Litjens et al. A survey on deep learning in medical image analysis. Medical Image Analysis, 2017.</w:t>
      </w:r>
    </w:p>
    <w:p>
      <w:pPr>
        <w:spacing w:line="360" w:lineRule="auto" w:after="80"/>
      </w:pPr>
      <w:r>
        <w:rPr>
          <w:rFonts w:ascii="宋体" w:hAnsi="宋体" w:eastAsia="宋体"/>
          <w:b w:val="0"/>
          <w:sz w:val="24"/>
        </w:rPr>
        <w:t>[6] X. Zhang et al. AKConv: Convolutional Kernel with Arbitrary Sampled Shapes and Arbitrary Number of Parameters. arXiv:2311.11587v2, 2023. https://arxiv.org/abs/2311.11587v2.</w:t>
      </w:r>
    </w:p>
    <w:p>
      <w:pPr>
        <w:spacing w:line="360" w:lineRule="auto" w:after="80"/>
      </w:pPr>
      <w:r>
        <w:rPr>
          <w:rFonts w:ascii="宋体" w:hAnsi="宋体" w:eastAsia="宋体"/>
          <w:b w:val="0"/>
          <w:sz w:val="24"/>
        </w:rPr>
        <w:t>[7] Ultralytics. YOLO Classification Documentation and Source Code. https://docs.ultralytics.com, accessed 2026-10-13.</w:t>
      </w:r>
    </w:p>
    <w:p>
      <w:pPr>
        <w:spacing w:line="360" w:lineRule="auto" w:after="80"/>
      </w:pPr>
      <w:r>
        <w:rPr>
          <w:rFonts w:ascii="宋体" w:hAnsi="宋体" w:eastAsia="宋体"/>
          <w:b w:val="0"/>
          <w:sz w:val="24"/>
        </w:rPr>
        <w:t>[8] X. Liu et al. A comparison of deep learning performance against health-care professionals in detecting diseases from medical imaging. The Lancet Digital Health, 2019.</w:t>
      </w:r>
    </w:p>
    <w:p>
      <w:pPr>
        <w:spacing w:line="360" w:lineRule="auto" w:after="80"/>
      </w:pPr>
      <w:r>
        <w:rPr>
          <w:rFonts w:ascii="宋体" w:hAnsi="宋体" w:eastAsia="宋体"/>
          <w:b w:val="0"/>
          <w:sz w:val="24"/>
        </w:rPr>
        <w:t>[9] DeepSeek-AI. DeepSeek V3 Technical Report. arXiv:2412.19437, 2024.</w:t>
      </w:r>
    </w:p>
    <w:p>
      <w:pPr>
        <w:spacing w:line="360" w:lineRule="auto" w:after="80"/>
      </w:pPr>
      <w:r>
        <w:rPr>
          <w:rFonts w:ascii="宋体" w:hAnsi="宋体" w:eastAsia="宋体"/>
          <w:b w:val="0"/>
          <w:sz w:val="24"/>
        </w:rPr>
        <w:t>[10] Y. Zhou et al. A foundation model for generalizable disease detection from retinal images. Nature, 2023, 622: 156-163. doi:10.1038/s41586-023-06555-x.</w:t>
      </w:r>
    </w:p>
    <w:p>
      <w:pPr>
        <w:spacing w:line="360" w:lineRule="auto" w:after="80"/>
      </w:pPr>
      <w:r>
        <w:rPr>
          <w:rFonts w:ascii="宋体" w:hAnsi="宋体" w:eastAsia="宋体"/>
          <w:b w:val="0"/>
          <w:sz w:val="24"/>
        </w:rPr>
        <w:t>[11] 张明, 周思睿. 把握挑战和机遇: 人工智能与眼科诊疗[J]. 中华眼底病杂志, 2021, 37(2): 93-97. doi:10.3760/cma.j.cn511434-20210121-00044.</w:t>
      </w:r>
    </w:p>
    <w:p>
      <w:pPr>
        <w:spacing w:line="360" w:lineRule="auto" w:after="80"/>
      </w:pPr>
      <w:r>
        <w:rPr>
          <w:rFonts w:ascii="宋体" w:hAnsi="宋体" w:eastAsia="宋体"/>
          <w:b w:val="0"/>
          <w:sz w:val="24"/>
        </w:rPr>
        <w:t>[12] 范家伟, 张如如, 陆萌, 等. 深度学习方法在糖尿病视网膜病变诊断中的应用[J]. 自动化学报, 2021, 47(5): 985-1004. doi:10.16383/j.aas.c190069.</w:t>
      </w:r>
    </w:p>
    <w:p>
      <w:pPr>
        <w:spacing w:line="360" w:lineRule="auto" w:after="80"/>
      </w:pPr>
      <w:r>
        <w:rPr>
          <w:rFonts w:ascii="宋体" w:hAnsi="宋体" w:eastAsia="宋体"/>
          <w:b w:val="0"/>
          <w:sz w:val="24"/>
        </w:rPr>
        <w:t>[13] 邹北骥, 张子谦, 朱承璋, 等. 基于残差网络的糖网病自动筛查[J]. 计算机辅助设计与图形学学报, 2019, 31(4): 580-588. doi:10.3724/SP.J.1089.2019.17346.</w:t>
      </w:r>
    </w:p>
    <w:p>
      <w:pPr>
        <w:spacing w:line="360" w:lineRule="auto" w:after="80"/>
      </w:pPr>
      <w:r>
        <w:rPr>
          <w:rFonts w:ascii="宋体" w:hAnsi="宋体" w:eastAsia="宋体"/>
          <w:b w:val="0"/>
          <w:sz w:val="24"/>
        </w:rPr>
        <w:t>[14] 孙功鹏, 王晓玲, 等. 应用人工智能识别超广角眼底照相多病种的初步研究[J]. 中华眼底病杂志, 2022, 38(2): 132-138.</w:t>
      </w:r>
    </w:p>
    <w:p>
      <w:pPr>
        <w:spacing w:line="360" w:lineRule="auto" w:after="80"/>
      </w:pPr>
      <w:r>
        <w:rPr>
          <w:rFonts w:ascii="宋体" w:hAnsi="宋体" w:eastAsia="宋体"/>
          <w:b w:val="0"/>
          <w:sz w:val="24"/>
        </w:rPr>
        <w:t>[15] 宋若仙, 曹鹏, 赵大哲. 结合域适应学习的糖尿病视网膜病变分级诊断[J]. 中国图象图形学报, 2022, 27(11): 3356-3370.</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18"/>
      </w:rPr>
      <w:t>眼科图像分类辅助诊断系统</w:t>
    </w:r>
  </w:p>
  <w:p>
    <w:pPr>
      <w:jc w:val="center"/>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1</w:t>
    </w:r>
    <w:r>
      <w:rPr>
        <w:sz w:val="21"/>
        <w:szCs w:val="21"/>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sz w:val="18"/>
      </w:rPr>
      <w:t>智能软件系统课程设计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color w:val="000000"/>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color w:val="000000"/>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宋体" w:cs="Times New Roman"/>
      <w:b/>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