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35"/>
        <w:jc w:val="center"/>
      </w:pPr>
      <w:r>
        <w:rPr>
          <w:rFonts w:ascii="宋体" w:hAnsi="宋体" w:eastAsia="宋体"/>
          <w:b/>
          <w:sz w:val="44"/>
        </w:rPr>
        <w:t>智能软件系统课程设计</w:t>
      </w:r>
    </w:p>
    <w:p>
      <w:pPr>
        <w:spacing w:before="1134"/>
        <w:jc w:val="center"/>
      </w:pPr>
      <w:r>
        <w:rPr>
          <w:rFonts w:ascii="宋体" w:hAnsi="宋体" w:eastAsia="宋体"/>
          <w:b/>
          <w:sz w:val="40"/>
        </w:rPr>
        <w:t>模型分析报告</w:t>
      </w:r>
    </w:p>
    <w:p>
      <w:pPr>
        <w:spacing w:before="2268"/>
        <w:jc w:val="center"/>
      </w:pPr>
      <w:r>
        <w:rPr>
          <w:rFonts w:ascii="宋体" w:hAnsi="宋体" w:eastAsia="宋体"/>
          <w:b w:val="0"/>
          <w:sz w:val="30"/>
        </w:rPr>
        <w:t>基于YOLO与大语言模型的眼科图像分类辅助诊断系统</w:t>
      </w:r>
    </w:p>
    <w:p>
      <w:pPr>
        <w:spacing w:before="454"/>
        <w:jc w:val="center"/>
      </w:pPr>
      <w:r>
        <w:rPr>
          <w:rFonts w:ascii="宋体" w:hAnsi="宋体" w:eastAsia="宋体"/>
          <w:b w:val="0"/>
          <w:sz w:val="26"/>
        </w:rPr>
        <w:t>组员：欧阳宸（230722105）  汪晓蕾（231613212）</w:t>
      </w:r>
    </w:p>
    <w:p>
      <w:pPr>
        <w:spacing w:before="454"/>
        <w:jc w:val="center"/>
      </w:pPr>
      <w:r>
        <w:rPr>
          <w:rFonts w:ascii="宋体" w:hAnsi="宋体" w:eastAsia="宋体"/>
          <w:b w:val="0"/>
          <w:sz w:val="26"/>
        </w:rPr>
        <w:t>提交日期：2026年10月</w:t>
      </w:r>
    </w:p>
    <w:p>
      <w:r>
        <w:br w:type="page"/>
      </w:r>
    </w:p>
    <w:p>
      <w:pPr>
        <w:spacing w:before="240" w:after="240"/>
        <w:jc w:val="center"/>
      </w:pPr>
      <w:r>
        <w:rPr>
          <w:rFonts w:ascii="宋体" w:hAnsi="宋体" w:eastAsia="宋体"/>
          <b/>
          <w:sz w:val="32"/>
        </w:rPr>
        <w:t>目录</w:t>
      </w:r>
    </w:p>
    <w:p>
      <w:pPr>
        <w:spacing w:line="360" w:lineRule="auto"/>
      </w:pPr>
      <w:fldSimple w:instr=" TOC \o &quot;1-3&quot; \h \z \u ">
        <w:r>
          <w:rPr>
            <w:rFonts w:ascii="宋体" w:hAnsi="宋体" w:eastAsia="宋体"/>
            <w:sz w:val="24"/>
          </w:rPr>
          <w:t>（在 Word 中按 Ctrl+A 后按 F9 可刷新目录）</w:t>
        </w:r>
      </w:fldSimple>
    </w:p>
    <w:p>
      <w:r>
        <w:br w:type="page"/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1 基础模型与类别定义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部署任务为八类眼底图像分类：AMD、白内障、糖尿病视网膜病变、青光眼、高血压性视网膜病变、近视性黄斑病变、正常和其他。当前服务端权重为 ONNX 格式 best512.onnx，模型声明输入为 512×512；服务端以权重声明尺寸进行短边缩放和中心裁剪。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/>
        </w:trPr>
        <w:tc>
          <w:tcPr>
            <w:tcW w:type="dxa" w:w="2285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6741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已核实信息</w:t>
            </w:r>
          </w:p>
        </w:tc>
      </w:tr>
      <w:tr>
        <w:tc>
          <w:tcPr>
            <w:tcW w:type="dxa" w:w="22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部署骨干</w:t>
            </w:r>
          </w:p>
        </w:tc>
        <w:tc>
          <w:tcPr>
            <w:tcW w:type="dxa" w:w="674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YOLO11n-cls 分类权重，原生部署权重不含 AKConv</w:t>
            </w:r>
          </w:p>
        </w:tc>
      </w:tr>
      <w:tr>
        <w:tc>
          <w:tcPr>
            <w:tcW w:type="dxa" w:w="22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部署参数量</w:t>
            </w:r>
          </w:p>
        </w:tc>
        <w:tc>
          <w:tcPr>
            <w:tcW w:type="dxa" w:w="674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1,448,536；与历史对比实验基线的 1,541,352 不同</w:t>
            </w:r>
          </w:p>
        </w:tc>
      </w:tr>
      <w:tr>
        <w:tc>
          <w:tcPr>
            <w:tcW w:type="dxa" w:w="22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输入尺寸</w:t>
            </w:r>
          </w:p>
        </w:tc>
        <w:tc>
          <w:tcPr>
            <w:tcW w:type="dxa" w:w="674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512×512（权重声明，服务端健康接口可查询）</w:t>
            </w:r>
          </w:p>
        </w:tc>
      </w:tr>
      <w:tr>
        <w:tc>
          <w:tcPr>
            <w:tcW w:type="dxa" w:w="22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类别数</w:t>
            </w:r>
          </w:p>
        </w:tc>
        <w:tc>
          <w:tcPr>
            <w:tcW w:type="dxa" w:w="674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</w:tr>
      <w:tr>
        <w:tc>
          <w:tcPr>
            <w:tcW w:type="dxa" w:w="22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服务端运行时</w:t>
            </w:r>
          </w:p>
        </w:tc>
        <w:tc>
          <w:tcPr>
            <w:tcW w:type="dxa" w:w="674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ONNX Runtime CPUExecutionProvider</w:t>
            </w:r>
          </w:p>
        </w:tc>
      </w:tr>
      <w:tr>
        <w:tc>
          <w:tcPr>
            <w:tcW w:type="dxa" w:w="22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模型输出</w:t>
            </w:r>
          </w:p>
        </w:tc>
        <w:tc>
          <w:tcPr>
            <w:tcW w:type="dxa" w:w="674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八类概率；用于辅助参考，不代表临床诊断准确率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本项目采用 Ultralytics 实现的 YOLO 分类模型作为基础骨干，具体选用 nano 级别的分类配置。选择分类模型而不是检测模型，原因在于任务性质：眼底图像分类的目标是对整张图像给出病变类别判断，而不是给出病灶的位置框，检测头在这里没有用武之地，反而会增加参数量与推理开销。nano 级别的取舍则直接来自部署约束——目标服务器没有 GPU，参数量必须压到 CPU 能够承受的范围。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权重初始化使用官方提供的预训练权重，而不是随机初始化。原因是本项目可用的标注样本仅数千张，从零训练很容易在小数据上过拟合，而预训练带来的通用视觉特征可以在眼底图像上复用，适配时只需要在目标数据上微调。这种做法在医学影像领域是通行选择，也与此前综述文献给出的判断一致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类别体系采用八类划分，依次为 AMD（年龄相关性黄斑变性）、Cataract（白内障）、Diabetic Retinopathy（糖尿病视网膜病变）、Glaucoma（青光眼）、Hypertensive Retinopathy（高血压性视网膜病变）、Myopia（近视性黄斑病变）、Normal（正常）与 Other（其他异常）。其中 Normal 表示未见明显异常，Other 用于收纳不属于前六类的其他眼底改变。这套划分是单标签的，当一张图像同时存在多种病变时，标注中的次要病变信息会被舍弃，这是数据本身带来的限制而非实现缺陷。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输入预处理链路固定为三步：先把图像短边缩放到 512，再中心裁剪出 512×512 区域，随后做归一化。这里有一个容易混淆的点必须说明——部署模型使用的输入尺寸是 512，而对照实验为控制变量统一采用 224，两者不是同一批训练产物，参数量也因此不同，部署权重约 144.9 万，对照实验权重约 154.1 万。报告中凡涉及精度对比的数字均来自 224 输入的对照实验，不应挪用来描述部署模型。</w:t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2 训练与推理策略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历史训练记录使用 FP32、batch=32、workers=8、224 尺寸和 50 轮设置，采用分类交叉熵训练过程。该设置用于比较训练日志，不等同于当前部署权重的 512 推理预处理。部署侧必须以模型自身输入形状为准，避免将 224 导出模型与桌面推理混用。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推理模块首先校验 NCHW 三通道输入和八类输出，再完成归一化、模型执行与 softmax 判断。分类失败时向上层返回明确错误；业务层不保存成功历史，也不生成当前图像的伪报告。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训练配置如下：任务类型为分类，轮数 50，批大小 32，输入尺寸 224（对照实验），数据加载线程 8，优化器采用框架默认的自动选择，随机种子固定为 0 并开启确定性模式，早停耐心值设为 100。固定种子与确定性模式的目的很直接——让对照实验可复现。如果两次训练的初始化不同，就无法判断指标差异来自结构改动还是随机性，实验也就失去了对照意义。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分类任务使用交叉熵损失，这是多类分类的标准选择，直接优化预测分布与真实标签之间的距离。评价指标上，主指标是 top-1 准确率，即概率最高的类别是否等于真实标签；辅助指标是 top-5 准确率。在本项目的八类设置中，top-5 的参考价值有限，因为类别总数只有八个，真实类别几乎必然落在前五名内，实验中 top-5 普遍在 98% 以上正说明了这一点，因此结果讨论应以 top-1 为准。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推理侧的策略围绕部署环境设计。模型导出为 ONNX 格式后用 ONNX Runtime 加载，执行提供者为 CPU，会话在应用启动时创建并常驻，避免每次请求重建会话的开销。为控制内存，推理时关闭了运行时的内存池复用。批量场景下服务端限制单次最多处理十张，由前端自动切分。图像的缩放与裁剪在送入会话之前完成，与训练时的预处理保持一致，这是保证导出前后结果一致的前提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
          导出一致性是需要验证而不能假设的。项目在二十个样本上比较了桌面端权重与服务端 ONNX 权重的输出，预测类别二十例全部相同，概率的最大偏差约百万分之三，平均偏差约百万分之一。这个量级的差异来自浮点运算顺序，不影响任何实际判读。验证的意义在于，它让两套界面共用同一套结果说明有了依据，也让导出的正确性不依赖主观判断。
          <w:p>
            <w:pPr>
              <w:keepNext/>
              <w:spacing w:before="120"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34000" cy="264262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/..">
                      <pic:pic>
                        <pic:nvPicPr>
                          <pic:cNvPr id="0" name="model_pipelin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4000" cy="26426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18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图1 模型训练、导出与推理流水线</w:t>
            </w:r>
          </w:p>
        </w:t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3 AKConv 适配与能力边界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工程中保留 AKConv 模块与候选训练记录。历史对比日志显示，AKConv 候选模型包含 6 个 AKConv 层，参数量为 1,487,772；基线模型参数量为 1,541,352。当前实际部署权重经结构核对 AKConv 层数为 0，因而系统不能宣称在线部署使用了 AKConv。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两套框架下的记录使用相同数据指纹，这是控制数据变量的正常条件，本身不能证明结果不独立。2026年10月14日进一步读取四个候选最佳检查点，以同一项目框架比较逐层模块与参数形状以及权重张量，发现两套框架中的基线模型结构和张量哈希分别相同，AKConv候选也分别相同。因此四条记录只能描述不同框架环境下的训练过程，不能作为四种不同网络架构的性能比较；哈希相同也不能单独用于断定训练日志被复制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AKConv 的核心想法是让卷积核的采样位置不再固定在规则网格上，而是可以通过学习得到任意形状，同时允许卷积核的参数数量自由设定，不再受限于 k×k 这样的平方数。传统卷积的采样点是规则的，对于眼底图像中形状并不规整的病灶区域，规则网格未必是最高效的采样方式。这个动机在理论上成立，原文献也在多个数据集上报告了改进。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本项目在框架中实现了该模块，并定义了对应的模型配置文件，用可变核卷积替换标准卷积，替换层数为六层。训练流程与基线保持完全一致：同一份数据、同一组超参数、同一种子，唯一变量是卷积结构。这样设计是为了让两组的差异能够归因到结构本身，而不是被其他因素干扰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对照实验的结果并不支持替换带来收益这一假设。在 YOLO11n 上，基线最优 top-1 为 63.285%，AKConv 变体为 63.199%，后者略低；训练耗时则从约 504 秒增加到约 1219 秒，翻了一倍有余。在 YOLO26n 上呈现同样的形态：基线 63.285%，AKConv 变体 63.199%，耗时从约 508 秒增至约 1168 秒。参数量上 AKConv 变体略少，约 148.8 万对 154.1 万，计算量也略低，但这些收益没有转化为准确率提升。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基于上述结果，本项目作出明确取舍：该结构作为实验对象保留在报告中，但不进入部署。结构核对的证据同样支持这一点——当前实际部署权重经逐层检查，可变核卷积层数为 0，即为标准卷积结构。这一点必须写明，因为交付包中存在一个名称含 AKConv 的权重目录，仅凭目录名称推断部署版本使用了该结构会得出错误结论。文档判断应以结构核对结果为准，而不以目录命名为准。</w:t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4 资源与风险分析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1771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风险</w:t>
            </w:r>
          </w:p>
        </w:tc>
        <w:tc>
          <w:tcPr>
            <w:tcW w:type="dxa" w:w="3199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表现</w:t>
            </w:r>
          </w:p>
        </w:tc>
        <w:tc>
          <w:tcPr>
            <w:tcW w:type="dxa" w:w="4056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控制措施</w:t>
            </w:r>
          </w:p>
        </w:tc>
      </w:tr>
      <w:tr>
        <w:tc>
          <w:tcPr>
            <w:tcW w:type="dxa" w:w="17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数据泄漏</w:t>
            </w:r>
          </w:p>
        </w:tc>
        <w:tc>
          <w:tcPr>
            <w:tcW w:type="dxa" w:w="31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训练与验证跨集合重复内容哈希 140 个</w:t>
            </w:r>
          </w:p>
        </w:tc>
        <w:tc>
          <w:tcPr>
            <w:tcW w:type="dxa" w:w="40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去重、患者级划分、重训重测</w:t>
            </w:r>
          </w:p>
        </w:tc>
      </w:tr>
      <w:tr>
        <w:tc>
          <w:tcPr>
            <w:tcW w:type="dxa" w:w="17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类别不均衡</w:t>
            </w:r>
          </w:p>
        </w:tc>
        <w:tc>
          <w:tcPr>
            <w:tcW w:type="dxa" w:w="31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正常和糖尿病类样本占比较大</w:t>
            </w:r>
          </w:p>
        </w:tc>
        <w:tc>
          <w:tcPr>
            <w:tcW w:type="dxa" w:w="40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报告每类指标，采用宏平均指标</w:t>
            </w:r>
          </w:p>
        </w:tc>
      </w:tr>
      <w:tr>
        <w:tc>
          <w:tcPr>
            <w:tcW w:type="dxa" w:w="17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概率校准</w:t>
            </w:r>
          </w:p>
        </w:tc>
        <w:tc>
          <w:tcPr>
            <w:tcW w:type="dxa" w:w="31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高概率不等于诊断正确</w:t>
            </w:r>
          </w:p>
        </w:tc>
        <w:tc>
          <w:tcPr>
            <w:tcW w:type="dxa" w:w="40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界面显示辅助提示和限制</w:t>
            </w:r>
          </w:p>
        </w:tc>
      </w:tr>
      <w:tr>
        <w:tc>
          <w:tcPr>
            <w:tcW w:type="dxa" w:w="17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语言模型幻觉</w:t>
            </w:r>
          </w:p>
        </w:tc>
        <w:tc>
          <w:tcPr>
            <w:tcW w:type="dxa" w:w="31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建议文本可能不可靠</w:t>
            </w:r>
          </w:p>
        </w:tc>
        <w:tc>
          <w:tcPr>
            <w:tcW w:type="dxa" w:w="40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显示来源，保留本地参考降级</w:t>
            </w:r>
          </w:p>
        </w:tc>
      </w:tr>
      <w:tr>
        <w:tc>
          <w:tcPr>
            <w:tcW w:type="dxa" w:w="17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硬件差异</w:t>
            </w:r>
          </w:p>
        </w:tc>
        <w:tc>
          <w:tcPr>
            <w:tcW w:type="dxa" w:w="31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服务器 CPU 延迟高于本机 GPU</w:t>
            </w:r>
          </w:p>
        </w:tc>
        <w:tc>
          <w:tcPr>
            <w:tcW w:type="dxa" w:w="40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分别记录环境和测量值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资源开销的关键数字如下。对照实验的基线模型参数量约 154.1 万，在 224 输入下计算量约 0.399 GFLOPs；AKConv 变体约 148.8 万参数、0.386 GFLOPs。实际部署权重约 144.9 万参数，ONNX 文件约 5.8 MB。这些量级在 CPU 上可以接受，单张图像的推理在百毫秒量级，但预处理中的缩放与裁剪同样占用时间，端到端耗时会高于纯推理耗时，讨论响应时间时不能只算推理。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延迟需要分三种情况讨论。单张图像请求的端到端耗时主要在预处理与推理，通常在一秒以内。批量请求因内存限制被切分为每组十张，组内串行处理，整批耗时近似为单张耗时的累加，十张的量级在数秒。问答请求的耗时则不由本地算力决定，它取决于远端大语言模型的响应速度，通常在数秒量级，这部分与图像分类无关，界面上也应当分开提示，避免使用者把两类延迟混为一谈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误差累积的风险存在于两条链路。第一条是图像质量到分类结果的传递：如果输入图像过暗、过曝或根本不是眼底图像，模型仍然会给出一个类别与概率，而不会拒绝回答。这是判别式模型的共同特点，它总是在给定选项中选择一个，无法表达都不像。第二条是分类结果到语言模型的传递：如果分类本身出错，语言模型会基于错误类别生成一段看起来通顺的说明，反而让错误结论显得更有说服力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针对这两条链路，项目做了三处缓解。分类结果同时展示八类概率而不是只给出第一名，使用者可以看到分布是否集中，从而对低置信度结果保持警惕。分类失败的样本不写入成功历史，避免统计口径被污染。语言模型的输出在界面上单独分区并标注来源，明确它不是模型的判读结果。这些措施不能消除误差，但能让误差更容易被使用者察觉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服务端的实际运行配置如图2所示，可以在界面中直接核对。权重路径指向服务器本地的 best512.onnx，推理引擎为 onnxruntime 1.23.2，执行提供者为 CPUExecutionProvider，输入尺寸 512×512，类别数为八类，输出为权重直接给出的概率；服务信息区同时给出服务状态、历史库路径与在线问答状态。把这一组元信息暴露到界面上有两个作用：一是部署后不必登录服务器即可确认当前加载的是哪一版权重，避免文档描述与实际权重不一致；二是后续更换权重或调整输入尺寸时，界面数值会随之变化，可直接作为变更是否生效的判据。其中执行提供者固定为 CPU 是本项目资源约束下的关键事实——服务器无 GPU，全部推理在 CPU 上完成，延迟与并发能力都受此限制，前文的延迟讨论已给出对应量级。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同一页面下方的接口清单列出服务端对外提供的全部接口及其用途，涵盖健康检查、单图分类、批量分类、批次列表、批次明细、辅助问答、语音合成、历史查询、记录删除与口令校验。界面正是通过这些接口获取推理结果与历史数据，模型能力与界面之间只通过这一层契约耦合，因此同一套接口可以同时支撑桌面端与浏览器端两套界面。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34000" cy="30820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/..">
                <pic:pic>
                  <pic:nvPicPr>
                    <pic:cNvPr id="0" name="sh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4000" cy="308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宋体" w:hAnsi="宋体" w:eastAsia="宋体"/>
          <b w:val="0"/>
          <w:sz w:val="21"/>
        </w:rPr>
        <w:t>图2 服务端运行时的模型信息、服务信息与接口清单</w:t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5 结论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当前模型可支撑课程演示中的八类图像辅助分类与服务器部署。严格有效性评价的前提仍是修复数据划分问题，并在独立样本上重新报告准确率、宏平均 F1、混淆矩阵和不确定性。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语言模型部分的提示设计遵循三条原则。其一是角色与边界固定，提示词中明确其扮演辅助说明角色，输出不构成诊断结论。其二是上下文注入，把本次判读的类别与置信度作为已知条件传入，避免生成泛泛而谈的内容。其三是长度与格式约束，要求输出控制在简短段落内，包含通俗解释、注意事项与就医建议三部分，避免生成冗长或结构发散的文本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上下文管理采用轻量方案而非长期记忆。每次问答只携带当前判读结果的类别与置信度，不把多轮对话的完整历史保存到服务端。这样考虑有两点：该场景下的问答通常是单轮的，使用者看完解释即结束；把对话历史留在服务端会带来额外的存储与隐私负担。前端保留会话内的显示历史，刷新后不再保留，密钥也只存放在当前标签页的会话存储中，关闭标签页即失效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模型层面的结论归纳为三点。第一，在给定的数据与算力约束下，轻量分类骨干是合适的选择，准确率与资源占用达到了可接受平衡。第二，结构改进并不必然带来收益，本项目对照实验中该结构准确率未提升而训练耗时翻倍，这一结论有完整实验记录支撑，选型应以实测为准而非以结构的新颖程度为准。第三，部署版本的实际结构必须与文档描述一致，凡未经结构核对确认的内容，报告中一律不作宣称。</w:t>
      </w:r>
    </w:p>
    <w:p>
      <w:pPr>
        <w:keepNext/>
        <w:pageBreakBefore/>
        <w:spacing w:before="200" w:after="100"/>
      </w:pPr>
      <w:r>
        <w:rPr>
          <w:rFonts w:ascii="宋体" w:hAnsi="宋体" w:eastAsia="宋体"/>
          <w:b/>
          <w:sz w:val="32"/>
        </w:rPr>
        <w:t>参考文献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[1] ODIR-2019. Dataset ODIR-5K [EB/OL]. https://odir2019.grand-challenge.org/dataset/, accessed 2026-10-14. 数据集说明页面，不计作核心研究论文。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[2] D. S. W. Ting et al. Artificial intelligence and deep learning in ophthalmology. British Journal of Ophthalmology, 2019, 103(2): 167-175. doi:10.1136/bjophthalmol-2018-313173.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[3] V. Gulshan et al. Development and validation of a deep learning algorithm for detection of diabetic retinopathy. JAMA, 2016.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[4] D. S. W. Ting et al. Development and validation of a deep learning system for diabetic retinopathy and related eye diseases. JAMA, 2017.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[5] G. Litjens et al. A survey on deep learning in medical image analysis. Medical Image Analysis, 2017.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[6] X. Zhang et al. AKConv: Convolutional Kernel with Arbitrary Sampled Shapes and Arbitrary Number of Parameters. arXiv:2311.11587v2, 2023. https://arxiv.org/abs/2311.11587v2.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[7] Ultralytics. YOLO Classification Documentation and Source Code. https://docs.ultralytics.com, accessed 2026-10-13.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[8] X. Liu et al. A comparison of deep learning performance against health-care professionals in detecting diseases from medical imaging. The Lancet Digital Health, 2019.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[9] DeepSeek-AI. DeepSeek V3 Technical Report. arXiv:2412.19437, 2024.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[10] Y. Zhou et al. A foundation model for generalizable disease detection from retinal images. Nature, 2023, 622: 156-163. doi:10.1038/s41586-023-06555-x.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[11] 张明, 周思睿. 把握挑战和机遇: 人工智能与眼科诊疗[J]. 中华眼底病杂志, 2021, 37(2): 93-97. doi:10.3760/cma.j.cn511434-20210121-00044.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[12] 范家伟, 张如如, 陆萌, 等. 深度学习方法在糖尿病视网膜病变诊断中的应用[J]. 自动化学报, 2021, 47(5): 985-1004. doi:10.16383/j.aas.c190069.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[13] 邹北骥, 张子谦, 朱承璋, 等. 基于残差网络的糖网病自动筛查[J]. 计算机辅助设计与图形学学报, 2019, 31(4): 580-588. doi:10.3724/SP.J.1089.2019.17346.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[14] 孙功鹏, 王晓玲, 等. 应用人工智能识别超广角眼底照相多病种的初步研究[J]. 中华眼底病杂志, 2022, 38(2): 132-138.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[15] 宋若仙, 曹鹏, 赵大哲. 结合域适应学习的糖尿病视网膜病变分级诊断[J]. 中国图象图形学报, 2022, 27(11): 3356-3370.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>眼科图像分类辅助诊断系统</w:t>
    </w:r>
  </w:p>
  <w:p>
    <w:pPr>
      <w:jc w:val="center"/>
      <w:rPr>
        <w:sz w:val="21"/>
        <w:szCs w:val="21"/>
      </w:rPr>
    </w:pPr>
    <w:r>
      <w:rPr>
        <w:sz w:val="21"/>
        <w:szCs w:val="21"/>
      </w:rPr>
      <w:fldChar w:fldCharType="begin"/>
    </w:r>
    <w:r>
      <w:rPr>
        <w:sz w:val="21"/>
        <w:szCs w:val="21"/>
      </w:rPr>
      <w:instrText xml:space="preserve"> PAGE </w:instrText>
    </w:r>
    <w:r>
      <w:rPr>
        <w:sz w:val="21"/>
        <w:szCs w:val="21"/>
      </w:rPr>
      <w:fldChar w:fldCharType="separate"/>
    </w:r>
    <w:r>
      <w:rPr>
        <w:sz w:val="21"/>
        <w:szCs w:val="21"/>
      </w:rPr>
      <w:t>1</w:t>
    </w:r>
    <w:r>
      <w:rPr>
        <w:sz w:val="21"/>
        <w:szCs w:val="21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b w:val="0"/>
        <w:sz w:val="18"/>
      </w:rPr>
      <w:t>智能软件系统课程设计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宋体" w:cs="Times New Roman"/>
      <w:b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宋体" w:cs="Times New Roman"/>
      <w:b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宋体" w:cs="Times New Roman"/>
      <w:b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