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35"/>
        <w:jc w:val="center"/>
      </w:pPr>
      <w:r>
        <w:rPr>
          <w:rFonts w:ascii="宋体" w:hAnsi="宋体" w:eastAsia="宋体"/>
          <w:b/>
          <w:sz w:val="44"/>
        </w:rPr>
        <w:t>智能软件系统课程设计</w:t>
      </w:r>
    </w:p>
    <w:p>
      <w:pPr>
        <w:spacing w:before="1134"/>
        <w:jc w:val="center"/>
      </w:pPr>
      <w:r>
        <w:rPr>
          <w:rFonts w:ascii="宋体" w:hAnsi="宋体" w:eastAsia="宋体"/>
          <w:b/>
          <w:sz w:val="40"/>
        </w:rPr>
        <w:t>实验分析报告</w:t>
      </w:r>
    </w:p>
    <w:p>
      <w:pPr>
        <w:spacing w:before="2268"/>
        <w:jc w:val="center"/>
      </w:pPr>
      <w:r>
        <w:rPr>
          <w:rFonts w:ascii="宋体" w:hAnsi="宋体" w:eastAsia="宋体"/>
          <w:b w:val="0"/>
          <w:sz w:val="30"/>
        </w:rPr>
        <w:t>基于YOLO与大语言模型的眼科图像分类辅助诊断系统</w:t>
      </w:r>
    </w:p>
    <w:p>
      <w:pPr>
        <w:spacing w:before="454"/>
        <w:jc w:val="center"/>
      </w:pPr>
      <w:r>
        <w:rPr>
          <w:rFonts w:ascii="宋体" w:hAnsi="宋体" w:eastAsia="宋体"/>
          <w:b w:val="0"/>
          <w:sz w:val="26"/>
        </w:rPr>
        <w:t>组员：欧阳宸（230722105）  汪晓蕾（231613212）</w:t>
      </w:r>
    </w:p>
    <w:p>
      <w:pPr>
        <w:spacing w:before="454"/>
        <w:jc w:val="center"/>
      </w:pPr>
      <w:r>
        <w:rPr>
          <w:rFonts w:ascii="宋体" w:hAnsi="宋体" w:eastAsia="宋体"/>
          <w:b w:val="0"/>
          <w:sz w:val="26"/>
        </w:rPr>
        <w:t>提交日期：2026年10月</w:t>
      </w:r>
    </w:p>
    <w:p>
      <w:r>
        <w:br w:type="page"/>
      </w:r>
    </w:p>
    <w:p>
      <w:pPr>
        <w:spacing w:before="200" w:after="100"/>
      </w:pPr>
      <w:r>
        <w:rPr>
          <w:rFonts w:ascii="宋体" w:hAnsi="宋体" w:eastAsia="宋体"/>
          <w:b/>
          <w:sz w:val="32"/>
        </w:rPr>
        <w:t>1 实验环境与数据构成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桌面端测试环境为 Windows PC，显卡为 NVIDIA GeForce RTX 4060 Laptop GPU；服务端为 Ubuntu 22.04、2 核 CPU、2GB 内存，使用 ONNX Runtime。历史数据目录统计显示训练集 5110 张，验证集 1163 张，八类分布不均衡。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96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255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训练集</w:t>
            </w:r>
          </w:p>
        </w:tc>
        <w:tc>
          <w:tcPr>
            <w:tcW w:type="dxa" w:w="255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验证集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AMD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212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35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白内障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234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55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糖尿病视网膜病变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1286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236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青光眼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227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61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高血压性视网膜病变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102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79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近视性黄斑病变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185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47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正常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2298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575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其他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566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75</w:t>
            </w:r>
          </w:p>
        </w:tc>
      </w:tr>
      <w:tr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合计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5110</w:t>
            </w:r>
          </w:p>
        </w:tc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1163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239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3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图1 数据集类别分布</w:t>
      </w:r>
    </w:p>
    <w:p>
      <w:pPr>
        <w:spacing w:before="200" w:after="100"/>
      </w:pPr>
      <w:r>
        <w:rPr>
          <w:rFonts w:ascii="宋体" w:hAnsi="宋体" w:eastAsia="宋体"/>
          <w:b/>
          <w:sz w:val="32"/>
        </w:rPr>
        <w:t>2 数据审计与指标解释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审计发现训练集和验证集之间有 140 个重复内容的 SHA-256 哈希。该问题会使验证集结果受污染，因此本报告将已有训练曲线和 Top-1 数值作为历史实验记录，而不将其作为独立泛化性能结论。文件名前缀还存在 889 个潜在重叠线索，但因缺少原始患者元数据，不能直接把它解释为患者数量。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正式后续实验应使用去重且按患者划分的训练、验证和测试清单，报告准确率、宏平均精确率、宏平均召回率、宏平均 F1、每类混淆矩阵和置信区间。</w:t>
      </w:r>
    </w:p>
    <w:p>
      <w:pPr>
        <w:spacing w:before="200" w:after="100"/>
      </w:pPr>
      <w:r>
        <w:rPr>
          <w:rFonts w:ascii="宋体" w:hAnsi="宋体" w:eastAsia="宋体"/>
          <w:b/>
          <w:sz w:val="32"/>
        </w:rPr>
        <w:t>3 历史训练记录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215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候选模型</w:t>
            </w:r>
          </w:p>
        </w:tc>
        <w:tc>
          <w:tcPr>
            <w:tcW w:type="dxa" w:w="907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轮数</w:t>
            </w:r>
          </w:p>
        </w:tc>
        <w:tc>
          <w:tcPr>
            <w:tcW w:type="dxa" w:w="170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历史最佳 Top-1</w:t>
            </w:r>
          </w:p>
        </w:tc>
        <w:tc>
          <w:tcPr>
            <w:tcW w:type="dxa" w:w="153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参数量</w:t>
            </w:r>
          </w:p>
        </w:tc>
        <w:tc>
          <w:tcPr>
            <w:tcW w:type="dxa" w:w="1247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AKConv 层数</w:t>
            </w:r>
          </w:p>
        </w:tc>
        <w:tc>
          <w:tcPr>
            <w:tcW w:type="dxa" w:w="2098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YOLO11n-cls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63.285%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1,541,352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历史记录，受数据污染限制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YOLO11n-cls + AKConv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63.199%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1,487,772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历史记录，受数据污染限制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YOLO26n-cls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63.285%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1,541,352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与基线记录高度一致，非独立结论</w:t>
            </w:r>
          </w:p>
        </w:tc>
      </w:tr>
      <w:tr>
        <w:tc>
          <w:tcPr>
            <w:tcW w:type="dxa" w:w="215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YOLO26n-cls + AKConv</w:t>
            </w:r>
          </w:p>
        </w:tc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50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63.199%</w:t>
            </w:r>
          </w:p>
        </w:tc>
        <w:tc>
          <w:tcPr>
            <w:tcW w:type="dxa" w:w="153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1,487,772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6</w:t>
            </w:r>
          </w:p>
        </w:tc>
        <w:tc>
          <w:tcPr>
            <w:tcW w:type="dxa" w:w="209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line="300" w:lineRule="auto"/>
            </w:pPr>
            <w:r>
              <w:rPr>
                <w:rFonts w:ascii="宋体" w:hAnsi="宋体" w:eastAsia="宋体"/>
                <w:b w:val="0"/>
                <w:sz w:val="21"/>
              </w:rPr>
              <w:t>与候选记录高度一致，非独立结论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35538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rves_group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3553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图2 历史训练曲线（仅供训练过程复现）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28000" cy="42646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group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2646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图3 历史混淆矩阵（不作为独立验证结论）</w:t>
      </w:r>
    </w:p>
    <w:p>
      <w:pPr>
        <w:spacing w:before="200" w:after="100"/>
      </w:pPr>
      <w:r>
        <w:rPr>
          <w:rFonts w:ascii="宋体" w:hAnsi="宋体" w:eastAsia="宋体"/>
          <w:b/>
          <w:sz w:val="32"/>
        </w:rPr>
        <w:t>4 服务端与系统验证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服务端以 512 输入 ONNX 模型完成单图推理。已记录的 20 张同源图像对比中，桌面端 PyTorch 与 ONNX Runtime 的 Top-1 一致为 20/20，单类概率最大偏差约 0.000003；此验证说明导出推理口径一致，不代表临床或独立数据集准确率。服务器 CPU 单图推理记录为 192至204毫秒。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自动化测试覆盖分类失败不写成功历史、异常图像、模型加载失败、API 异常模拟、批量保存失败、历史过滤、导出、阅读字号和偏好恢复。摄像头、麦克风和扬声器需按人工测试记录确认；开发板因设备不在场，状态为未实机验收。</w:t>
      </w:r>
    </w:p>
    <w:p>
      <w:pPr>
        <w:spacing w:before="200" w:after="100"/>
      </w:pPr>
      <w:r>
        <w:rPr>
          <w:rFonts w:ascii="宋体" w:hAnsi="宋体" w:eastAsia="宋体"/>
          <w:b/>
          <w:sz w:val="32"/>
        </w:rPr>
        <w:t>5 结论与改进</w:t>
      </w:r>
    </w:p>
    <w:p>
      <w:pPr>
        <w:spacing w:line="360" w:lineRule="auto" w:after="80"/>
        <w:ind w:firstLine="420"/>
      </w:pPr>
      <w:r>
        <w:rPr>
          <w:rFonts w:ascii="宋体" w:hAnsi="宋体" w:eastAsia="宋体"/>
          <w:b w:val="0"/>
          <w:sz w:val="24"/>
        </w:rPr>
        <w:t>系统已实现桌面和网页两种交互形式，并完成 ONNX 服务端部署。后续最优先工作是依据原始 ODIR 标签表完成数据来源复核、去重和患者级划分，重新训练并开展独立测试。只有完成该步骤后，模型比较与临床相关讨论才具有更可靠的基础。</w:t>
      </w:r>
    </w:p>
    <w:p>
      <w:pPr>
        <w:spacing w:before="200" w:after="100"/>
      </w:pPr>
      <w:r>
        <w:rPr>
          <w:rFonts w:ascii="宋体" w:hAnsi="宋体" w:eastAsia="宋体"/>
          <w:b/>
          <w:sz w:val="32"/>
        </w:rPr>
        <w:t>参考文献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[1] P. Liu et al. ODIR 5K Ocular Disease Intelligent Recognition Dataset. arXiv:2004.11419, 2020.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[2] T. Y. Wong et al. Artificial intelligence and deep learning in ophthalmology. British Journal of Ophthalmology, 2019.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[3] V. Gulshan et al. Development and validation of a deep learning algorithm for detection of diabetic retinopathy. JAMA, 2016.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[4] D. S. W. Ting et al. Development and validation of a deep learning system for diabetic retinopathy and related eye diseases. JAMA, 2017.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[5] G. Litjens et al. A survey on deep learning in medical image analysis. Medical Image Analysis, 2017.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[6] Z. Lv et al. AKConv Convolutional Kernel with Arbitrary Sampled Shapes and Arbitrary Number of Parameters. arXiv:2309.13855, 2023.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[7] Ultralytics. YOLO Classification Documentation and Source Code. https://docs.ultralytics.com, accessed 2026-10-13.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[8] X. Liu et al. A comparison of deep learning performance against health-care professionals in detecting diseases from medical imaging. The Lancet Digital Health, 2019.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4"/>
        </w:rPr>
        <w:t>[9] DeepSeek-AI. DeepSeek V3 Technical Report. arXiv:2412.19437, 2024.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眼科图像分类辅助诊断系统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sz w:val="18"/>
      </w:rPr>
      <w:t>智能软件系统课程设计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