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  <w:jc w:val="center"/>
      </w:pPr>
      <w:r>
        <w:rPr>
          <w:rFonts w:ascii="宋体" w:hAnsi="宋体" w:eastAsia="宋体"/>
          <w:b/>
          <w:sz w:val="44"/>
        </w:rPr>
        <w:t>智能软件系统课程设计</w:t>
      </w:r>
    </w:p>
    <w:p>
      <w:pPr>
        <w:spacing w:before="1134"/>
        <w:jc w:val="center"/>
      </w:pPr>
      <w:r>
        <w:rPr>
          <w:rFonts w:ascii="宋体" w:hAnsi="宋体" w:eastAsia="宋体"/>
          <w:b/>
          <w:sz w:val="40"/>
        </w:rPr>
        <w:t>技术方案设计报告</w:t>
      </w:r>
    </w:p>
    <w:p>
      <w:pPr>
        <w:spacing w:before="2268"/>
        <w:jc w:val="center"/>
      </w:pPr>
      <w:r>
        <w:rPr>
          <w:rFonts w:ascii="宋体" w:hAnsi="宋体" w:eastAsia="宋体"/>
          <w:b w:val="0"/>
          <w:sz w:val="30"/>
        </w:rPr>
        <w:t>基于YOLO与大语言模型的眼科图像分类辅助诊断系统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组员：欧阳宸（230722105）  汪晓蕾（231613212）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提交日期：2026年10月</w:t>
      </w:r>
    </w:p>
    <w:p>
      <w:r>
        <w:br w:type="page"/>
      </w:r>
    </w:p>
    <w:p>
      <w:pPr>
        <w:spacing w:before="200" w:after="100"/>
      </w:pPr>
      <w:r>
        <w:rPr>
          <w:rFonts w:ascii="宋体" w:hAnsi="宋体" w:eastAsia="宋体"/>
          <w:b/>
          <w:sz w:val="32"/>
        </w:rPr>
        <w:t>1 需求分析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用户需要能够导入单张或批量眼底图像，获得八类分类概率并保存可查询记录；需要在图像无效、模型未加载、接口不可用时看到明确原因。教学演示还需要摄像头采集、语音输入、朗读、辅助说明和网页服务入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24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481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需求</w:t>
            </w:r>
          </w:p>
        </w:tc>
        <w:tc>
          <w:tcPr>
            <w:tcW w:type="dxa" w:w="2891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验收方式</w:t>
            </w:r>
          </w:p>
        </w:tc>
      </w:tr>
      <w:tr>
        <w:tc>
          <w:tcPr>
            <w:tcW w:type="dxa" w:w="124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功能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单图、批量、历史查询、导出、辅助说明和多轮问答</w:t>
            </w:r>
          </w:p>
        </w:tc>
        <w:tc>
          <w:tcPr>
            <w:tcW w:type="dxa" w:w="28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测试用例与界面操作记录</w:t>
            </w:r>
          </w:p>
        </w:tc>
      </w:tr>
      <w:tr>
        <w:tc>
          <w:tcPr>
            <w:tcW w:type="dxa" w:w="124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 GPU 推理与服务器 CPU 推理可用</w:t>
            </w:r>
          </w:p>
        </w:tc>
        <w:tc>
          <w:tcPr>
            <w:tcW w:type="dxa" w:w="28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服务健康接口和实际单图计时</w:t>
            </w:r>
          </w:p>
        </w:tc>
      </w:tr>
      <w:tr>
        <w:tc>
          <w:tcPr>
            <w:tcW w:type="dxa" w:w="124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可靠性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异常图像和模型失败不产生伪成功历史</w:t>
            </w:r>
          </w:p>
        </w:tc>
        <w:tc>
          <w:tcPr>
            <w:tcW w:type="dxa" w:w="28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自动化测试与异常样例</w:t>
            </w:r>
          </w:p>
        </w:tc>
      </w:tr>
      <w:tr>
        <w:tc>
          <w:tcPr>
            <w:tcW w:type="dxa" w:w="124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安全边界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密钥不写入仓库，医疗结果显示辅助提示</w:t>
            </w:r>
          </w:p>
        </w:tc>
        <w:tc>
          <w:tcPr>
            <w:tcW w:type="dxa" w:w="28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忽略规则和页面提示</w:t>
            </w:r>
          </w:p>
        </w:tc>
      </w:tr>
      <w:tr>
        <w:tc>
          <w:tcPr>
            <w:tcW w:type="dxa" w:w="124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硬件</w:t>
            </w:r>
          </w:p>
        </w:tc>
        <w:tc>
          <w:tcPr>
            <w:tcW w:type="dxa" w:w="48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本机摄像头、麦克风、扬声器；开发板可选</w:t>
            </w:r>
          </w:p>
        </w:tc>
        <w:tc>
          <w:tcPr>
            <w:tcW w:type="dxa" w:w="28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开发板未实机验收时明确标注</w:t>
            </w:r>
          </w:p>
        </w:tc>
      </w:tr>
    </w:tbl>
    <w:p/>
    <w:p>
      <w:pPr>
        <w:spacing w:before="200" w:after="100"/>
      </w:pPr>
      <w:r>
        <w:rPr>
          <w:rFonts w:ascii="宋体" w:hAnsi="宋体" w:eastAsia="宋体"/>
          <w:b/>
          <w:sz w:val="32"/>
        </w:rPr>
        <w:t>2 总体架构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桌面端以 PyQt5 工作台为入口，负责图像导入、摄像头、展示和本机偏好。分类模块加载 YOLO 分类权重，历史模块使用 SQLite 保存分类记录。DeepSeek 接口在配置可用时返回在线说明，未配置时返回本地参考内容。网页端以 FastAPI 提供上传、批量、历史、问答和语音接口，ONNX Runtime 在服务器 CPU 上推理。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24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层次</w:t>
            </w:r>
          </w:p>
        </w:tc>
        <w:tc>
          <w:tcPr>
            <w:tcW w:type="dxa" w:w="2835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组成</w:t>
            </w:r>
          </w:p>
        </w:tc>
        <w:tc>
          <w:tcPr>
            <w:tcW w:type="dxa" w:w="4876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责任</w:t>
            </w:r>
          </w:p>
        </w:tc>
      </w:tr>
      <w:tr>
        <w:tc>
          <w:tcPr>
            <w:tcW w:type="dxa" w:w="124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交互层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PyQt5 桌面端、响应式网页</w:t>
            </w:r>
          </w:p>
        </w:tc>
        <w:tc>
          <w:tcPr>
            <w:tcW w:type="dxa" w:w="48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图像输入、结果展示、操作反馈</w:t>
            </w:r>
          </w:p>
        </w:tc>
      </w:tr>
      <w:tr>
        <w:tc>
          <w:tcPr>
            <w:tcW w:type="dxa" w:w="124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业务层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分类、问答、语音、批量任务</w:t>
            </w:r>
          </w:p>
        </w:tc>
        <w:tc>
          <w:tcPr>
            <w:tcW w:type="dxa" w:w="48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流程编排、异常返回、缓存</w:t>
            </w:r>
          </w:p>
        </w:tc>
      </w:tr>
      <w:tr>
        <w:tc>
          <w:tcPr>
            <w:tcW w:type="dxa" w:w="124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数据层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SQLite、配置、运行日志</w:t>
            </w:r>
          </w:p>
        </w:tc>
        <w:tc>
          <w:tcPr>
            <w:tcW w:type="dxa" w:w="48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历史、批次、偏好与可追溯记录</w:t>
            </w:r>
          </w:p>
        </w:tc>
      </w:tr>
      <w:tr>
        <w:tc>
          <w:tcPr>
            <w:tcW w:type="dxa" w:w="124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推理层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 分类权重、ONNX Runtime</w:t>
            </w:r>
          </w:p>
        </w:tc>
        <w:tc>
          <w:tcPr>
            <w:tcW w:type="dxa" w:w="48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八类概率输出</w:t>
            </w:r>
          </w:p>
        </w:tc>
      </w:tr>
      <w:tr>
        <w:tc>
          <w:tcPr>
            <w:tcW w:type="dxa" w:w="124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部署层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启动器、systemd、部署包</w:t>
            </w:r>
          </w:p>
        </w:tc>
        <w:tc>
          <w:tcPr>
            <w:tcW w:type="dxa" w:w="48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桌面启动与服务常驻</w:t>
            </w:r>
          </w:p>
        </w:tc>
      </w:tr>
    </w:tbl>
    <w:p/>
    <w:p>
      <w:pPr>
        <w:spacing w:before="200" w:after="100"/>
      </w:pPr>
      <w:r>
        <w:rPr>
          <w:rFonts w:ascii="宋体" w:hAnsi="宋体" w:eastAsia="宋体"/>
          <w:b/>
          <w:sz w:val="32"/>
        </w:rPr>
        <w:t>3 数据与控制流程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单图流程为：选择或采集图像，检查格式和尺寸，执行预处理与模型推理，返回类别和概率，成功时保存历史记录，失败时返回原因且不保存成功记录。批量流程为逐项分类，登记批次号，成功项和失败项分别记录，历史页面可按日期、类别和批次筛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辅助建议流程为：分类结果或用户问题进入提示构造，在线服务可用时请求语言模型；不可用时返回本地参考说明。前端将来源和“辅助参考”边界一并展示。朗读优先通过服务端生成自然语音 MP3，并按文本缓存；失败时降级为浏览器本机朗读。</w:t>
      </w:r>
    </w:p>
    <w:p>
      <w:pPr>
        <w:spacing w:before="200" w:after="100"/>
      </w:pPr>
      <w:r>
        <w:rPr>
          <w:rFonts w:ascii="宋体" w:hAnsi="宋体" w:eastAsia="宋体"/>
          <w:b/>
          <w:sz w:val="32"/>
        </w:rPr>
        <w:t>4 技术选型与接口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701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技术</w:t>
            </w:r>
          </w:p>
        </w:tc>
        <w:tc>
          <w:tcPr>
            <w:tcW w:type="dxa" w:w="3288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选型依据</w:t>
            </w:r>
          </w:p>
        </w:tc>
        <w:tc>
          <w:tcPr>
            <w:tcW w:type="dxa" w:w="396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实际用途</w:t>
            </w:r>
          </w:p>
        </w:tc>
      </w:tr>
      <w:t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Python 与 PyQt5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桌面端开发和现有工程基础</w:t>
            </w:r>
          </w:p>
        </w:tc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桌面工作台</w:t>
            </w:r>
          </w:p>
        </w:tc>
      </w:tr>
      <w:t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Ultralytics YOLO 分类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训练、验证和导出流程完整</w:t>
            </w:r>
          </w:p>
        </w:tc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本机模型推理</w:t>
            </w:r>
          </w:p>
        </w:tc>
      </w:tr>
      <w:t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ONNX Runtime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低内存、适合 2GB 服务器</w:t>
            </w:r>
          </w:p>
        </w:tc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服务端 CPU 推理</w:t>
            </w:r>
          </w:p>
        </w:tc>
      </w:tr>
      <w:t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FastAPI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接口清晰、便于静态网页协作</w:t>
            </w:r>
          </w:p>
        </w:tc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网页服务</w:t>
            </w:r>
          </w:p>
        </w:tc>
      </w:tr>
      <w:t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SQLite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单机演示部署简单</w:t>
            </w:r>
          </w:p>
        </w:tc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历史与批次记录</w:t>
            </w:r>
          </w:p>
        </w:tc>
      </w:tr>
      <w:t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Edge TTS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中文自然音色和 MP3 缓存</w:t>
            </w:r>
          </w:p>
        </w:tc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网页端朗读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核心接口包括 GET /api/health、POST /api/predict、POST /api/predict/batch、GET /api/history、POST /api/chat 和 POST /api/tts。服务端对上传文件类型和大小进行限制，模型不可用时返回 503 状态，而非伪造分类结果。</w:t>
      </w:r>
    </w:p>
    <w:p>
      <w:pPr>
        <w:spacing w:before="200" w:after="100"/>
      </w:pPr>
      <w:r>
        <w:rPr>
          <w:rFonts w:ascii="宋体" w:hAnsi="宋体" w:eastAsia="宋体"/>
          <w:b/>
          <w:sz w:val="32"/>
        </w:rPr>
        <w:t>5 部署与边界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服务器部署使用 ONNX 模型、requirements-server.txt 和 systemd 服务。服务器端已完成部署与运行；公网域名链路仍应以部署后健康接口和真实页面访问结果为准。开发板功能保留接口说明，但本项目验收时没有开发板，报告中标记为未实机验收。</w:t>
      </w:r>
    </w:p>
    <w:p>
      <w:pPr>
        <w:spacing w:before="200" w:after="100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[1] P. Liu et al. ODIR 5K Ocular Disease Intelligent Recognition Dataset. arXiv:2004.11419, 2020.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[2] T. Y. Wong et al. Artificial intelligence and deep learning in ophthalmology. British Journal of Ophthalmology,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[3] V. Gulshan et al. Development and validation of a deep learning algorithm for detection of diabetic retinopathy. JAMA, 2016.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[4] D. S. W. Ting et al. Development and validation of a deep learning system for diabetic retinopathy and related eye diseases. JAMA,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[5] G. Litjens et al. A survey on deep learning in medical image analysis. Medical Image Analysis,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[6] Z. Lv et al. AKConv Convolutional Kernel with Arbitrary Sampled Shapes and Arbitrary Number of Parameters. arXiv:2309.13855, 2023.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[7] Ultralytics. YOLO Classification Documentation and Source Code. https://docs.ultralytics.com, accessed 2026-10-13.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[8] X. Liu et al. A comparison of deep learning performance against health-care professionals in detecting diseases from medical imaging. The Lancet Digital Health,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[9] DeepSeek-AI. DeepSeek V3 Technical Report. arXiv:2412.19437, 2024.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>眼科图像分类辅助诊断系统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智能软件系统课程设计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