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35"/>
        <w:jc w:val="center"/>
      </w:pPr>
      <w:r>
        <w:rPr>
          <w:rFonts w:ascii="宋体" w:hAnsi="宋体" w:eastAsia="宋体"/>
          <w:b/>
          <w:sz w:val="44"/>
        </w:rPr>
        <w:t>智能软件系统课程设计</w:t>
      </w:r>
    </w:p>
    <w:p>
      <w:pPr>
        <w:spacing w:before="1134"/>
        <w:jc w:val="center"/>
      </w:pPr>
      <w:r>
        <w:rPr>
          <w:rFonts w:ascii="宋体" w:hAnsi="宋体" w:eastAsia="宋体"/>
          <w:b/>
          <w:sz w:val="40"/>
        </w:rPr>
        <w:t>模型分析报告</w:t>
      </w:r>
    </w:p>
    <w:p>
      <w:pPr>
        <w:spacing w:before="2268"/>
        <w:jc w:val="center"/>
      </w:pPr>
      <w:r>
        <w:rPr>
          <w:rFonts w:ascii="宋体" w:hAnsi="宋体" w:eastAsia="宋体"/>
          <w:b w:val="0"/>
          <w:sz w:val="30"/>
        </w:rPr>
        <w:t>基于YOLO与大语言模型的眼科图像分类辅助诊断系统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组员：欧阳宸（230722105）  汪晓蕾（231613212）</w:t>
      </w:r>
    </w:p>
    <w:p>
      <w:pPr>
        <w:spacing w:before="454"/>
        <w:jc w:val="center"/>
      </w:pPr>
      <w:r>
        <w:rPr>
          <w:rFonts w:ascii="宋体" w:hAnsi="宋体" w:eastAsia="宋体"/>
          <w:b w:val="0"/>
          <w:sz w:val="26"/>
        </w:rPr>
        <w:t>提交日期：2026年10月</w:t>
      </w:r>
    </w:p>
    <w:p>
      <w:r>
        <w:br w:type="page"/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1 基础模型与类别定义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部署任务为八类眼底图像分类：AMD、白内障、糖尿病视网膜病变、青光眼、高血压性视网膜病变、近视性黄斑病变、正常和其他。当前服务端权重为 ONNX 格式 best512.onnx，模型声明输入为 512×512；服务端以权重声明尺寸进行短边缩放和中心裁剪。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2268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690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已核实信息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部署骨干</w:t>
            </w:r>
          </w:p>
        </w:tc>
        <w:tc>
          <w:tcPr>
            <w:tcW w:type="dxa" w:w="66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YOLO11n-cls 分类权重，原生部署权重不含 AKConv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输入尺寸</w:t>
            </w:r>
          </w:p>
        </w:tc>
        <w:tc>
          <w:tcPr>
            <w:tcW w:type="dxa" w:w="66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512×512（权重声明，服务端健康接口可查询）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类别数</w:t>
            </w:r>
          </w:p>
        </w:tc>
        <w:tc>
          <w:tcPr>
            <w:tcW w:type="dxa" w:w="66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服务端运行时</w:t>
            </w:r>
          </w:p>
        </w:tc>
        <w:tc>
          <w:tcPr>
            <w:tcW w:type="dxa" w:w="66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ONNX Runtime CPUExecutionProvider</w:t>
            </w:r>
          </w:p>
        </w:tc>
      </w:tr>
      <w:tr>
        <w:tc>
          <w:tcPr>
            <w:tcW w:type="dxa" w:w="22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模型输出</w:t>
            </w:r>
          </w:p>
        </w:tc>
        <w:tc>
          <w:tcPr>
            <w:tcW w:type="dxa" w:w="669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八类概率；用于辅助参考，不代表临床诊断准确率</w:t>
            </w:r>
          </w:p>
        </w:tc>
      </w:tr>
    </w:tbl>
    <w:p/>
    <w:p>
      <w:pPr>
        <w:spacing w:before="200" w:after="100"/>
      </w:pPr>
      <w:r>
        <w:rPr>
          <w:rFonts w:ascii="宋体" w:hAnsi="宋体" w:eastAsia="宋体"/>
          <w:b/>
          <w:sz w:val="32"/>
        </w:rPr>
        <w:t>2 训练与推理策略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历史训练记录使用 FP32、batch=32、workers=8、224 尺寸和 50 轮设置，采用分类交叉熵训练过程。该设置用于比较训练日志，不等同于当前部署权重的 512 推理预处理。部署侧必须以模型自身输入形状为准，避免将 224 导出模型与桌面推理混用。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推理模块首先校验 NCHW 三通道输入和八类输出，再完成归一化、模型执行与 softmax 判断。分类失败时向上层返回明确错误；业务层不保存成功历史，也不生成当前图像的伪报告。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3 AKConv 适配与能力边界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工程中保留 AKConv 模块与候选训练记录。历史对比日志显示，AKConv 候选模型包含 6 个 AKConv 层，参数量为 1,487,772；基线模型参数量为 1,541,352。当前实际部署权重经结构核对 AKConv 层数为 0，因而系统不能宣称在线部署使用了 AKConv。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两套框架下的同设置记录存在相同数据指纹和数值高度一致的现象。此类记录不应被表述为彼此独立的框架对比结果，只能作为历史工程检查材料。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4 资源与风险分析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1757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风险</w:t>
            </w:r>
          </w:p>
        </w:tc>
        <w:tc>
          <w:tcPr>
            <w:tcW w:type="dxa" w:w="317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表现</w:t>
            </w:r>
          </w:p>
        </w:tc>
        <w:tc>
          <w:tcPr>
            <w:tcW w:type="dxa" w:w="4025"/>
            <w:shd w:fill="1F4E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rPr>
                <w:rFonts w:ascii="宋体" w:hAnsi="宋体" w:eastAsia="宋体"/>
                <w:b/>
                <w:sz w:val="21"/>
              </w:rPr>
              <w:t>控制措施</w:t>
            </w:r>
          </w:p>
        </w:tc>
      </w:tr>
      <w:t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数据泄漏</w:t>
            </w:r>
          </w:p>
        </w:tc>
        <w:tc>
          <w:tcPr>
            <w:tcW w:type="dxa" w:w="317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训练与验证跨集合重复内容哈希 140 个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去重、患者级划分、重训重测</w:t>
            </w:r>
          </w:p>
        </w:tc>
      </w:tr>
      <w:t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类别不均衡</w:t>
            </w:r>
          </w:p>
        </w:tc>
        <w:tc>
          <w:tcPr>
            <w:tcW w:type="dxa" w:w="317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正常和糖尿病类样本占比较大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报告每类指标，采用宏平均指标</w:t>
            </w:r>
          </w:p>
        </w:tc>
      </w:tr>
      <w:t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概率校准</w:t>
            </w:r>
          </w:p>
        </w:tc>
        <w:tc>
          <w:tcPr>
            <w:tcW w:type="dxa" w:w="317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高概率不等于诊断正确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界面显示辅助提示和限制</w:t>
            </w:r>
          </w:p>
        </w:tc>
      </w:tr>
      <w:t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语言模型幻觉</w:t>
            </w:r>
          </w:p>
        </w:tc>
        <w:tc>
          <w:tcPr>
            <w:tcW w:type="dxa" w:w="317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建议文本可能不可靠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显示来源，保留本地参考降级</w:t>
            </w:r>
          </w:p>
        </w:tc>
      </w:tr>
      <w:tr>
        <w:tc>
          <w:tcPr>
            <w:tcW w:type="dxa" w:w="175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硬件差异</w:t>
            </w:r>
          </w:p>
        </w:tc>
        <w:tc>
          <w:tcPr>
            <w:tcW w:type="dxa" w:w="317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服务器 CPU 延迟高于本机 GPU</w:t>
            </w:r>
          </w:p>
        </w:tc>
        <w:tc>
          <w:tcPr>
            <w:tcW w:type="dxa" w:w="402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分别记录环境和测量值</w:t>
            </w:r>
          </w:p>
        </w:tc>
      </w:tr>
    </w:tbl>
    <w:p/>
    <w:p>
      <w:pPr>
        <w:spacing w:before="200" w:after="100"/>
      </w:pPr>
      <w:r>
        <w:rPr>
          <w:rFonts w:ascii="宋体" w:hAnsi="宋体" w:eastAsia="宋体"/>
          <w:b/>
          <w:sz w:val="32"/>
        </w:rPr>
        <w:t>5 结论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当前模型可支撑课程演示中的八类图像辅助分类与服务器部署。严格有效性评价的前提仍是修复数据划分问题，并在独立样本上重新报告准确率、宏平均 F1、混淆矩阵和不确定性。</w:t>
      </w:r>
    </w:p>
    <w:p>
      <w:pPr>
        <w:spacing w:before="200" w:after="100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[1] P. Liu et al. ODIR 5K Ocular Disease Intelligent Recognition Dataset. arXiv:2004.11419, 2020.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[2] T. Y. Wong et al. Artificial intelligence and deep learning in ophthalmology. British Journal of Ophthalmology,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[3] V. Gulshan et al. Development and validation of a deep learning algorithm for detection of diabetic retinopathy. JAMA, 2016.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[4] D. S. W. Ting et al. Development and validation of a deep learning system for diabetic retinopathy and related eye diseases. JAMA,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[5] G. Litjens et al. A survey on deep learning in medical image analysis. Medical Image Analysis, 2017.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[6] Z. Lv et al. AKConv Convolutional Kernel with Arbitrary Sampled Shapes and Arbitrary Number of Parameters. arXiv:2309.13855, 2023.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[7] Ultralytics. YOLO Classification Documentation and Source Code. https://docs.ultralytics.com, accessed 2026-10-13.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[8] X. Liu et al. A comparison of deep learning performance against health-care professionals in detecting diseases from medical imaging. The Lancet Digital Health, 2019.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4"/>
        </w:rPr>
        <w:t>[9] DeepSeek-AI. DeepSeek V3 Technical Report. arXiv:2412.19437, 2024.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>眼科图像分类辅助诊断系统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宋体" w:hAnsi="宋体" w:eastAsia="宋体"/>
        <w:b w:val="0"/>
        <w:sz w:val="18"/>
      </w:rPr>
      <w:t>智能软件系统课程设计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